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7B" w:rsidRPr="00B01F31" w:rsidRDefault="00962C7B" w:rsidP="00B01F31">
      <w:pPr>
        <w:jc w:val="center"/>
        <w:rPr>
          <w:szCs w:val="24"/>
        </w:rPr>
      </w:pPr>
      <w:bookmarkStart w:id="0" w:name="_GoBack"/>
      <w:bookmarkEnd w:id="0"/>
    </w:p>
    <w:p w:rsidR="00962C7B" w:rsidRPr="00B01F31" w:rsidRDefault="00962C7B" w:rsidP="00B01F31">
      <w:pPr>
        <w:jc w:val="center"/>
        <w:rPr>
          <w:szCs w:val="24"/>
        </w:rPr>
      </w:pPr>
    </w:p>
    <w:p w:rsidR="00487EE9" w:rsidRPr="00B01F31" w:rsidRDefault="00487EE9" w:rsidP="00B01F31">
      <w:pPr>
        <w:jc w:val="center"/>
        <w:rPr>
          <w:b/>
          <w:szCs w:val="24"/>
        </w:rPr>
      </w:pPr>
    </w:p>
    <w:p w:rsidR="00F61E16" w:rsidRPr="00B01F31" w:rsidRDefault="00F61E16" w:rsidP="00B01F31">
      <w:pPr>
        <w:jc w:val="center"/>
        <w:rPr>
          <w:b/>
          <w:szCs w:val="24"/>
        </w:rPr>
      </w:pPr>
    </w:p>
    <w:p w:rsidR="00F61E16" w:rsidRPr="00B01F31" w:rsidRDefault="00F61E16" w:rsidP="00B01F31">
      <w:pPr>
        <w:jc w:val="center"/>
        <w:rPr>
          <w:b/>
          <w:szCs w:val="24"/>
        </w:rPr>
      </w:pPr>
    </w:p>
    <w:p w:rsidR="00F61E16" w:rsidRPr="00B01F31" w:rsidRDefault="00F61E16" w:rsidP="00B01F31">
      <w:pPr>
        <w:jc w:val="center"/>
        <w:rPr>
          <w:b/>
          <w:szCs w:val="24"/>
        </w:rPr>
      </w:pPr>
    </w:p>
    <w:p w:rsidR="00F61E16" w:rsidRPr="00B01F31" w:rsidRDefault="00F61E16" w:rsidP="00B01F31">
      <w:pPr>
        <w:jc w:val="center"/>
        <w:rPr>
          <w:b/>
          <w:szCs w:val="24"/>
        </w:rPr>
      </w:pPr>
    </w:p>
    <w:p w:rsidR="00487EE9" w:rsidRPr="00B01F31" w:rsidRDefault="00487EE9" w:rsidP="00B01F31">
      <w:pPr>
        <w:pBdr>
          <w:top w:val="single" w:sz="4" w:space="1" w:color="auto"/>
        </w:pBdr>
        <w:jc w:val="center"/>
        <w:rPr>
          <w:b/>
          <w:szCs w:val="24"/>
        </w:rPr>
      </w:pPr>
    </w:p>
    <w:p w:rsidR="00487EE9" w:rsidRPr="00B01F31" w:rsidRDefault="00487EE9" w:rsidP="00B01F31">
      <w:pPr>
        <w:pBdr>
          <w:top w:val="single" w:sz="4" w:space="1" w:color="auto"/>
        </w:pBdr>
        <w:jc w:val="center"/>
        <w:rPr>
          <w:b/>
          <w:szCs w:val="24"/>
        </w:rPr>
      </w:pPr>
      <w:r w:rsidRPr="00B01F31">
        <w:rPr>
          <w:b/>
          <w:szCs w:val="24"/>
        </w:rPr>
        <w:t xml:space="preserve">CASE OF EDMUNDO CAMANA </w:t>
      </w:r>
      <w:r w:rsidR="00402CE8" w:rsidRPr="00B01F31">
        <w:rPr>
          <w:b/>
          <w:i/>
          <w:szCs w:val="24"/>
        </w:rPr>
        <w:t>et al.,</w:t>
      </w:r>
      <w:r w:rsidR="00402CE8" w:rsidRPr="00B01F31">
        <w:rPr>
          <w:b/>
          <w:szCs w:val="24"/>
        </w:rPr>
        <w:t xml:space="preserve"> </w:t>
      </w:r>
      <w:r w:rsidR="00402CE8" w:rsidRPr="00B01F31">
        <w:rPr>
          <w:b/>
          <w:szCs w:val="24"/>
        </w:rPr>
        <w:br/>
        <w:t>PICHICHA AND ORÍFUNA PEOPLES</w:t>
      </w:r>
    </w:p>
    <w:p w:rsidR="00487EE9" w:rsidRPr="00B01F31" w:rsidRDefault="00402CE8" w:rsidP="00B01F31">
      <w:pPr>
        <w:jc w:val="center"/>
        <w:rPr>
          <w:b/>
          <w:i/>
          <w:szCs w:val="24"/>
        </w:rPr>
      </w:pPr>
      <w:r w:rsidRPr="00B01F31">
        <w:rPr>
          <w:b/>
          <w:i/>
          <w:szCs w:val="24"/>
        </w:rPr>
        <w:t>v</w:t>
      </w:r>
      <w:r w:rsidR="00487EE9" w:rsidRPr="00B01F31">
        <w:rPr>
          <w:b/>
          <w:i/>
          <w:szCs w:val="24"/>
        </w:rPr>
        <w:t>.</w:t>
      </w:r>
    </w:p>
    <w:p w:rsidR="00487EE9" w:rsidRPr="00B01F31" w:rsidRDefault="00487EE9" w:rsidP="00B01F31">
      <w:pPr>
        <w:pBdr>
          <w:bottom w:val="single" w:sz="4" w:space="1" w:color="auto"/>
        </w:pBdr>
        <w:jc w:val="center"/>
        <w:rPr>
          <w:b/>
          <w:szCs w:val="24"/>
        </w:rPr>
      </w:pPr>
      <w:r w:rsidRPr="00B01F31">
        <w:rPr>
          <w:b/>
          <w:szCs w:val="24"/>
        </w:rPr>
        <w:t>SANTA CLARA</w:t>
      </w:r>
    </w:p>
    <w:p w:rsidR="00487EE9" w:rsidRPr="00B01F31" w:rsidRDefault="00487EE9" w:rsidP="00B01F31">
      <w:pPr>
        <w:pBdr>
          <w:bottom w:val="single" w:sz="4" w:space="1" w:color="auto"/>
        </w:pBdr>
        <w:jc w:val="center"/>
        <w:rPr>
          <w:b/>
          <w:szCs w:val="24"/>
        </w:rPr>
      </w:pPr>
    </w:p>
    <w:p w:rsidR="00487EE9" w:rsidRPr="00B01F31" w:rsidRDefault="00487EE9" w:rsidP="00B01F31">
      <w:pPr>
        <w:jc w:val="center"/>
        <w:rPr>
          <w:szCs w:val="24"/>
        </w:rPr>
      </w:pPr>
    </w:p>
    <w:p w:rsidR="00487EE9" w:rsidRPr="00B01F31" w:rsidRDefault="00487EE9" w:rsidP="00B01F31">
      <w:pPr>
        <w:jc w:val="center"/>
        <w:rPr>
          <w:szCs w:val="24"/>
        </w:rPr>
      </w:pPr>
    </w:p>
    <w:p w:rsidR="00487EE9" w:rsidRPr="00B01F31" w:rsidRDefault="00487EE9" w:rsidP="00B01F31">
      <w:pPr>
        <w:jc w:val="center"/>
        <w:rPr>
          <w:szCs w:val="24"/>
        </w:rPr>
      </w:pPr>
    </w:p>
    <w:p w:rsidR="00487EE9" w:rsidRPr="00B01F31" w:rsidRDefault="00487EE9" w:rsidP="00B01F31">
      <w:pPr>
        <w:jc w:val="center"/>
        <w:rPr>
          <w:szCs w:val="24"/>
        </w:rPr>
      </w:pPr>
    </w:p>
    <w:p w:rsidR="00487EE9" w:rsidRPr="00B01F31" w:rsidRDefault="00487EE9" w:rsidP="00B01F31">
      <w:pPr>
        <w:jc w:val="center"/>
        <w:rPr>
          <w:szCs w:val="24"/>
        </w:rPr>
      </w:pPr>
    </w:p>
    <w:p w:rsidR="00487EE9" w:rsidRPr="00B01F31" w:rsidRDefault="00487EE9" w:rsidP="00B01F31">
      <w:pPr>
        <w:jc w:val="center"/>
        <w:rPr>
          <w:szCs w:val="24"/>
        </w:rPr>
      </w:pPr>
    </w:p>
    <w:p w:rsidR="00487EE9" w:rsidRPr="00B01F31" w:rsidRDefault="00487EE9" w:rsidP="00B01F31">
      <w:pPr>
        <w:jc w:val="center"/>
        <w:rPr>
          <w:szCs w:val="24"/>
        </w:rPr>
      </w:pPr>
    </w:p>
    <w:p w:rsidR="00487EE9" w:rsidRPr="00B01F31" w:rsidRDefault="00487EE9" w:rsidP="00B01F31">
      <w:pPr>
        <w:jc w:val="center"/>
        <w:rPr>
          <w:szCs w:val="24"/>
        </w:rPr>
      </w:pPr>
    </w:p>
    <w:p w:rsidR="00151E08" w:rsidRPr="00B01F31" w:rsidRDefault="00487EE9" w:rsidP="00B01F31">
      <w:pPr>
        <w:jc w:val="center"/>
        <w:rPr>
          <w:szCs w:val="24"/>
        </w:rPr>
        <w:sectPr w:rsidR="00151E08" w:rsidRPr="00B01F31" w:rsidSect="00CA6323">
          <w:headerReference w:type="default" r:id="rId8"/>
          <w:footerReference w:type="default" r:id="rId9"/>
          <w:pgSz w:w="12242" w:h="15842"/>
          <w:pgMar w:top="1440" w:right="1440" w:bottom="1440" w:left="1440" w:header="720" w:footer="720" w:gutter="0"/>
          <w:pgNumType w:fmt="upperRoman" w:start="2"/>
          <w:cols w:space="720"/>
          <w:docGrid w:linePitch="360"/>
        </w:sectPr>
      </w:pPr>
      <w:r w:rsidRPr="00B01F31">
        <w:rPr>
          <w:szCs w:val="24"/>
        </w:rPr>
        <w:t>MEMORIAL FOR THE STATE</w:t>
      </w:r>
    </w:p>
    <w:p w:rsidR="0042166B" w:rsidRPr="00B01F31" w:rsidRDefault="0042166B" w:rsidP="00B01F31">
      <w:pPr>
        <w:numPr>
          <w:ilvl w:val="0"/>
          <w:numId w:val="1"/>
        </w:numPr>
        <w:rPr>
          <w:b/>
          <w:bCs/>
          <w:szCs w:val="24"/>
        </w:rPr>
      </w:pPr>
      <w:bookmarkStart w:id="1" w:name="_Toc317977723"/>
      <w:r w:rsidRPr="00B01F31">
        <w:rPr>
          <w:b/>
          <w:bCs/>
          <w:szCs w:val="24"/>
        </w:rPr>
        <w:lastRenderedPageBreak/>
        <w:t>Table of Contents</w:t>
      </w:r>
      <w:bookmarkEnd w:id="1"/>
    </w:p>
    <w:p w:rsidR="00AD539A" w:rsidRPr="008D3575" w:rsidRDefault="00AD539A">
      <w:pPr>
        <w:pStyle w:val="TOC1"/>
        <w:tabs>
          <w:tab w:val="left" w:pos="463"/>
          <w:tab w:val="right" w:leader="dot" w:pos="9352"/>
        </w:tabs>
        <w:rPr>
          <w:rFonts w:ascii="Times New Roman" w:eastAsia="MS Mincho" w:hAnsi="Times New Roman"/>
          <w:b w:val="0"/>
          <w:noProof/>
          <w:lang w:val="de-DE" w:eastAsia="ja-JP"/>
        </w:rPr>
      </w:pPr>
      <w:r w:rsidRPr="00AD539A">
        <w:rPr>
          <w:rFonts w:ascii="Times New Roman" w:hAnsi="Times New Roman"/>
          <w:b w:val="0"/>
          <w:bCs/>
        </w:rPr>
        <w:fldChar w:fldCharType="begin"/>
      </w:r>
      <w:r w:rsidRPr="00AD539A">
        <w:rPr>
          <w:rFonts w:ascii="Times New Roman" w:hAnsi="Times New Roman"/>
          <w:b w:val="0"/>
          <w:bCs/>
        </w:rPr>
        <w:instrText xml:space="preserve"> TOC \o "1-5" </w:instrText>
      </w:r>
      <w:r w:rsidRPr="00AD539A">
        <w:rPr>
          <w:rFonts w:ascii="Times New Roman" w:hAnsi="Times New Roman"/>
          <w:b w:val="0"/>
          <w:bCs/>
        </w:rPr>
        <w:fldChar w:fldCharType="separate"/>
      </w:r>
      <w:r w:rsidRPr="00AD539A">
        <w:rPr>
          <w:rFonts w:ascii="Times New Roman" w:hAnsi="Times New Roman"/>
          <w:b w:val="0"/>
          <w:bCs/>
          <w:noProof/>
        </w:rPr>
        <w:t>II.</w:t>
      </w:r>
      <w:r w:rsidRPr="008D3575">
        <w:rPr>
          <w:rFonts w:ascii="Times New Roman" w:eastAsia="MS Mincho" w:hAnsi="Times New Roman"/>
          <w:b w:val="0"/>
          <w:noProof/>
          <w:lang w:val="de-DE" w:eastAsia="ja-JP"/>
        </w:rPr>
        <w:tab/>
      </w:r>
      <w:r w:rsidRPr="00AD539A">
        <w:rPr>
          <w:rFonts w:ascii="Times New Roman" w:hAnsi="Times New Roman"/>
          <w:b w:val="0"/>
          <w:bCs/>
          <w:noProof/>
        </w:rPr>
        <w:t>Index of Authorities</w:t>
      </w:r>
      <w:r w:rsidRPr="00AD539A">
        <w:rPr>
          <w:rFonts w:ascii="Times New Roman" w:hAnsi="Times New Roman"/>
          <w:b w:val="0"/>
          <w:noProof/>
        </w:rPr>
        <w:tab/>
      </w:r>
      <w:r w:rsidRPr="00AD539A">
        <w:rPr>
          <w:rFonts w:ascii="Times New Roman" w:hAnsi="Times New Roman"/>
          <w:b w:val="0"/>
          <w:noProof/>
        </w:rPr>
        <w:fldChar w:fldCharType="begin"/>
      </w:r>
      <w:r w:rsidRPr="00AD539A">
        <w:rPr>
          <w:rFonts w:ascii="Times New Roman" w:hAnsi="Times New Roman"/>
          <w:b w:val="0"/>
          <w:noProof/>
        </w:rPr>
        <w:instrText xml:space="preserve"> PAGEREF _Toc320823087 \h </w:instrText>
      </w:r>
      <w:r w:rsidRPr="00AD539A">
        <w:rPr>
          <w:rFonts w:ascii="Times New Roman" w:hAnsi="Times New Roman"/>
          <w:b w:val="0"/>
          <w:noProof/>
        </w:rPr>
      </w:r>
      <w:r w:rsidRPr="00AD539A">
        <w:rPr>
          <w:rFonts w:ascii="Times New Roman" w:hAnsi="Times New Roman"/>
          <w:b w:val="0"/>
          <w:noProof/>
        </w:rPr>
        <w:fldChar w:fldCharType="separate"/>
      </w:r>
      <w:r w:rsidRPr="00AD539A">
        <w:rPr>
          <w:rFonts w:ascii="Times New Roman" w:hAnsi="Times New Roman"/>
          <w:b w:val="0"/>
          <w:noProof/>
        </w:rPr>
        <w:t>3</w:t>
      </w:r>
      <w:r w:rsidRPr="00AD539A">
        <w:rPr>
          <w:rFonts w:ascii="Times New Roman" w:hAnsi="Times New Roman"/>
          <w:b w:val="0"/>
          <w:noProof/>
        </w:rPr>
        <w:fldChar w:fldCharType="end"/>
      </w:r>
    </w:p>
    <w:p w:rsidR="00AD539A" w:rsidRPr="008D3575" w:rsidRDefault="00AD539A">
      <w:pPr>
        <w:pStyle w:val="TOC1"/>
        <w:tabs>
          <w:tab w:val="left" w:pos="547"/>
          <w:tab w:val="right" w:leader="dot" w:pos="9352"/>
        </w:tabs>
        <w:rPr>
          <w:rFonts w:ascii="Times New Roman" w:eastAsia="MS Mincho" w:hAnsi="Times New Roman"/>
          <w:b w:val="0"/>
          <w:noProof/>
          <w:lang w:val="de-DE" w:eastAsia="ja-JP"/>
        </w:rPr>
      </w:pPr>
      <w:r w:rsidRPr="00AD539A">
        <w:rPr>
          <w:rFonts w:ascii="Times New Roman" w:hAnsi="Times New Roman"/>
          <w:b w:val="0"/>
          <w:bCs/>
          <w:noProof/>
        </w:rPr>
        <w:t>III.</w:t>
      </w:r>
      <w:r w:rsidRPr="008D3575">
        <w:rPr>
          <w:rFonts w:ascii="Times New Roman" w:eastAsia="MS Mincho" w:hAnsi="Times New Roman"/>
          <w:b w:val="0"/>
          <w:noProof/>
          <w:lang w:val="de-DE" w:eastAsia="ja-JP"/>
        </w:rPr>
        <w:tab/>
      </w:r>
      <w:r w:rsidRPr="00AD539A">
        <w:rPr>
          <w:rFonts w:ascii="Times New Roman" w:hAnsi="Times New Roman"/>
          <w:b w:val="0"/>
          <w:bCs/>
          <w:noProof/>
        </w:rPr>
        <w:t>Statement of Facts</w:t>
      </w:r>
      <w:r w:rsidRPr="00AD539A">
        <w:rPr>
          <w:rFonts w:ascii="Times New Roman" w:hAnsi="Times New Roman"/>
          <w:b w:val="0"/>
          <w:noProof/>
        </w:rPr>
        <w:tab/>
      </w:r>
      <w:r w:rsidRPr="00AD539A">
        <w:rPr>
          <w:rFonts w:ascii="Times New Roman" w:hAnsi="Times New Roman"/>
          <w:b w:val="0"/>
          <w:noProof/>
        </w:rPr>
        <w:fldChar w:fldCharType="begin"/>
      </w:r>
      <w:r w:rsidRPr="00AD539A">
        <w:rPr>
          <w:rFonts w:ascii="Times New Roman" w:hAnsi="Times New Roman"/>
          <w:b w:val="0"/>
          <w:noProof/>
        </w:rPr>
        <w:instrText xml:space="preserve"> PAGEREF _Toc320823088 \h </w:instrText>
      </w:r>
      <w:r w:rsidRPr="00AD539A">
        <w:rPr>
          <w:rFonts w:ascii="Times New Roman" w:hAnsi="Times New Roman"/>
          <w:b w:val="0"/>
          <w:noProof/>
        </w:rPr>
      </w:r>
      <w:r w:rsidRPr="00AD539A">
        <w:rPr>
          <w:rFonts w:ascii="Times New Roman" w:hAnsi="Times New Roman"/>
          <w:b w:val="0"/>
          <w:noProof/>
        </w:rPr>
        <w:fldChar w:fldCharType="separate"/>
      </w:r>
      <w:r w:rsidRPr="00AD539A">
        <w:rPr>
          <w:rFonts w:ascii="Times New Roman" w:hAnsi="Times New Roman"/>
          <w:b w:val="0"/>
          <w:noProof/>
        </w:rPr>
        <w:t>11</w:t>
      </w:r>
      <w:r w:rsidRPr="00AD539A">
        <w:rPr>
          <w:rFonts w:ascii="Times New Roman" w:hAnsi="Times New Roman"/>
          <w:b w:val="0"/>
          <w:noProof/>
        </w:rPr>
        <w:fldChar w:fldCharType="end"/>
      </w:r>
    </w:p>
    <w:p w:rsidR="00AD539A" w:rsidRPr="008D3575" w:rsidRDefault="00AD539A">
      <w:pPr>
        <w:pStyle w:val="TOC1"/>
        <w:tabs>
          <w:tab w:val="left" w:pos="532"/>
          <w:tab w:val="right" w:leader="dot" w:pos="9352"/>
        </w:tabs>
        <w:rPr>
          <w:rFonts w:ascii="Times New Roman" w:eastAsia="MS Mincho" w:hAnsi="Times New Roman"/>
          <w:b w:val="0"/>
          <w:noProof/>
          <w:lang w:val="de-DE" w:eastAsia="ja-JP"/>
        </w:rPr>
      </w:pPr>
      <w:r w:rsidRPr="00AD539A">
        <w:rPr>
          <w:rFonts w:ascii="Times New Roman" w:hAnsi="Times New Roman"/>
          <w:b w:val="0"/>
          <w:bCs/>
          <w:noProof/>
        </w:rPr>
        <w:t>IV.</w:t>
      </w:r>
      <w:r w:rsidRPr="008D3575">
        <w:rPr>
          <w:rFonts w:ascii="Times New Roman" w:eastAsia="MS Mincho" w:hAnsi="Times New Roman"/>
          <w:b w:val="0"/>
          <w:noProof/>
          <w:lang w:val="de-DE" w:eastAsia="ja-JP"/>
        </w:rPr>
        <w:tab/>
      </w:r>
      <w:r w:rsidRPr="00AD539A">
        <w:rPr>
          <w:rFonts w:ascii="Times New Roman" w:hAnsi="Times New Roman"/>
          <w:b w:val="0"/>
          <w:bCs/>
          <w:noProof/>
        </w:rPr>
        <w:t>Legal Analysis</w:t>
      </w:r>
      <w:r w:rsidRPr="00AD539A">
        <w:rPr>
          <w:rFonts w:ascii="Times New Roman" w:hAnsi="Times New Roman"/>
          <w:b w:val="0"/>
          <w:noProof/>
        </w:rPr>
        <w:tab/>
      </w:r>
      <w:r w:rsidRPr="00AD539A">
        <w:rPr>
          <w:rFonts w:ascii="Times New Roman" w:hAnsi="Times New Roman"/>
          <w:b w:val="0"/>
          <w:noProof/>
        </w:rPr>
        <w:fldChar w:fldCharType="begin"/>
      </w:r>
      <w:r w:rsidRPr="00AD539A">
        <w:rPr>
          <w:rFonts w:ascii="Times New Roman" w:hAnsi="Times New Roman"/>
          <w:b w:val="0"/>
          <w:noProof/>
        </w:rPr>
        <w:instrText xml:space="preserve"> PAGEREF _Toc320823089 \h </w:instrText>
      </w:r>
      <w:r w:rsidRPr="00AD539A">
        <w:rPr>
          <w:rFonts w:ascii="Times New Roman" w:hAnsi="Times New Roman"/>
          <w:b w:val="0"/>
          <w:noProof/>
        </w:rPr>
      </w:r>
      <w:r w:rsidRPr="00AD539A">
        <w:rPr>
          <w:rFonts w:ascii="Times New Roman" w:hAnsi="Times New Roman"/>
          <w:b w:val="0"/>
          <w:noProof/>
        </w:rPr>
        <w:fldChar w:fldCharType="separate"/>
      </w:r>
      <w:r w:rsidRPr="00AD539A">
        <w:rPr>
          <w:rFonts w:ascii="Times New Roman" w:hAnsi="Times New Roman"/>
          <w:b w:val="0"/>
          <w:noProof/>
        </w:rPr>
        <w:t>13</w:t>
      </w:r>
      <w:r w:rsidRPr="00AD539A">
        <w:rPr>
          <w:rFonts w:ascii="Times New Roman" w:hAnsi="Times New Roman"/>
          <w:b w:val="0"/>
          <w:noProof/>
        </w:rPr>
        <w:fldChar w:fldCharType="end"/>
      </w:r>
    </w:p>
    <w:p w:rsidR="00AD539A" w:rsidRPr="008D3575" w:rsidRDefault="00AD539A">
      <w:pPr>
        <w:pStyle w:val="TOC2"/>
        <w:tabs>
          <w:tab w:val="left" w:pos="674"/>
          <w:tab w:val="right" w:leader="dot" w:pos="9352"/>
        </w:tabs>
        <w:rPr>
          <w:rFonts w:ascii="Times New Roman" w:eastAsia="MS Mincho" w:hAnsi="Times New Roman"/>
          <w:b w:val="0"/>
          <w:noProof/>
          <w:sz w:val="24"/>
          <w:szCs w:val="24"/>
          <w:lang w:val="de-DE" w:eastAsia="ja-JP"/>
        </w:rPr>
      </w:pPr>
      <w:r w:rsidRPr="00AD539A">
        <w:rPr>
          <w:rFonts w:ascii="Times New Roman" w:hAnsi="Times New Roman"/>
          <w:b w:val="0"/>
          <w:bCs/>
          <w:noProof/>
          <w:sz w:val="24"/>
          <w:szCs w:val="24"/>
        </w:rPr>
        <w:t>A.</w:t>
      </w:r>
      <w:r w:rsidRPr="008D3575">
        <w:rPr>
          <w:rFonts w:ascii="Times New Roman" w:eastAsia="MS Mincho" w:hAnsi="Times New Roman"/>
          <w:b w:val="0"/>
          <w:noProof/>
          <w:sz w:val="24"/>
          <w:szCs w:val="24"/>
          <w:lang w:val="de-DE" w:eastAsia="ja-JP"/>
        </w:rPr>
        <w:tab/>
      </w:r>
      <w:r w:rsidRPr="00AD539A">
        <w:rPr>
          <w:rFonts w:ascii="Times New Roman" w:hAnsi="Times New Roman"/>
          <w:b w:val="0"/>
          <w:bCs/>
          <w:noProof/>
          <w:sz w:val="24"/>
          <w:szCs w:val="24"/>
        </w:rPr>
        <w:t>Preliminary Objections</w:t>
      </w:r>
      <w:r w:rsidRPr="00AD539A">
        <w:rPr>
          <w:rFonts w:ascii="Times New Roman" w:hAnsi="Times New Roman"/>
          <w:b w:val="0"/>
          <w:noProof/>
          <w:sz w:val="24"/>
          <w:szCs w:val="24"/>
        </w:rPr>
        <w:tab/>
      </w:r>
      <w:r w:rsidRPr="00AD539A">
        <w:rPr>
          <w:rFonts w:ascii="Times New Roman" w:hAnsi="Times New Roman"/>
          <w:b w:val="0"/>
          <w:noProof/>
          <w:sz w:val="24"/>
          <w:szCs w:val="24"/>
        </w:rPr>
        <w:fldChar w:fldCharType="begin"/>
      </w:r>
      <w:r w:rsidRPr="00AD539A">
        <w:rPr>
          <w:rFonts w:ascii="Times New Roman" w:hAnsi="Times New Roman"/>
          <w:b w:val="0"/>
          <w:noProof/>
          <w:sz w:val="24"/>
          <w:szCs w:val="24"/>
        </w:rPr>
        <w:instrText xml:space="preserve"> PAGEREF _Toc320823090 \h </w:instrText>
      </w:r>
      <w:r w:rsidRPr="00AD539A">
        <w:rPr>
          <w:rFonts w:ascii="Times New Roman" w:hAnsi="Times New Roman"/>
          <w:b w:val="0"/>
          <w:noProof/>
          <w:sz w:val="24"/>
          <w:szCs w:val="24"/>
        </w:rPr>
      </w:r>
      <w:r w:rsidRPr="00AD539A">
        <w:rPr>
          <w:rFonts w:ascii="Times New Roman" w:hAnsi="Times New Roman"/>
          <w:b w:val="0"/>
          <w:noProof/>
          <w:sz w:val="24"/>
          <w:szCs w:val="24"/>
        </w:rPr>
        <w:fldChar w:fldCharType="separate"/>
      </w:r>
      <w:r w:rsidRPr="00AD539A">
        <w:rPr>
          <w:rFonts w:ascii="Times New Roman" w:hAnsi="Times New Roman"/>
          <w:b w:val="0"/>
          <w:noProof/>
          <w:sz w:val="24"/>
          <w:szCs w:val="24"/>
        </w:rPr>
        <w:t>13</w:t>
      </w:r>
      <w:r w:rsidRPr="00AD539A">
        <w:rPr>
          <w:rFonts w:ascii="Times New Roman" w:hAnsi="Times New Roman"/>
          <w:b w:val="0"/>
          <w:noProof/>
          <w:sz w:val="24"/>
          <w:szCs w:val="24"/>
        </w:rPr>
        <w:fldChar w:fldCharType="end"/>
      </w:r>
    </w:p>
    <w:p w:rsidR="00AD539A" w:rsidRPr="008D3575" w:rsidRDefault="00AD539A">
      <w:pPr>
        <w:pStyle w:val="TOC3"/>
        <w:tabs>
          <w:tab w:val="left" w:pos="901"/>
          <w:tab w:val="right" w:leader="dot" w:pos="9352"/>
        </w:tabs>
        <w:rPr>
          <w:rFonts w:ascii="Times New Roman" w:eastAsia="MS Mincho" w:hAnsi="Times New Roman"/>
          <w:noProof/>
          <w:sz w:val="24"/>
          <w:szCs w:val="24"/>
          <w:lang w:val="de-DE" w:eastAsia="ja-JP"/>
        </w:rPr>
      </w:pPr>
      <w:r w:rsidRPr="00AD539A">
        <w:rPr>
          <w:rFonts w:ascii="Times New Roman" w:hAnsi="Times New Roman"/>
          <w:bCs/>
          <w:noProof/>
          <w:sz w:val="24"/>
          <w:szCs w:val="24"/>
        </w:rPr>
        <w:t>1.</w:t>
      </w:r>
      <w:r w:rsidRPr="008D3575">
        <w:rPr>
          <w:rFonts w:ascii="Times New Roman" w:eastAsia="MS Mincho" w:hAnsi="Times New Roman"/>
          <w:noProof/>
          <w:sz w:val="24"/>
          <w:szCs w:val="24"/>
          <w:lang w:val="de-DE" w:eastAsia="ja-JP"/>
        </w:rPr>
        <w:tab/>
      </w:r>
      <w:r w:rsidRPr="00AD539A">
        <w:rPr>
          <w:rFonts w:ascii="Times New Roman" w:hAnsi="Times New Roman"/>
          <w:bCs/>
          <w:noProof/>
          <w:sz w:val="24"/>
          <w:szCs w:val="24"/>
        </w:rPr>
        <w:t>Consolidation of the petitions</w:t>
      </w:r>
      <w:r w:rsidRPr="00AD539A">
        <w:rPr>
          <w:rFonts w:ascii="Times New Roman" w:hAnsi="Times New Roman"/>
          <w:noProof/>
          <w:sz w:val="24"/>
          <w:szCs w:val="24"/>
        </w:rPr>
        <w:tab/>
      </w:r>
      <w:r w:rsidRPr="00AD539A">
        <w:rPr>
          <w:rFonts w:ascii="Times New Roman" w:hAnsi="Times New Roman"/>
          <w:noProof/>
          <w:sz w:val="24"/>
          <w:szCs w:val="24"/>
        </w:rPr>
        <w:fldChar w:fldCharType="begin"/>
      </w:r>
      <w:r w:rsidRPr="00AD539A">
        <w:rPr>
          <w:rFonts w:ascii="Times New Roman" w:hAnsi="Times New Roman"/>
          <w:noProof/>
          <w:sz w:val="24"/>
          <w:szCs w:val="24"/>
        </w:rPr>
        <w:instrText xml:space="preserve"> PAGEREF _Toc320823091 \h </w:instrText>
      </w:r>
      <w:r w:rsidRPr="00AD539A">
        <w:rPr>
          <w:rFonts w:ascii="Times New Roman" w:hAnsi="Times New Roman"/>
          <w:noProof/>
          <w:sz w:val="24"/>
          <w:szCs w:val="24"/>
        </w:rPr>
      </w:r>
      <w:r w:rsidRPr="00AD539A">
        <w:rPr>
          <w:rFonts w:ascii="Times New Roman" w:hAnsi="Times New Roman"/>
          <w:noProof/>
          <w:sz w:val="24"/>
          <w:szCs w:val="24"/>
        </w:rPr>
        <w:fldChar w:fldCharType="separate"/>
      </w:r>
      <w:r w:rsidRPr="00AD539A">
        <w:rPr>
          <w:rFonts w:ascii="Times New Roman" w:hAnsi="Times New Roman"/>
          <w:noProof/>
          <w:sz w:val="24"/>
          <w:szCs w:val="24"/>
        </w:rPr>
        <w:t>13</w:t>
      </w:r>
      <w:r w:rsidRPr="00AD539A">
        <w:rPr>
          <w:rFonts w:ascii="Times New Roman" w:hAnsi="Times New Roman"/>
          <w:noProof/>
          <w:sz w:val="24"/>
          <w:szCs w:val="24"/>
        </w:rPr>
        <w:fldChar w:fldCharType="end"/>
      </w:r>
    </w:p>
    <w:p w:rsidR="00AD539A" w:rsidRPr="008D3575" w:rsidRDefault="00AD539A">
      <w:pPr>
        <w:pStyle w:val="TOC3"/>
        <w:tabs>
          <w:tab w:val="left" w:pos="901"/>
          <w:tab w:val="right" w:leader="dot" w:pos="9352"/>
        </w:tabs>
        <w:rPr>
          <w:rFonts w:ascii="Times New Roman" w:eastAsia="MS Mincho" w:hAnsi="Times New Roman"/>
          <w:noProof/>
          <w:sz w:val="24"/>
          <w:szCs w:val="24"/>
          <w:lang w:val="de-DE" w:eastAsia="ja-JP"/>
        </w:rPr>
      </w:pPr>
      <w:r w:rsidRPr="00AD539A">
        <w:rPr>
          <w:rFonts w:ascii="Times New Roman" w:hAnsi="Times New Roman"/>
          <w:bCs/>
          <w:noProof/>
          <w:sz w:val="24"/>
          <w:szCs w:val="24"/>
        </w:rPr>
        <w:t>2.</w:t>
      </w:r>
      <w:r w:rsidRPr="008D3575">
        <w:rPr>
          <w:rFonts w:ascii="Times New Roman" w:eastAsia="MS Mincho" w:hAnsi="Times New Roman"/>
          <w:noProof/>
          <w:sz w:val="24"/>
          <w:szCs w:val="24"/>
          <w:lang w:val="de-DE" w:eastAsia="ja-JP"/>
        </w:rPr>
        <w:tab/>
      </w:r>
      <w:r w:rsidRPr="00AD539A">
        <w:rPr>
          <w:rFonts w:ascii="Times New Roman" w:hAnsi="Times New Roman"/>
          <w:bCs/>
          <w:noProof/>
          <w:sz w:val="24"/>
          <w:szCs w:val="24"/>
        </w:rPr>
        <w:t>Jurisdiction</w:t>
      </w:r>
      <w:r w:rsidRPr="00AD539A">
        <w:rPr>
          <w:rFonts w:ascii="Times New Roman" w:hAnsi="Times New Roman"/>
          <w:noProof/>
          <w:sz w:val="24"/>
          <w:szCs w:val="24"/>
        </w:rPr>
        <w:tab/>
      </w:r>
      <w:r w:rsidRPr="00AD539A">
        <w:rPr>
          <w:rFonts w:ascii="Times New Roman" w:hAnsi="Times New Roman"/>
          <w:noProof/>
          <w:sz w:val="24"/>
          <w:szCs w:val="24"/>
        </w:rPr>
        <w:fldChar w:fldCharType="begin"/>
      </w:r>
      <w:r w:rsidRPr="00AD539A">
        <w:rPr>
          <w:rFonts w:ascii="Times New Roman" w:hAnsi="Times New Roman"/>
          <w:noProof/>
          <w:sz w:val="24"/>
          <w:szCs w:val="24"/>
        </w:rPr>
        <w:instrText xml:space="preserve"> PAGEREF _Toc320823092 \h </w:instrText>
      </w:r>
      <w:r w:rsidRPr="00AD539A">
        <w:rPr>
          <w:rFonts w:ascii="Times New Roman" w:hAnsi="Times New Roman"/>
          <w:noProof/>
          <w:sz w:val="24"/>
          <w:szCs w:val="24"/>
        </w:rPr>
      </w:r>
      <w:r w:rsidRPr="00AD539A">
        <w:rPr>
          <w:rFonts w:ascii="Times New Roman" w:hAnsi="Times New Roman"/>
          <w:noProof/>
          <w:sz w:val="24"/>
          <w:szCs w:val="24"/>
        </w:rPr>
        <w:fldChar w:fldCharType="separate"/>
      </w:r>
      <w:r w:rsidRPr="00AD539A">
        <w:rPr>
          <w:rFonts w:ascii="Times New Roman" w:hAnsi="Times New Roman"/>
          <w:noProof/>
          <w:sz w:val="24"/>
          <w:szCs w:val="24"/>
        </w:rPr>
        <w:t>13</w:t>
      </w:r>
      <w:r w:rsidRPr="00AD539A">
        <w:rPr>
          <w:rFonts w:ascii="Times New Roman" w:hAnsi="Times New Roman"/>
          <w:noProof/>
          <w:sz w:val="24"/>
          <w:szCs w:val="24"/>
        </w:rPr>
        <w:fldChar w:fldCharType="end"/>
      </w:r>
    </w:p>
    <w:p w:rsidR="00AD539A" w:rsidRPr="008D3575" w:rsidRDefault="00AD539A">
      <w:pPr>
        <w:pStyle w:val="TOC3"/>
        <w:tabs>
          <w:tab w:val="left" w:pos="901"/>
          <w:tab w:val="right" w:leader="dot" w:pos="9352"/>
        </w:tabs>
        <w:rPr>
          <w:rFonts w:ascii="Times New Roman" w:eastAsia="MS Mincho" w:hAnsi="Times New Roman"/>
          <w:noProof/>
          <w:sz w:val="24"/>
          <w:szCs w:val="24"/>
          <w:lang w:val="de-DE" w:eastAsia="ja-JP"/>
        </w:rPr>
      </w:pPr>
      <w:r w:rsidRPr="00AD539A">
        <w:rPr>
          <w:rFonts w:ascii="Times New Roman" w:hAnsi="Times New Roman"/>
          <w:bCs/>
          <w:noProof/>
          <w:sz w:val="24"/>
          <w:szCs w:val="24"/>
        </w:rPr>
        <w:t>3.</w:t>
      </w:r>
      <w:r w:rsidRPr="008D3575">
        <w:rPr>
          <w:rFonts w:ascii="Times New Roman" w:eastAsia="MS Mincho" w:hAnsi="Times New Roman"/>
          <w:noProof/>
          <w:sz w:val="24"/>
          <w:szCs w:val="24"/>
          <w:lang w:val="de-DE" w:eastAsia="ja-JP"/>
        </w:rPr>
        <w:tab/>
      </w:r>
      <w:r w:rsidRPr="00AD539A">
        <w:rPr>
          <w:rFonts w:ascii="Times New Roman" w:hAnsi="Times New Roman"/>
          <w:bCs/>
          <w:noProof/>
          <w:sz w:val="24"/>
          <w:szCs w:val="24"/>
        </w:rPr>
        <w:t xml:space="preserve">Mr. Ricardo Manuín did not exhaust all available domestic remedies according to </w:t>
      </w:r>
      <w:r>
        <w:rPr>
          <w:rFonts w:ascii="Times New Roman" w:hAnsi="Times New Roman"/>
          <w:bCs/>
          <w:noProof/>
          <w:sz w:val="24"/>
          <w:szCs w:val="24"/>
        </w:rPr>
        <w:tab/>
      </w:r>
      <w:r w:rsidRPr="00AD539A">
        <w:rPr>
          <w:rFonts w:ascii="Times New Roman" w:hAnsi="Times New Roman"/>
          <w:bCs/>
          <w:noProof/>
          <w:sz w:val="24"/>
          <w:szCs w:val="24"/>
        </w:rPr>
        <w:t>Art. 46(1)(a), Art. 46(2) and Art. 47(a) ACHR</w:t>
      </w:r>
      <w:r w:rsidRPr="00AD539A">
        <w:rPr>
          <w:rFonts w:ascii="Times New Roman" w:hAnsi="Times New Roman"/>
          <w:noProof/>
          <w:sz w:val="24"/>
          <w:szCs w:val="24"/>
        </w:rPr>
        <w:tab/>
      </w:r>
      <w:r w:rsidRPr="00AD539A">
        <w:rPr>
          <w:rFonts w:ascii="Times New Roman" w:hAnsi="Times New Roman"/>
          <w:noProof/>
          <w:sz w:val="24"/>
          <w:szCs w:val="24"/>
        </w:rPr>
        <w:fldChar w:fldCharType="begin"/>
      </w:r>
      <w:r w:rsidRPr="00AD539A">
        <w:rPr>
          <w:rFonts w:ascii="Times New Roman" w:hAnsi="Times New Roman"/>
          <w:noProof/>
          <w:sz w:val="24"/>
          <w:szCs w:val="24"/>
        </w:rPr>
        <w:instrText xml:space="preserve"> PAGEREF _Toc320823093 \h </w:instrText>
      </w:r>
      <w:r w:rsidRPr="00AD539A">
        <w:rPr>
          <w:rFonts w:ascii="Times New Roman" w:hAnsi="Times New Roman"/>
          <w:noProof/>
          <w:sz w:val="24"/>
          <w:szCs w:val="24"/>
        </w:rPr>
      </w:r>
      <w:r w:rsidRPr="00AD539A">
        <w:rPr>
          <w:rFonts w:ascii="Times New Roman" w:hAnsi="Times New Roman"/>
          <w:noProof/>
          <w:sz w:val="24"/>
          <w:szCs w:val="24"/>
        </w:rPr>
        <w:fldChar w:fldCharType="separate"/>
      </w:r>
      <w:r w:rsidRPr="00AD539A">
        <w:rPr>
          <w:rFonts w:ascii="Times New Roman" w:hAnsi="Times New Roman"/>
          <w:noProof/>
          <w:sz w:val="24"/>
          <w:szCs w:val="24"/>
        </w:rPr>
        <w:t>15</w:t>
      </w:r>
      <w:r w:rsidRPr="00AD539A">
        <w:rPr>
          <w:rFonts w:ascii="Times New Roman" w:hAnsi="Times New Roman"/>
          <w:noProof/>
          <w:sz w:val="24"/>
          <w:szCs w:val="24"/>
        </w:rPr>
        <w:fldChar w:fldCharType="end"/>
      </w:r>
    </w:p>
    <w:p w:rsidR="00AD539A" w:rsidRPr="008D3575" w:rsidRDefault="00AD539A">
      <w:pPr>
        <w:pStyle w:val="TOC2"/>
        <w:tabs>
          <w:tab w:val="left" w:pos="674"/>
          <w:tab w:val="right" w:leader="dot" w:pos="9352"/>
        </w:tabs>
        <w:rPr>
          <w:rFonts w:ascii="Times New Roman" w:eastAsia="MS Mincho" w:hAnsi="Times New Roman"/>
          <w:b w:val="0"/>
          <w:noProof/>
          <w:sz w:val="24"/>
          <w:szCs w:val="24"/>
          <w:lang w:val="de-DE" w:eastAsia="ja-JP"/>
        </w:rPr>
      </w:pPr>
      <w:r w:rsidRPr="00AD539A">
        <w:rPr>
          <w:rFonts w:ascii="Times New Roman" w:hAnsi="Times New Roman"/>
          <w:b w:val="0"/>
          <w:bCs/>
          <w:noProof/>
          <w:sz w:val="24"/>
          <w:szCs w:val="24"/>
        </w:rPr>
        <w:t>B.</w:t>
      </w:r>
      <w:r w:rsidRPr="008D3575">
        <w:rPr>
          <w:rFonts w:ascii="Times New Roman" w:eastAsia="MS Mincho" w:hAnsi="Times New Roman"/>
          <w:b w:val="0"/>
          <w:noProof/>
          <w:sz w:val="24"/>
          <w:szCs w:val="24"/>
          <w:lang w:val="de-DE" w:eastAsia="ja-JP"/>
        </w:rPr>
        <w:tab/>
      </w:r>
      <w:r w:rsidRPr="00AD539A">
        <w:rPr>
          <w:rFonts w:ascii="Times New Roman" w:hAnsi="Times New Roman"/>
          <w:b w:val="0"/>
          <w:bCs/>
          <w:noProof/>
          <w:sz w:val="24"/>
          <w:szCs w:val="24"/>
        </w:rPr>
        <w:t>Alleged Violations</w:t>
      </w:r>
      <w:r w:rsidRPr="00AD539A">
        <w:rPr>
          <w:rFonts w:ascii="Times New Roman" w:hAnsi="Times New Roman"/>
          <w:b w:val="0"/>
          <w:noProof/>
          <w:sz w:val="24"/>
          <w:szCs w:val="24"/>
        </w:rPr>
        <w:tab/>
      </w:r>
      <w:r w:rsidRPr="00AD539A">
        <w:rPr>
          <w:rFonts w:ascii="Times New Roman" w:hAnsi="Times New Roman"/>
          <w:b w:val="0"/>
          <w:noProof/>
          <w:sz w:val="24"/>
          <w:szCs w:val="24"/>
        </w:rPr>
        <w:fldChar w:fldCharType="begin"/>
      </w:r>
      <w:r w:rsidRPr="00AD539A">
        <w:rPr>
          <w:rFonts w:ascii="Times New Roman" w:hAnsi="Times New Roman"/>
          <w:b w:val="0"/>
          <w:noProof/>
          <w:sz w:val="24"/>
          <w:szCs w:val="24"/>
        </w:rPr>
        <w:instrText xml:space="preserve"> PAGEREF _Toc320823094 \h </w:instrText>
      </w:r>
      <w:r w:rsidRPr="00AD539A">
        <w:rPr>
          <w:rFonts w:ascii="Times New Roman" w:hAnsi="Times New Roman"/>
          <w:b w:val="0"/>
          <w:noProof/>
          <w:sz w:val="24"/>
          <w:szCs w:val="24"/>
        </w:rPr>
      </w:r>
      <w:r w:rsidRPr="00AD539A">
        <w:rPr>
          <w:rFonts w:ascii="Times New Roman" w:hAnsi="Times New Roman"/>
          <w:b w:val="0"/>
          <w:noProof/>
          <w:sz w:val="24"/>
          <w:szCs w:val="24"/>
        </w:rPr>
        <w:fldChar w:fldCharType="separate"/>
      </w:r>
      <w:r w:rsidRPr="00AD539A">
        <w:rPr>
          <w:rFonts w:ascii="Times New Roman" w:hAnsi="Times New Roman"/>
          <w:b w:val="0"/>
          <w:noProof/>
          <w:sz w:val="24"/>
          <w:szCs w:val="24"/>
        </w:rPr>
        <w:t>17</w:t>
      </w:r>
      <w:r w:rsidRPr="00AD539A">
        <w:rPr>
          <w:rFonts w:ascii="Times New Roman" w:hAnsi="Times New Roman"/>
          <w:b w:val="0"/>
          <w:noProof/>
          <w:sz w:val="24"/>
          <w:szCs w:val="24"/>
        </w:rPr>
        <w:fldChar w:fldCharType="end"/>
      </w:r>
    </w:p>
    <w:p w:rsidR="00AD539A" w:rsidRPr="008D3575" w:rsidRDefault="00AD539A">
      <w:pPr>
        <w:pStyle w:val="TOC3"/>
        <w:tabs>
          <w:tab w:val="left" w:pos="901"/>
          <w:tab w:val="right" w:leader="dot" w:pos="9352"/>
        </w:tabs>
        <w:rPr>
          <w:rFonts w:ascii="Times New Roman" w:eastAsia="MS Mincho" w:hAnsi="Times New Roman"/>
          <w:noProof/>
          <w:sz w:val="24"/>
          <w:szCs w:val="24"/>
          <w:lang w:val="de-DE" w:eastAsia="ja-JP"/>
        </w:rPr>
      </w:pPr>
      <w:r w:rsidRPr="00AD539A">
        <w:rPr>
          <w:rFonts w:ascii="Times New Roman" w:hAnsi="Times New Roman"/>
          <w:noProof/>
          <w:sz w:val="24"/>
          <w:szCs w:val="24"/>
        </w:rPr>
        <w:t>1.</w:t>
      </w:r>
      <w:r w:rsidRPr="008D3575">
        <w:rPr>
          <w:rFonts w:ascii="Times New Roman" w:eastAsia="MS Mincho" w:hAnsi="Times New Roman"/>
          <w:noProof/>
          <w:sz w:val="24"/>
          <w:szCs w:val="24"/>
          <w:lang w:val="de-DE" w:eastAsia="ja-JP"/>
        </w:rPr>
        <w:tab/>
      </w:r>
      <w:r w:rsidRPr="00AD539A">
        <w:rPr>
          <w:rFonts w:ascii="Times New Roman" w:hAnsi="Times New Roman"/>
          <w:noProof/>
          <w:sz w:val="24"/>
          <w:szCs w:val="24"/>
        </w:rPr>
        <w:t>The respondent State fulfilled all its legal obligations with regard to</w:t>
      </w:r>
      <w:r w:rsidRPr="00AD539A">
        <w:rPr>
          <w:rFonts w:ascii="Times New Roman" w:hAnsi="Times New Roman"/>
          <w:bCs/>
          <w:noProof/>
          <w:sz w:val="24"/>
          <w:szCs w:val="24"/>
        </w:rPr>
        <w:t xml:space="preserve"> Edmundo Camana, </w:t>
      </w:r>
      <w:r>
        <w:rPr>
          <w:rFonts w:ascii="Times New Roman" w:hAnsi="Times New Roman"/>
          <w:bCs/>
          <w:noProof/>
          <w:sz w:val="24"/>
          <w:szCs w:val="24"/>
        </w:rPr>
        <w:tab/>
      </w:r>
      <w:r w:rsidRPr="00AD539A">
        <w:rPr>
          <w:rFonts w:ascii="Times New Roman" w:hAnsi="Times New Roman"/>
          <w:bCs/>
          <w:noProof/>
          <w:sz w:val="24"/>
          <w:szCs w:val="24"/>
        </w:rPr>
        <w:t>his family and Lucía Camana Osorio</w:t>
      </w:r>
      <w:r w:rsidRPr="00AD539A">
        <w:rPr>
          <w:rFonts w:ascii="Times New Roman" w:hAnsi="Times New Roman"/>
          <w:noProof/>
          <w:sz w:val="24"/>
          <w:szCs w:val="24"/>
        </w:rPr>
        <w:tab/>
      </w:r>
      <w:r w:rsidRPr="00AD539A">
        <w:rPr>
          <w:rFonts w:ascii="Times New Roman" w:hAnsi="Times New Roman"/>
          <w:noProof/>
          <w:sz w:val="24"/>
          <w:szCs w:val="24"/>
        </w:rPr>
        <w:fldChar w:fldCharType="begin"/>
      </w:r>
      <w:r w:rsidRPr="00AD539A">
        <w:rPr>
          <w:rFonts w:ascii="Times New Roman" w:hAnsi="Times New Roman"/>
          <w:noProof/>
          <w:sz w:val="24"/>
          <w:szCs w:val="24"/>
        </w:rPr>
        <w:instrText xml:space="preserve"> PAGEREF _Toc320823095 \h </w:instrText>
      </w:r>
      <w:r w:rsidRPr="00AD539A">
        <w:rPr>
          <w:rFonts w:ascii="Times New Roman" w:hAnsi="Times New Roman"/>
          <w:noProof/>
          <w:sz w:val="24"/>
          <w:szCs w:val="24"/>
        </w:rPr>
      </w:r>
      <w:r w:rsidRPr="00AD539A">
        <w:rPr>
          <w:rFonts w:ascii="Times New Roman" w:hAnsi="Times New Roman"/>
          <w:noProof/>
          <w:sz w:val="24"/>
          <w:szCs w:val="24"/>
        </w:rPr>
        <w:fldChar w:fldCharType="separate"/>
      </w:r>
      <w:r w:rsidRPr="00AD539A">
        <w:rPr>
          <w:rFonts w:ascii="Times New Roman" w:hAnsi="Times New Roman"/>
          <w:noProof/>
          <w:sz w:val="24"/>
          <w:szCs w:val="24"/>
        </w:rPr>
        <w:t>17</w:t>
      </w:r>
      <w:r w:rsidRPr="00AD539A">
        <w:rPr>
          <w:rFonts w:ascii="Times New Roman" w:hAnsi="Times New Roman"/>
          <w:noProof/>
          <w:sz w:val="24"/>
          <w:szCs w:val="24"/>
        </w:rPr>
        <w:fldChar w:fldCharType="end"/>
      </w:r>
    </w:p>
    <w:p w:rsidR="00AD539A" w:rsidRPr="008D3575" w:rsidRDefault="00AD539A">
      <w:pPr>
        <w:pStyle w:val="TOC4"/>
        <w:tabs>
          <w:tab w:val="left" w:pos="1149"/>
          <w:tab w:val="right" w:leader="dot" w:pos="9352"/>
        </w:tabs>
        <w:rPr>
          <w:rFonts w:ascii="Times New Roman" w:eastAsia="MS Mincho" w:hAnsi="Times New Roman"/>
          <w:noProof/>
          <w:sz w:val="24"/>
          <w:szCs w:val="24"/>
          <w:lang w:val="de-DE" w:eastAsia="ja-JP"/>
        </w:rPr>
      </w:pPr>
      <w:r w:rsidRPr="00AD539A">
        <w:rPr>
          <w:rFonts w:ascii="Times New Roman" w:hAnsi="Times New Roman"/>
          <w:noProof/>
          <w:sz w:val="24"/>
          <w:szCs w:val="24"/>
        </w:rPr>
        <w:t>a)</w:t>
      </w:r>
      <w:r w:rsidRPr="008D3575">
        <w:rPr>
          <w:rFonts w:ascii="Times New Roman" w:eastAsia="MS Mincho" w:hAnsi="Times New Roman"/>
          <w:noProof/>
          <w:sz w:val="24"/>
          <w:szCs w:val="24"/>
          <w:lang w:val="de-DE" w:eastAsia="ja-JP"/>
        </w:rPr>
        <w:tab/>
      </w:r>
      <w:r w:rsidRPr="00AD539A">
        <w:rPr>
          <w:rFonts w:ascii="Times New Roman" w:hAnsi="Times New Roman"/>
          <w:noProof/>
          <w:sz w:val="24"/>
          <w:szCs w:val="24"/>
        </w:rPr>
        <w:t xml:space="preserve">The respondent State fulfilled all its legal obligations with regard to the right to a fair </w:t>
      </w:r>
      <w:r>
        <w:rPr>
          <w:rFonts w:ascii="Times New Roman" w:hAnsi="Times New Roman"/>
          <w:noProof/>
          <w:sz w:val="24"/>
          <w:szCs w:val="24"/>
        </w:rPr>
        <w:tab/>
      </w:r>
      <w:r w:rsidRPr="00AD539A">
        <w:rPr>
          <w:rFonts w:ascii="Times New Roman" w:hAnsi="Times New Roman"/>
          <w:noProof/>
          <w:sz w:val="24"/>
          <w:szCs w:val="24"/>
        </w:rPr>
        <w:t>trial in accordance with Art. 8, Art. 1(1) and Art. 2 ACHR</w:t>
      </w:r>
      <w:r w:rsidRPr="00AD539A">
        <w:rPr>
          <w:rFonts w:ascii="Times New Roman" w:hAnsi="Times New Roman"/>
          <w:noProof/>
          <w:sz w:val="24"/>
          <w:szCs w:val="24"/>
        </w:rPr>
        <w:tab/>
      </w:r>
      <w:r w:rsidRPr="00AD539A">
        <w:rPr>
          <w:rFonts w:ascii="Times New Roman" w:hAnsi="Times New Roman"/>
          <w:noProof/>
          <w:sz w:val="24"/>
          <w:szCs w:val="24"/>
        </w:rPr>
        <w:fldChar w:fldCharType="begin"/>
      </w:r>
      <w:r w:rsidRPr="00AD539A">
        <w:rPr>
          <w:rFonts w:ascii="Times New Roman" w:hAnsi="Times New Roman"/>
          <w:noProof/>
          <w:sz w:val="24"/>
          <w:szCs w:val="24"/>
        </w:rPr>
        <w:instrText xml:space="preserve"> PAGEREF _Toc320823096 \h </w:instrText>
      </w:r>
      <w:r w:rsidRPr="00AD539A">
        <w:rPr>
          <w:rFonts w:ascii="Times New Roman" w:hAnsi="Times New Roman"/>
          <w:noProof/>
          <w:sz w:val="24"/>
          <w:szCs w:val="24"/>
        </w:rPr>
      </w:r>
      <w:r w:rsidRPr="00AD539A">
        <w:rPr>
          <w:rFonts w:ascii="Times New Roman" w:hAnsi="Times New Roman"/>
          <w:noProof/>
          <w:sz w:val="24"/>
          <w:szCs w:val="24"/>
        </w:rPr>
        <w:fldChar w:fldCharType="separate"/>
      </w:r>
      <w:r w:rsidRPr="00AD539A">
        <w:rPr>
          <w:rFonts w:ascii="Times New Roman" w:hAnsi="Times New Roman"/>
          <w:noProof/>
          <w:sz w:val="24"/>
          <w:szCs w:val="24"/>
        </w:rPr>
        <w:t>17</w:t>
      </w:r>
      <w:r w:rsidRPr="00AD539A">
        <w:rPr>
          <w:rFonts w:ascii="Times New Roman" w:hAnsi="Times New Roman"/>
          <w:noProof/>
          <w:sz w:val="24"/>
          <w:szCs w:val="24"/>
        </w:rPr>
        <w:fldChar w:fldCharType="end"/>
      </w:r>
    </w:p>
    <w:p w:rsidR="00AD539A" w:rsidRPr="008D3575" w:rsidRDefault="00AD539A">
      <w:pPr>
        <w:pStyle w:val="TOC4"/>
        <w:tabs>
          <w:tab w:val="left" w:pos="1160"/>
          <w:tab w:val="right" w:leader="dot" w:pos="9352"/>
        </w:tabs>
        <w:rPr>
          <w:rFonts w:ascii="Times New Roman" w:eastAsia="MS Mincho" w:hAnsi="Times New Roman"/>
          <w:noProof/>
          <w:sz w:val="24"/>
          <w:szCs w:val="24"/>
          <w:lang w:val="de-DE" w:eastAsia="ja-JP"/>
        </w:rPr>
      </w:pPr>
      <w:r w:rsidRPr="00AD539A">
        <w:rPr>
          <w:rFonts w:ascii="Times New Roman" w:hAnsi="Times New Roman"/>
          <w:noProof/>
          <w:sz w:val="24"/>
          <w:szCs w:val="24"/>
        </w:rPr>
        <w:t>b)</w:t>
      </w:r>
      <w:r w:rsidRPr="008D3575">
        <w:rPr>
          <w:rFonts w:ascii="Times New Roman" w:eastAsia="MS Mincho" w:hAnsi="Times New Roman"/>
          <w:noProof/>
          <w:sz w:val="24"/>
          <w:szCs w:val="24"/>
          <w:lang w:val="de-DE" w:eastAsia="ja-JP"/>
        </w:rPr>
        <w:tab/>
      </w:r>
      <w:r w:rsidRPr="00AD539A">
        <w:rPr>
          <w:rFonts w:ascii="Times New Roman" w:hAnsi="Times New Roman"/>
          <w:noProof/>
          <w:sz w:val="24"/>
          <w:szCs w:val="24"/>
        </w:rPr>
        <w:t xml:space="preserve">The respondent State fulfilled all its legal obligations with regard to the right to </w:t>
      </w:r>
      <w:r>
        <w:rPr>
          <w:rFonts w:ascii="Times New Roman" w:hAnsi="Times New Roman"/>
          <w:noProof/>
          <w:sz w:val="24"/>
          <w:szCs w:val="24"/>
        </w:rPr>
        <w:tab/>
      </w:r>
      <w:r w:rsidRPr="00AD539A">
        <w:rPr>
          <w:rFonts w:ascii="Times New Roman" w:hAnsi="Times New Roman"/>
          <w:noProof/>
          <w:sz w:val="24"/>
          <w:szCs w:val="24"/>
        </w:rPr>
        <w:t>judicial protection in accordance with Art. 25, Art. 1(1) and Art. 2 ACHR</w:t>
      </w:r>
      <w:r w:rsidRPr="00AD539A">
        <w:rPr>
          <w:rFonts w:ascii="Times New Roman" w:hAnsi="Times New Roman"/>
          <w:noProof/>
          <w:sz w:val="24"/>
          <w:szCs w:val="24"/>
        </w:rPr>
        <w:tab/>
      </w:r>
      <w:r w:rsidRPr="00AD539A">
        <w:rPr>
          <w:rFonts w:ascii="Times New Roman" w:hAnsi="Times New Roman"/>
          <w:noProof/>
          <w:sz w:val="24"/>
          <w:szCs w:val="24"/>
        </w:rPr>
        <w:fldChar w:fldCharType="begin"/>
      </w:r>
      <w:r w:rsidRPr="00AD539A">
        <w:rPr>
          <w:rFonts w:ascii="Times New Roman" w:hAnsi="Times New Roman"/>
          <w:noProof/>
          <w:sz w:val="24"/>
          <w:szCs w:val="24"/>
        </w:rPr>
        <w:instrText xml:space="preserve"> PAGEREF _Toc320823097 \h </w:instrText>
      </w:r>
      <w:r w:rsidRPr="00AD539A">
        <w:rPr>
          <w:rFonts w:ascii="Times New Roman" w:hAnsi="Times New Roman"/>
          <w:noProof/>
          <w:sz w:val="24"/>
          <w:szCs w:val="24"/>
        </w:rPr>
      </w:r>
      <w:r w:rsidRPr="00AD539A">
        <w:rPr>
          <w:rFonts w:ascii="Times New Roman" w:hAnsi="Times New Roman"/>
          <w:noProof/>
          <w:sz w:val="24"/>
          <w:szCs w:val="24"/>
        </w:rPr>
        <w:fldChar w:fldCharType="separate"/>
      </w:r>
      <w:r w:rsidRPr="00AD539A">
        <w:rPr>
          <w:rFonts w:ascii="Times New Roman" w:hAnsi="Times New Roman"/>
          <w:noProof/>
          <w:sz w:val="24"/>
          <w:szCs w:val="24"/>
        </w:rPr>
        <w:t>19</w:t>
      </w:r>
      <w:r w:rsidRPr="00AD539A">
        <w:rPr>
          <w:rFonts w:ascii="Times New Roman" w:hAnsi="Times New Roman"/>
          <w:noProof/>
          <w:sz w:val="24"/>
          <w:szCs w:val="24"/>
        </w:rPr>
        <w:fldChar w:fldCharType="end"/>
      </w:r>
    </w:p>
    <w:p w:rsidR="00AD539A" w:rsidRPr="008D3575" w:rsidRDefault="00AD539A">
      <w:pPr>
        <w:pStyle w:val="TOC4"/>
        <w:tabs>
          <w:tab w:val="left" w:pos="1135"/>
          <w:tab w:val="right" w:leader="dot" w:pos="9352"/>
        </w:tabs>
        <w:rPr>
          <w:rFonts w:ascii="Times New Roman" w:eastAsia="MS Mincho" w:hAnsi="Times New Roman"/>
          <w:noProof/>
          <w:sz w:val="24"/>
          <w:szCs w:val="24"/>
          <w:lang w:val="de-DE" w:eastAsia="ja-JP"/>
        </w:rPr>
      </w:pPr>
      <w:r w:rsidRPr="00AD539A">
        <w:rPr>
          <w:rFonts w:ascii="Times New Roman" w:hAnsi="Times New Roman"/>
          <w:noProof/>
          <w:color w:val="000000"/>
          <w:sz w:val="24"/>
          <w:szCs w:val="24"/>
        </w:rPr>
        <w:t>c)</w:t>
      </w:r>
      <w:r w:rsidRPr="008D3575">
        <w:rPr>
          <w:rFonts w:ascii="Times New Roman" w:eastAsia="MS Mincho" w:hAnsi="Times New Roman"/>
          <w:noProof/>
          <w:sz w:val="24"/>
          <w:szCs w:val="24"/>
          <w:lang w:val="de-DE" w:eastAsia="ja-JP"/>
        </w:rPr>
        <w:tab/>
      </w:r>
      <w:r w:rsidRPr="00AD539A">
        <w:rPr>
          <w:rFonts w:ascii="Times New Roman" w:hAnsi="Times New Roman"/>
          <w:noProof/>
          <w:sz w:val="24"/>
          <w:szCs w:val="24"/>
        </w:rPr>
        <w:t xml:space="preserve">The respondent State fulfilled all legal obligations with regard to the right to life in </w:t>
      </w:r>
      <w:r>
        <w:rPr>
          <w:rFonts w:ascii="Times New Roman" w:hAnsi="Times New Roman"/>
          <w:noProof/>
          <w:sz w:val="24"/>
          <w:szCs w:val="24"/>
        </w:rPr>
        <w:tab/>
      </w:r>
      <w:r w:rsidRPr="00AD539A">
        <w:rPr>
          <w:rFonts w:ascii="Times New Roman" w:hAnsi="Times New Roman"/>
          <w:noProof/>
          <w:sz w:val="24"/>
          <w:szCs w:val="24"/>
        </w:rPr>
        <w:t>accordance with Art. 4(1) ACHR</w:t>
      </w:r>
      <w:r w:rsidRPr="00AD539A">
        <w:rPr>
          <w:rFonts w:ascii="Times New Roman" w:hAnsi="Times New Roman"/>
          <w:noProof/>
          <w:sz w:val="24"/>
          <w:szCs w:val="24"/>
        </w:rPr>
        <w:tab/>
      </w:r>
      <w:r w:rsidRPr="00AD539A">
        <w:rPr>
          <w:rFonts w:ascii="Times New Roman" w:hAnsi="Times New Roman"/>
          <w:noProof/>
          <w:sz w:val="24"/>
          <w:szCs w:val="24"/>
        </w:rPr>
        <w:fldChar w:fldCharType="begin"/>
      </w:r>
      <w:r w:rsidRPr="00AD539A">
        <w:rPr>
          <w:rFonts w:ascii="Times New Roman" w:hAnsi="Times New Roman"/>
          <w:noProof/>
          <w:sz w:val="24"/>
          <w:szCs w:val="24"/>
        </w:rPr>
        <w:instrText xml:space="preserve"> PAGEREF _Toc320823098 \h </w:instrText>
      </w:r>
      <w:r w:rsidRPr="00AD539A">
        <w:rPr>
          <w:rFonts w:ascii="Times New Roman" w:hAnsi="Times New Roman"/>
          <w:noProof/>
          <w:sz w:val="24"/>
          <w:szCs w:val="24"/>
        </w:rPr>
      </w:r>
      <w:r w:rsidRPr="00AD539A">
        <w:rPr>
          <w:rFonts w:ascii="Times New Roman" w:hAnsi="Times New Roman"/>
          <w:noProof/>
          <w:sz w:val="24"/>
          <w:szCs w:val="24"/>
        </w:rPr>
        <w:fldChar w:fldCharType="separate"/>
      </w:r>
      <w:r w:rsidRPr="00AD539A">
        <w:rPr>
          <w:rFonts w:ascii="Times New Roman" w:hAnsi="Times New Roman"/>
          <w:noProof/>
          <w:sz w:val="24"/>
          <w:szCs w:val="24"/>
        </w:rPr>
        <w:t>20</w:t>
      </w:r>
      <w:r w:rsidRPr="00AD539A">
        <w:rPr>
          <w:rFonts w:ascii="Times New Roman" w:hAnsi="Times New Roman"/>
          <w:noProof/>
          <w:sz w:val="24"/>
          <w:szCs w:val="24"/>
        </w:rPr>
        <w:fldChar w:fldCharType="end"/>
      </w:r>
    </w:p>
    <w:p w:rsidR="00AD539A" w:rsidRPr="008D3575" w:rsidRDefault="00AD539A">
      <w:pPr>
        <w:pStyle w:val="TOC4"/>
        <w:tabs>
          <w:tab w:val="left" w:pos="1161"/>
          <w:tab w:val="right" w:leader="dot" w:pos="9352"/>
        </w:tabs>
        <w:rPr>
          <w:rFonts w:ascii="Times New Roman" w:eastAsia="MS Mincho" w:hAnsi="Times New Roman"/>
          <w:noProof/>
          <w:sz w:val="24"/>
          <w:szCs w:val="24"/>
          <w:lang w:val="de-DE" w:eastAsia="ja-JP"/>
        </w:rPr>
      </w:pPr>
      <w:r w:rsidRPr="00AD539A">
        <w:rPr>
          <w:rFonts w:ascii="Times New Roman" w:hAnsi="Times New Roman"/>
          <w:noProof/>
          <w:sz w:val="24"/>
          <w:szCs w:val="24"/>
        </w:rPr>
        <w:t>d)</w:t>
      </w:r>
      <w:r w:rsidRPr="008D3575">
        <w:rPr>
          <w:rFonts w:ascii="Times New Roman" w:eastAsia="MS Mincho" w:hAnsi="Times New Roman"/>
          <w:noProof/>
          <w:sz w:val="24"/>
          <w:szCs w:val="24"/>
          <w:lang w:val="de-DE" w:eastAsia="ja-JP"/>
        </w:rPr>
        <w:tab/>
      </w:r>
      <w:r w:rsidRPr="00AD539A">
        <w:rPr>
          <w:rFonts w:ascii="Times New Roman" w:hAnsi="Times New Roman"/>
          <w:noProof/>
          <w:sz w:val="24"/>
          <w:szCs w:val="24"/>
        </w:rPr>
        <w:t xml:space="preserve">The respondent State fulfilled all its legal obligations with regard to the right to </w:t>
      </w:r>
      <w:r>
        <w:rPr>
          <w:rFonts w:ascii="Times New Roman" w:hAnsi="Times New Roman"/>
          <w:noProof/>
          <w:sz w:val="24"/>
          <w:szCs w:val="24"/>
        </w:rPr>
        <w:tab/>
      </w:r>
      <w:r w:rsidRPr="00AD539A">
        <w:rPr>
          <w:rFonts w:ascii="Times New Roman" w:hAnsi="Times New Roman"/>
          <w:noProof/>
          <w:sz w:val="24"/>
          <w:szCs w:val="24"/>
        </w:rPr>
        <w:t>humane treatment in accordance with Art. 5, Art. 1(1) and Art. 2 ACHR</w:t>
      </w:r>
      <w:r w:rsidRPr="00AD539A">
        <w:rPr>
          <w:rFonts w:ascii="Times New Roman" w:hAnsi="Times New Roman"/>
          <w:noProof/>
          <w:sz w:val="24"/>
          <w:szCs w:val="24"/>
        </w:rPr>
        <w:tab/>
      </w:r>
      <w:r w:rsidRPr="00AD539A">
        <w:rPr>
          <w:rFonts w:ascii="Times New Roman" w:hAnsi="Times New Roman"/>
          <w:noProof/>
          <w:sz w:val="24"/>
          <w:szCs w:val="24"/>
        </w:rPr>
        <w:fldChar w:fldCharType="begin"/>
      </w:r>
      <w:r w:rsidRPr="00AD539A">
        <w:rPr>
          <w:rFonts w:ascii="Times New Roman" w:hAnsi="Times New Roman"/>
          <w:noProof/>
          <w:sz w:val="24"/>
          <w:szCs w:val="24"/>
        </w:rPr>
        <w:instrText xml:space="preserve"> PAGEREF _Toc320823099 \h </w:instrText>
      </w:r>
      <w:r w:rsidRPr="00AD539A">
        <w:rPr>
          <w:rFonts w:ascii="Times New Roman" w:hAnsi="Times New Roman"/>
          <w:noProof/>
          <w:sz w:val="24"/>
          <w:szCs w:val="24"/>
        </w:rPr>
      </w:r>
      <w:r w:rsidRPr="00AD539A">
        <w:rPr>
          <w:rFonts w:ascii="Times New Roman" w:hAnsi="Times New Roman"/>
          <w:noProof/>
          <w:sz w:val="24"/>
          <w:szCs w:val="24"/>
        </w:rPr>
        <w:fldChar w:fldCharType="separate"/>
      </w:r>
      <w:r w:rsidRPr="00AD539A">
        <w:rPr>
          <w:rFonts w:ascii="Times New Roman" w:hAnsi="Times New Roman"/>
          <w:noProof/>
          <w:sz w:val="24"/>
          <w:szCs w:val="24"/>
        </w:rPr>
        <w:t>21</w:t>
      </w:r>
      <w:r w:rsidRPr="00AD539A">
        <w:rPr>
          <w:rFonts w:ascii="Times New Roman" w:hAnsi="Times New Roman"/>
          <w:noProof/>
          <w:sz w:val="24"/>
          <w:szCs w:val="24"/>
        </w:rPr>
        <w:fldChar w:fldCharType="end"/>
      </w:r>
    </w:p>
    <w:p w:rsidR="00AD539A" w:rsidRPr="008D3575" w:rsidRDefault="00AD539A">
      <w:pPr>
        <w:pStyle w:val="TOC4"/>
        <w:tabs>
          <w:tab w:val="left" w:pos="1148"/>
          <w:tab w:val="right" w:leader="dot" w:pos="9352"/>
        </w:tabs>
        <w:rPr>
          <w:rFonts w:ascii="Times New Roman" w:eastAsia="MS Mincho" w:hAnsi="Times New Roman"/>
          <w:noProof/>
          <w:sz w:val="24"/>
          <w:szCs w:val="24"/>
          <w:lang w:val="de-DE" w:eastAsia="ja-JP"/>
        </w:rPr>
      </w:pPr>
      <w:r w:rsidRPr="00AD539A">
        <w:rPr>
          <w:rFonts w:ascii="Times New Roman" w:hAnsi="Times New Roman"/>
          <w:noProof/>
          <w:sz w:val="24"/>
          <w:szCs w:val="24"/>
        </w:rPr>
        <w:t>e)</w:t>
      </w:r>
      <w:r w:rsidRPr="008D3575">
        <w:rPr>
          <w:rFonts w:ascii="Times New Roman" w:eastAsia="MS Mincho" w:hAnsi="Times New Roman"/>
          <w:noProof/>
          <w:sz w:val="24"/>
          <w:szCs w:val="24"/>
          <w:lang w:val="de-DE" w:eastAsia="ja-JP"/>
        </w:rPr>
        <w:tab/>
      </w:r>
      <w:r w:rsidRPr="00AD539A">
        <w:rPr>
          <w:rFonts w:ascii="Times New Roman" w:hAnsi="Times New Roman"/>
          <w:noProof/>
          <w:sz w:val="24"/>
          <w:szCs w:val="24"/>
        </w:rPr>
        <w:t xml:space="preserve">The respondent State fulfilled all its legal obligations with regard to the right of </w:t>
      </w:r>
      <w:r>
        <w:rPr>
          <w:rFonts w:ascii="Times New Roman" w:hAnsi="Times New Roman"/>
          <w:noProof/>
          <w:sz w:val="24"/>
          <w:szCs w:val="24"/>
        </w:rPr>
        <w:tab/>
      </w:r>
      <w:r w:rsidRPr="00AD539A">
        <w:rPr>
          <w:rFonts w:ascii="Times New Roman" w:hAnsi="Times New Roman"/>
          <w:noProof/>
          <w:sz w:val="24"/>
          <w:szCs w:val="24"/>
        </w:rPr>
        <w:t>freedom of association in accordance with Art. 16 ACHR</w:t>
      </w:r>
      <w:r w:rsidRPr="00AD539A">
        <w:rPr>
          <w:rFonts w:ascii="Times New Roman" w:hAnsi="Times New Roman"/>
          <w:noProof/>
          <w:sz w:val="24"/>
          <w:szCs w:val="24"/>
        </w:rPr>
        <w:tab/>
      </w:r>
      <w:r w:rsidRPr="00AD539A">
        <w:rPr>
          <w:rFonts w:ascii="Times New Roman" w:hAnsi="Times New Roman"/>
          <w:noProof/>
          <w:sz w:val="24"/>
          <w:szCs w:val="24"/>
        </w:rPr>
        <w:fldChar w:fldCharType="begin"/>
      </w:r>
      <w:r w:rsidRPr="00AD539A">
        <w:rPr>
          <w:rFonts w:ascii="Times New Roman" w:hAnsi="Times New Roman"/>
          <w:noProof/>
          <w:sz w:val="24"/>
          <w:szCs w:val="24"/>
        </w:rPr>
        <w:instrText xml:space="preserve"> PAGEREF _Toc320823100 \h </w:instrText>
      </w:r>
      <w:r w:rsidRPr="00AD539A">
        <w:rPr>
          <w:rFonts w:ascii="Times New Roman" w:hAnsi="Times New Roman"/>
          <w:noProof/>
          <w:sz w:val="24"/>
          <w:szCs w:val="24"/>
        </w:rPr>
      </w:r>
      <w:r w:rsidRPr="00AD539A">
        <w:rPr>
          <w:rFonts w:ascii="Times New Roman" w:hAnsi="Times New Roman"/>
          <w:noProof/>
          <w:sz w:val="24"/>
          <w:szCs w:val="24"/>
        </w:rPr>
        <w:fldChar w:fldCharType="separate"/>
      </w:r>
      <w:r w:rsidRPr="00AD539A">
        <w:rPr>
          <w:rFonts w:ascii="Times New Roman" w:hAnsi="Times New Roman"/>
          <w:noProof/>
          <w:sz w:val="24"/>
          <w:szCs w:val="24"/>
        </w:rPr>
        <w:t>21</w:t>
      </w:r>
      <w:r w:rsidRPr="00AD539A">
        <w:rPr>
          <w:rFonts w:ascii="Times New Roman" w:hAnsi="Times New Roman"/>
          <w:noProof/>
          <w:sz w:val="24"/>
          <w:szCs w:val="24"/>
        </w:rPr>
        <w:fldChar w:fldCharType="end"/>
      </w:r>
    </w:p>
    <w:p w:rsidR="00AD539A" w:rsidRPr="008D3575" w:rsidRDefault="00AD539A">
      <w:pPr>
        <w:pStyle w:val="TOC4"/>
        <w:tabs>
          <w:tab w:val="left" w:pos="1107"/>
          <w:tab w:val="right" w:leader="dot" w:pos="9352"/>
        </w:tabs>
        <w:rPr>
          <w:rFonts w:ascii="Times New Roman" w:eastAsia="MS Mincho" w:hAnsi="Times New Roman"/>
          <w:noProof/>
          <w:sz w:val="24"/>
          <w:szCs w:val="24"/>
          <w:lang w:val="de-DE" w:eastAsia="ja-JP"/>
        </w:rPr>
      </w:pPr>
      <w:r w:rsidRPr="00AD539A">
        <w:rPr>
          <w:rFonts w:ascii="Times New Roman" w:hAnsi="Times New Roman"/>
          <w:noProof/>
          <w:sz w:val="24"/>
          <w:szCs w:val="24"/>
        </w:rPr>
        <w:lastRenderedPageBreak/>
        <w:t>f)</w:t>
      </w:r>
      <w:r w:rsidRPr="008D3575">
        <w:rPr>
          <w:rFonts w:ascii="Times New Roman" w:eastAsia="MS Mincho" w:hAnsi="Times New Roman"/>
          <w:noProof/>
          <w:sz w:val="24"/>
          <w:szCs w:val="24"/>
          <w:lang w:val="de-DE" w:eastAsia="ja-JP"/>
        </w:rPr>
        <w:tab/>
      </w:r>
      <w:r w:rsidRPr="00AD539A">
        <w:rPr>
          <w:rFonts w:ascii="Times New Roman" w:hAnsi="Times New Roman"/>
          <w:noProof/>
          <w:sz w:val="24"/>
          <w:szCs w:val="24"/>
        </w:rPr>
        <w:t xml:space="preserve">The respondent State fulfilled all its legal obligations with regard to the rights of the </w:t>
      </w:r>
      <w:r>
        <w:rPr>
          <w:rFonts w:ascii="Times New Roman" w:hAnsi="Times New Roman"/>
          <w:noProof/>
          <w:sz w:val="24"/>
          <w:szCs w:val="24"/>
        </w:rPr>
        <w:tab/>
      </w:r>
      <w:r w:rsidRPr="00AD539A">
        <w:rPr>
          <w:rFonts w:ascii="Times New Roman" w:hAnsi="Times New Roman"/>
          <w:noProof/>
          <w:sz w:val="24"/>
          <w:szCs w:val="24"/>
        </w:rPr>
        <w:t>family in accordance with Art. 17(1), Art. 1(1) and Art. 2 ACHR</w:t>
      </w:r>
      <w:r w:rsidRPr="00AD539A">
        <w:rPr>
          <w:rFonts w:ascii="Times New Roman" w:hAnsi="Times New Roman"/>
          <w:noProof/>
          <w:sz w:val="24"/>
          <w:szCs w:val="24"/>
        </w:rPr>
        <w:tab/>
      </w:r>
      <w:r w:rsidRPr="00AD539A">
        <w:rPr>
          <w:rFonts w:ascii="Times New Roman" w:hAnsi="Times New Roman"/>
          <w:noProof/>
          <w:sz w:val="24"/>
          <w:szCs w:val="24"/>
        </w:rPr>
        <w:fldChar w:fldCharType="begin"/>
      </w:r>
      <w:r w:rsidRPr="00AD539A">
        <w:rPr>
          <w:rFonts w:ascii="Times New Roman" w:hAnsi="Times New Roman"/>
          <w:noProof/>
          <w:sz w:val="24"/>
          <w:szCs w:val="24"/>
        </w:rPr>
        <w:instrText xml:space="preserve"> PAGEREF _Toc320823101 \h </w:instrText>
      </w:r>
      <w:r w:rsidRPr="00AD539A">
        <w:rPr>
          <w:rFonts w:ascii="Times New Roman" w:hAnsi="Times New Roman"/>
          <w:noProof/>
          <w:sz w:val="24"/>
          <w:szCs w:val="24"/>
        </w:rPr>
      </w:r>
      <w:r w:rsidRPr="00AD539A">
        <w:rPr>
          <w:rFonts w:ascii="Times New Roman" w:hAnsi="Times New Roman"/>
          <w:noProof/>
          <w:sz w:val="24"/>
          <w:szCs w:val="24"/>
        </w:rPr>
        <w:fldChar w:fldCharType="separate"/>
      </w:r>
      <w:r w:rsidRPr="00AD539A">
        <w:rPr>
          <w:rFonts w:ascii="Times New Roman" w:hAnsi="Times New Roman"/>
          <w:noProof/>
          <w:sz w:val="24"/>
          <w:szCs w:val="24"/>
        </w:rPr>
        <w:t>22</w:t>
      </w:r>
      <w:r w:rsidRPr="00AD539A">
        <w:rPr>
          <w:rFonts w:ascii="Times New Roman" w:hAnsi="Times New Roman"/>
          <w:noProof/>
          <w:sz w:val="24"/>
          <w:szCs w:val="24"/>
        </w:rPr>
        <w:fldChar w:fldCharType="end"/>
      </w:r>
    </w:p>
    <w:p w:rsidR="00AD539A" w:rsidRPr="008D3575" w:rsidRDefault="00AD539A">
      <w:pPr>
        <w:pStyle w:val="TOC3"/>
        <w:tabs>
          <w:tab w:val="left" w:pos="901"/>
          <w:tab w:val="right" w:leader="dot" w:pos="9352"/>
        </w:tabs>
        <w:rPr>
          <w:rFonts w:ascii="Times New Roman" w:eastAsia="MS Mincho" w:hAnsi="Times New Roman"/>
          <w:noProof/>
          <w:sz w:val="24"/>
          <w:szCs w:val="24"/>
          <w:lang w:val="de-DE" w:eastAsia="ja-JP"/>
        </w:rPr>
      </w:pPr>
      <w:r w:rsidRPr="00AD539A">
        <w:rPr>
          <w:rFonts w:ascii="Times New Roman" w:hAnsi="Times New Roman"/>
          <w:noProof/>
          <w:sz w:val="24"/>
          <w:szCs w:val="24"/>
        </w:rPr>
        <w:t>2.</w:t>
      </w:r>
      <w:r w:rsidRPr="008D3575">
        <w:rPr>
          <w:rFonts w:ascii="Times New Roman" w:eastAsia="MS Mincho" w:hAnsi="Times New Roman"/>
          <w:noProof/>
          <w:sz w:val="24"/>
          <w:szCs w:val="24"/>
          <w:lang w:val="de-DE" w:eastAsia="ja-JP"/>
        </w:rPr>
        <w:tab/>
      </w:r>
      <w:r w:rsidRPr="00AD539A">
        <w:rPr>
          <w:rFonts w:ascii="Times New Roman" w:hAnsi="Times New Roman"/>
          <w:noProof/>
          <w:sz w:val="24"/>
          <w:szCs w:val="24"/>
        </w:rPr>
        <w:t>The respondent State fulfilled all its legal obligations with regard to</w:t>
      </w:r>
      <w:r w:rsidRPr="00AD539A">
        <w:rPr>
          <w:rFonts w:ascii="Times New Roman" w:hAnsi="Times New Roman"/>
          <w:bCs/>
          <w:noProof/>
          <w:sz w:val="24"/>
          <w:szCs w:val="24"/>
        </w:rPr>
        <w:t xml:space="preserve"> the </w:t>
      </w:r>
      <w:r w:rsidRPr="00AD539A">
        <w:rPr>
          <w:rFonts w:ascii="Times New Roman" w:hAnsi="Times New Roman"/>
          <w:noProof/>
          <w:sz w:val="24"/>
          <w:szCs w:val="24"/>
        </w:rPr>
        <w:t xml:space="preserve">next of kin of </w:t>
      </w:r>
      <w:r>
        <w:rPr>
          <w:rFonts w:ascii="Times New Roman" w:hAnsi="Times New Roman"/>
          <w:noProof/>
          <w:sz w:val="24"/>
          <w:szCs w:val="24"/>
        </w:rPr>
        <w:tab/>
      </w:r>
      <w:r w:rsidRPr="00AD539A">
        <w:rPr>
          <w:rFonts w:ascii="Times New Roman" w:hAnsi="Times New Roman"/>
          <w:noProof/>
          <w:sz w:val="24"/>
          <w:szCs w:val="24"/>
        </w:rPr>
        <w:t>the Camana Osorio family</w:t>
      </w:r>
      <w:r w:rsidRPr="00AD539A">
        <w:rPr>
          <w:rFonts w:ascii="Times New Roman" w:hAnsi="Times New Roman"/>
          <w:noProof/>
          <w:sz w:val="24"/>
          <w:szCs w:val="24"/>
        </w:rPr>
        <w:tab/>
      </w:r>
      <w:r w:rsidRPr="00AD539A">
        <w:rPr>
          <w:rFonts w:ascii="Times New Roman" w:hAnsi="Times New Roman"/>
          <w:noProof/>
          <w:sz w:val="24"/>
          <w:szCs w:val="24"/>
        </w:rPr>
        <w:fldChar w:fldCharType="begin"/>
      </w:r>
      <w:r w:rsidRPr="00AD539A">
        <w:rPr>
          <w:rFonts w:ascii="Times New Roman" w:hAnsi="Times New Roman"/>
          <w:noProof/>
          <w:sz w:val="24"/>
          <w:szCs w:val="24"/>
        </w:rPr>
        <w:instrText xml:space="preserve"> PAGEREF _Toc320823102 \h </w:instrText>
      </w:r>
      <w:r w:rsidRPr="00AD539A">
        <w:rPr>
          <w:rFonts w:ascii="Times New Roman" w:hAnsi="Times New Roman"/>
          <w:noProof/>
          <w:sz w:val="24"/>
          <w:szCs w:val="24"/>
        </w:rPr>
      </w:r>
      <w:r w:rsidRPr="00AD539A">
        <w:rPr>
          <w:rFonts w:ascii="Times New Roman" w:hAnsi="Times New Roman"/>
          <w:noProof/>
          <w:sz w:val="24"/>
          <w:szCs w:val="24"/>
        </w:rPr>
        <w:fldChar w:fldCharType="separate"/>
      </w:r>
      <w:r w:rsidRPr="00AD539A">
        <w:rPr>
          <w:rFonts w:ascii="Times New Roman" w:hAnsi="Times New Roman"/>
          <w:noProof/>
          <w:sz w:val="24"/>
          <w:szCs w:val="24"/>
        </w:rPr>
        <w:t>24</w:t>
      </w:r>
      <w:r w:rsidRPr="00AD539A">
        <w:rPr>
          <w:rFonts w:ascii="Times New Roman" w:hAnsi="Times New Roman"/>
          <w:noProof/>
          <w:sz w:val="24"/>
          <w:szCs w:val="24"/>
        </w:rPr>
        <w:fldChar w:fldCharType="end"/>
      </w:r>
    </w:p>
    <w:p w:rsidR="00AD539A" w:rsidRPr="008D3575" w:rsidRDefault="00AD539A">
      <w:pPr>
        <w:pStyle w:val="TOC4"/>
        <w:tabs>
          <w:tab w:val="left" w:pos="1149"/>
          <w:tab w:val="right" w:leader="dot" w:pos="9352"/>
        </w:tabs>
        <w:rPr>
          <w:rFonts w:ascii="Times New Roman" w:eastAsia="MS Mincho" w:hAnsi="Times New Roman"/>
          <w:noProof/>
          <w:sz w:val="24"/>
          <w:szCs w:val="24"/>
          <w:lang w:val="de-DE" w:eastAsia="ja-JP"/>
        </w:rPr>
      </w:pPr>
      <w:r w:rsidRPr="00AD539A">
        <w:rPr>
          <w:rFonts w:ascii="Times New Roman" w:hAnsi="Times New Roman"/>
          <w:noProof/>
          <w:sz w:val="24"/>
          <w:szCs w:val="24"/>
        </w:rPr>
        <w:t>a)</w:t>
      </w:r>
      <w:r w:rsidRPr="008D3575">
        <w:rPr>
          <w:rFonts w:ascii="Times New Roman" w:eastAsia="MS Mincho" w:hAnsi="Times New Roman"/>
          <w:noProof/>
          <w:sz w:val="24"/>
          <w:szCs w:val="24"/>
          <w:lang w:val="de-DE" w:eastAsia="ja-JP"/>
        </w:rPr>
        <w:tab/>
      </w:r>
      <w:r w:rsidRPr="00AD539A">
        <w:rPr>
          <w:rFonts w:ascii="Times New Roman" w:hAnsi="Times New Roman"/>
          <w:noProof/>
          <w:sz w:val="24"/>
          <w:szCs w:val="24"/>
        </w:rPr>
        <w:t xml:space="preserve">The respondent State fulfilled all its legal obligations with regard to the right to </w:t>
      </w:r>
      <w:r>
        <w:rPr>
          <w:rFonts w:ascii="Times New Roman" w:hAnsi="Times New Roman"/>
          <w:noProof/>
          <w:sz w:val="24"/>
          <w:szCs w:val="24"/>
        </w:rPr>
        <w:tab/>
      </w:r>
      <w:r w:rsidRPr="00AD539A">
        <w:rPr>
          <w:rFonts w:ascii="Times New Roman" w:hAnsi="Times New Roman"/>
          <w:noProof/>
          <w:sz w:val="24"/>
          <w:szCs w:val="24"/>
        </w:rPr>
        <w:t>humane treatment in accordance with Art. 5(1), Art. 1(1) and Art. 2 ACHR</w:t>
      </w:r>
      <w:r w:rsidRPr="00AD539A">
        <w:rPr>
          <w:rFonts w:ascii="Times New Roman" w:hAnsi="Times New Roman"/>
          <w:noProof/>
          <w:sz w:val="24"/>
          <w:szCs w:val="24"/>
        </w:rPr>
        <w:tab/>
      </w:r>
      <w:r w:rsidRPr="00AD539A">
        <w:rPr>
          <w:rFonts w:ascii="Times New Roman" w:hAnsi="Times New Roman"/>
          <w:noProof/>
          <w:sz w:val="24"/>
          <w:szCs w:val="24"/>
        </w:rPr>
        <w:fldChar w:fldCharType="begin"/>
      </w:r>
      <w:r w:rsidRPr="00AD539A">
        <w:rPr>
          <w:rFonts w:ascii="Times New Roman" w:hAnsi="Times New Roman"/>
          <w:noProof/>
          <w:sz w:val="24"/>
          <w:szCs w:val="24"/>
        </w:rPr>
        <w:instrText xml:space="preserve"> PAGEREF _Toc320823103 \h </w:instrText>
      </w:r>
      <w:r w:rsidRPr="00AD539A">
        <w:rPr>
          <w:rFonts w:ascii="Times New Roman" w:hAnsi="Times New Roman"/>
          <w:noProof/>
          <w:sz w:val="24"/>
          <w:szCs w:val="24"/>
        </w:rPr>
      </w:r>
      <w:r w:rsidRPr="00AD539A">
        <w:rPr>
          <w:rFonts w:ascii="Times New Roman" w:hAnsi="Times New Roman"/>
          <w:noProof/>
          <w:sz w:val="24"/>
          <w:szCs w:val="24"/>
        </w:rPr>
        <w:fldChar w:fldCharType="separate"/>
      </w:r>
      <w:r w:rsidRPr="00AD539A">
        <w:rPr>
          <w:rFonts w:ascii="Times New Roman" w:hAnsi="Times New Roman"/>
          <w:noProof/>
          <w:sz w:val="24"/>
          <w:szCs w:val="24"/>
        </w:rPr>
        <w:t>24</w:t>
      </w:r>
      <w:r w:rsidRPr="00AD539A">
        <w:rPr>
          <w:rFonts w:ascii="Times New Roman" w:hAnsi="Times New Roman"/>
          <w:noProof/>
          <w:sz w:val="24"/>
          <w:szCs w:val="24"/>
        </w:rPr>
        <w:fldChar w:fldCharType="end"/>
      </w:r>
    </w:p>
    <w:p w:rsidR="00AD539A" w:rsidRPr="008D3575" w:rsidRDefault="00AD539A">
      <w:pPr>
        <w:pStyle w:val="TOC3"/>
        <w:tabs>
          <w:tab w:val="left" w:pos="901"/>
          <w:tab w:val="right" w:leader="dot" w:pos="9352"/>
        </w:tabs>
        <w:rPr>
          <w:rFonts w:ascii="Times New Roman" w:eastAsia="MS Mincho" w:hAnsi="Times New Roman"/>
          <w:noProof/>
          <w:sz w:val="24"/>
          <w:szCs w:val="24"/>
          <w:lang w:val="de-DE" w:eastAsia="ja-JP"/>
        </w:rPr>
      </w:pPr>
      <w:r w:rsidRPr="00AD539A">
        <w:rPr>
          <w:rFonts w:ascii="Times New Roman" w:hAnsi="Times New Roman"/>
          <w:bCs/>
          <w:noProof/>
          <w:sz w:val="24"/>
          <w:szCs w:val="24"/>
        </w:rPr>
        <w:t>3.</w:t>
      </w:r>
      <w:r w:rsidRPr="008D3575">
        <w:rPr>
          <w:rFonts w:ascii="Times New Roman" w:eastAsia="MS Mincho" w:hAnsi="Times New Roman"/>
          <w:noProof/>
          <w:sz w:val="24"/>
          <w:szCs w:val="24"/>
          <w:lang w:val="de-DE" w:eastAsia="ja-JP"/>
        </w:rPr>
        <w:tab/>
      </w:r>
      <w:r w:rsidRPr="00AD539A">
        <w:rPr>
          <w:rFonts w:ascii="Times New Roman" w:hAnsi="Times New Roman"/>
          <w:noProof/>
          <w:sz w:val="24"/>
          <w:szCs w:val="24"/>
        </w:rPr>
        <w:t>The respondent State fulfilled all its legal obligations with regard to</w:t>
      </w:r>
      <w:r w:rsidRPr="00AD539A">
        <w:rPr>
          <w:rFonts w:ascii="Times New Roman" w:hAnsi="Times New Roman"/>
          <w:bCs/>
          <w:noProof/>
          <w:sz w:val="24"/>
          <w:szCs w:val="24"/>
        </w:rPr>
        <w:t xml:space="preserve"> the Pichicha people</w:t>
      </w:r>
      <w:r w:rsidRPr="00AD539A">
        <w:rPr>
          <w:rFonts w:ascii="Times New Roman" w:hAnsi="Times New Roman"/>
          <w:noProof/>
          <w:sz w:val="24"/>
          <w:szCs w:val="24"/>
        </w:rPr>
        <w:tab/>
      </w:r>
      <w:r w:rsidRPr="00AD539A">
        <w:rPr>
          <w:rFonts w:ascii="Times New Roman" w:hAnsi="Times New Roman"/>
          <w:noProof/>
          <w:sz w:val="24"/>
          <w:szCs w:val="24"/>
        </w:rPr>
        <w:fldChar w:fldCharType="begin"/>
      </w:r>
      <w:r w:rsidRPr="00AD539A">
        <w:rPr>
          <w:rFonts w:ascii="Times New Roman" w:hAnsi="Times New Roman"/>
          <w:noProof/>
          <w:sz w:val="24"/>
          <w:szCs w:val="24"/>
        </w:rPr>
        <w:instrText xml:space="preserve"> PAGEREF _Toc320823104 \h </w:instrText>
      </w:r>
      <w:r w:rsidRPr="00AD539A">
        <w:rPr>
          <w:rFonts w:ascii="Times New Roman" w:hAnsi="Times New Roman"/>
          <w:noProof/>
          <w:sz w:val="24"/>
          <w:szCs w:val="24"/>
        </w:rPr>
      </w:r>
      <w:r w:rsidRPr="00AD539A">
        <w:rPr>
          <w:rFonts w:ascii="Times New Roman" w:hAnsi="Times New Roman"/>
          <w:noProof/>
          <w:sz w:val="24"/>
          <w:szCs w:val="24"/>
        </w:rPr>
        <w:fldChar w:fldCharType="separate"/>
      </w:r>
      <w:r w:rsidRPr="00AD539A">
        <w:rPr>
          <w:rFonts w:ascii="Times New Roman" w:hAnsi="Times New Roman"/>
          <w:noProof/>
          <w:sz w:val="24"/>
          <w:szCs w:val="24"/>
        </w:rPr>
        <w:t>25</w:t>
      </w:r>
      <w:r w:rsidRPr="00AD539A">
        <w:rPr>
          <w:rFonts w:ascii="Times New Roman" w:hAnsi="Times New Roman"/>
          <w:noProof/>
          <w:sz w:val="24"/>
          <w:szCs w:val="24"/>
        </w:rPr>
        <w:fldChar w:fldCharType="end"/>
      </w:r>
    </w:p>
    <w:p w:rsidR="00AD539A" w:rsidRPr="008D3575" w:rsidRDefault="00AD539A">
      <w:pPr>
        <w:pStyle w:val="TOC4"/>
        <w:tabs>
          <w:tab w:val="left" w:pos="1149"/>
          <w:tab w:val="right" w:leader="dot" w:pos="9352"/>
        </w:tabs>
        <w:rPr>
          <w:rFonts w:ascii="Times New Roman" w:eastAsia="MS Mincho" w:hAnsi="Times New Roman"/>
          <w:noProof/>
          <w:sz w:val="24"/>
          <w:szCs w:val="24"/>
          <w:lang w:val="de-DE" w:eastAsia="ja-JP"/>
        </w:rPr>
      </w:pPr>
      <w:r w:rsidRPr="00AD539A">
        <w:rPr>
          <w:rFonts w:ascii="Times New Roman" w:hAnsi="Times New Roman"/>
          <w:noProof/>
          <w:sz w:val="24"/>
          <w:szCs w:val="24"/>
        </w:rPr>
        <w:t>a)</w:t>
      </w:r>
      <w:r w:rsidRPr="008D3575">
        <w:rPr>
          <w:rFonts w:ascii="Times New Roman" w:eastAsia="MS Mincho" w:hAnsi="Times New Roman"/>
          <w:noProof/>
          <w:sz w:val="24"/>
          <w:szCs w:val="24"/>
          <w:lang w:val="de-DE" w:eastAsia="ja-JP"/>
        </w:rPr>
        <w:tab/>
      </w:r>
      <w:r w:rsidRPr="00AD539A">
        <w:rPr>
          <w:rFonts w:ascii="Times New Roman" w:hAnsi="Times New Roman"/>
          <w:noProof/>
          <w:sz w:val="24"/>
          <w:szCs w:val="24"/>
        </w:rPr>
        <w:t xml:space="preserve">The respondent State fulfilled all its legal obligations with regard to the right to </w:t>
      </w:r>
      <w:r>
        <w:rPr>
          <w:rFonts w:ascii="Times New Roman" w:hAnsi="Times New Roman"/>
          <w:noProof/>
          <w:sz w:val="24"/>
          <w:szCs w:val="24"/>
        </w:rPr>
        <w:tab/>
      </w:r>
      <w:r w:rsidRPr="00AD539A">
        <w:rPr>
          <w:rFonts w:ascii="Times New Roman" w:hAnsi="Times New Roman"/>
          <w:noProof/>
          <w:sz w:val="24"/>
          <w:szCs w:val="24"/>
        </w:rPr>
        <w:t>humane treatment in accordance with Art. 5 ACHR</w:t>
      </w:r>
      <w:r w:rsidRPr="00AD539A">
        <w:rPr>
          <w:rFonts w:ascii="Times New Roman" w:hAnsi="Times New Roman"/>
          <w:noProof/>
          <w:sz w:val="24"/>
          <w:szCs w:val="24"/>
        </w:rPr>
        <w:tab/>
      </w:r>
      <w:r w:rsidRPr="00AD539A">
        <w:rPr>
          <w:rFonts w:ascii="Times New Roman" w:hAnsi="Times New Roman"/>
          <w:noProof/>
          <w:sz w:val="24"/>
          <w:szCs w:val="24"/>
        </w:rPr>
        <w:fldChar w:fldCharType="begin"/>
      </w:r>
      <w:r w:rsidRPr="00AD539A">
        <w:rPr>
          <w:rFonts w:ascii="Times New Roman" w:hAnsi="Times New Roman"/>
          <w:noProof/>
          <w:sz w:val="24"/>
          <w:szCs w:val="24"/>
        </w:rPr>
        <w:instrText xml:space="preserve"> PAGEREF _Toc320823105 \h </w:instrText>
      </w:r>
      <w:r w:rsidRPr="00AD539A">
        <w:rPr>
          <w:rFonts w:ascii="Times New Roman" w:hAnsi="Times New Roman"/>
          <w:noProof/>
          <w:sz w:val="24"/>
          <w:szCs w:val="24"/>
        </w:rPr>
      </w:r>
      <w:r w:rsidRPr="00AD539A">
        <w:rPr>
          <w:rFonts w:ascii="Times New Roman" w:hAnsi="Times New Roman"/>
          <w:noProof/>
          <w:sz w:val="24"/>
          <w:szCs w:val="24"/>
        </w:rPr>
        <w:fldChar w:fldCharType="separate"/>
      </w:r>
      <w:r w:rsidRPr="00AD539A">
        <w:rPr>
          <w:rFonts w:ascii="Times New Roman" w:hAnsi="Times New Roman"/>
          <w:noProof/>
          <w:sz w:val="24"/>
          <w:szCs w:val="24"/>
        </w:rPr>
        <w:t>25</w:t>
      </w:r>
      <w:r w:rsidRPr="00AD539A">
        <w:rPr>
          <w:rFonts w:ascii="Times New Roman" w:hAnsi="Times New Roman"/>
          <w:noProof/>
          <w:sz w:val="24"/>
          <w:szCs w:val="24"/>
        </w:rPr>
        <w:fldChar w:fldCharType="end"/>
      </w:r>
    </w:p>
    <w:p w:rsidR="00AD539A" w:rsidRPr="008D3575" w:rsidRDefault="00AD539A">
      <w:pPr>
        <w:pStyle w:val="TOC4"/>
        <w:tabs>
          <w:tab w:val="left" w:pos="1149"/>
          <w:tab w:val="right" w:leader="dot" w:pos="9352"/>
        </w:tabs>
        <w:rPr>
          <w:rFonts w:ascii="Times New Roman" w:eastAsia="MS Mincho" w:hAnsi="Times New Roman"/>
          <w:noProof/>
          <w:sz w:val="24"/>
          <w:szCs w:val="24"/>
          <w:lang w:val="de-DE" w:eastAsia="ja-JP"/>
        </w:rPr>
      </w:pPr>
      <w:r w:rsidRPr="00AD539A">
        <w:rPr>
          <w:rFonts w:ascii="Times New Roman" w:hAnsi="Times New Roman"/>
          <w:noProof/>
          <w:sz w:val="24"/>
          <w:szCs w:val="24"/>
        </w:rPr>
        <w:t>a)</w:t>
      </w:r>
      <w:r w:rsidRPr="008D3575">
        <w:rPr>
          <w:rFonts w:ascii="Times New Roman" w:eastAsia="MS Mincho" w:hAnsi="Times New Roman"/>
          <w:noProof/>
          <w:sz w:val="24"/>
          <w:szCs w:val="24"/>
          <w:lang w:val="de-DE" w:eastAsia="ja-JP"/>
        </w:rPr>
        <w:tab/>
      </w:r>
      <w:r w:rsidRPr="00AD539A">
        <w:rPr>
          <w:rFonts w:ascii="Times New Roman" w:hAnsi="Times New Roman"/>
          <w:noProof/>
          <w:sz w:val="24"/>
          <w:szCs w:val="24"/>
        </w:rPr>
        <w:t xml:space="preserve">The respondent State fulfilled all its legal obligations with regard to the right to a fair </w:t>
      </w:r>
      <w:r>
        <w:rPr>
          <w:rFonts w:ascii="Times New Roman" w:hAnsi="Times New Roman"/>
          <w:noProof/>
          <w:sz w:val="24"/>
          <w:szCs w:val="24"/>
        </w:rPr>
        <w:tab/>
      </w:r>
      <w:r w:rsidRPr="00AD539A">
        <w:rPr>
          <w:rFonts w:ascii="Times New Roman" w:hAnsi="Times New Roman"/>
          <w:noProof/>
          <w:sz w:val="24"/>
          <w:szCs w:val="24"/>
        </w:rPr>
        <w:t>trial in accordance with Art. 8, Art. 1(1) and Art. 2 ACHR</w:t>
      </w:r>
      <w:r w:rsidRPr="00AD539A">
        <w:rPr>
          <w:rFonts w:ascii="Times New Roman" w:hAnsi="Times New Roman"/>
          <w:noProof/>
          <w:sz w:val="24"/>
          <w:szCs w:val="24"/>
        </w:rPr>
        <w:tab/>
      </w:r>
      <w:r w:rsidRPr="00AD539A">
        <w:rPr>
          <w:rFonts w:ascii="Times New Roman" w:hAnsi="Times New Roman"/>
          <w:noProof/>
          <w:sz w:val="24"/>
          <w:szCs w:val="24"/>
        </w:rPr>
        <w:fldChar w:fldCharType="begin"/>
      </w:r>
      <w:r w:rsidRPr="00AD539A">
        <w:rPr>
          <w:rFonts w:ascii="Times New Roman" w:hAnsi="Times New Roman"/>
          <w:noProof/>
          <w:sz w:val="24"/>
          <w:szCs w:val="24"/>
        </w:rPr>
        <w:instrText xml:space="preserve"> PAGEREF _Toc320823106 \h </w:instrText>
      </w:r>
      <w:r w:rsidRPr="00AD539A">
        <w:rPr>
          <w:rFonts w:ascii="Times New Roman" w:hAnsi="Times New Roman"/>
          <w:noProof/>
          <w:sz w:val="24"/>
          <w:szCs w:val="24"/>
        </w:rPr>
      </w:r>
      <w:r w:rsidRPr="00AD539A">
        <w:rPr>
          <w:rFonts w:ascii="Times New Roman" w:hAnsi="Times New Roman"/>
          <w:noProof/>
          <w:sz w:val="24"/>
          <w:szCs w:val="24"/>
        </w:rPr>
        <w:fldChar w:fldCharType="separate"/>
      </w:r>
      <w:r w:rsidRPr="00AD539A">
        <w:rPr>
          <w:rFonts w:ascii="Times New Roman" w:hAnsi="Times New Roman"/>
          <w:noProof/>
          <w:sz w:val="24"/>
          <w:szCs w:val="24"/>
        </w:rPr>
        <w:t>28</w:t>
      </w:r>
      <w:r w:rsidRPr="00AD539A">
        <w:rPr>
          <w:rFonts w:ascii="Times New Roman" w:hAnsi="Times New Roman"/>
          <w:noProof/>
          <w:sz w:val="24"/>
          <w:szCs w:val="24"/>
        </w:rPr>
        <w:fldChar w:fldCharType="end"/>
      </w:r>
    </w:p>
    <w:p w:rsidR="00AD539A" w:rsidRPr="008D3575" w:rsidRDefault="00AD539A">
      <w:pPr>
        <w:pStyle w:val="TOC4"/>
        <w:tabs>
          <w:tab w:val="left" w:pos="1160"/>
          <w:tab w:val="right" w:leader="dot" w:pos="9352"/>
        </w:tabs>
        <w:rPr>
          <w:rFonts w:ascii="Times New Roman" w:eastAsia="MS Mincho" w:hAnsi="Times New Roman"/>
          <w:noProof/>
          <w:sz w:val="24"/>
          <w:szCs w:val="24"/>
          <w:lang w:val="de-DE" w:eastAsia="ja-JP"/>
        </w:rPr>
      </w:pPr>
      <w:r w:rsidRPr="00AD539A">
        <w:rPr>
          <w:rFonts w:ascii="Times New Roman" w:hAnsi="Times New Roman"/>
          <w:noProof/>
          <w:sz w:val="24"/>
          <w:szCs w:val="24"/>
        </w:rPr>
        <w:t>b)</w:t>
      </w:r>
      <w:r w:rsidRPr="008D3575">
        <w:rPr>
          <w:rFonts w:ascii="Times New Roman" w:eastAsia="MS Mincho" w:hAnsi="Times New Roman"/>
          <w:noProof/>
          <w:sz w:val="24"/>
          <w:szCs w:val="24"/>
          <w:lang w:val="de-DE" w:eastAsia="ja-JP"/>
        </w:rPr>
        <w:tab/>
      </w:r>
      <w:r w:rsidRPr="00AD539A">
        <w:rPr>
          <w:rFonts w:ascii="Times New Roman" w:hAnsi="Times New Roman"/>
          <w:noProof/>
          <w:sz w:val="24"/>
          <w:szCs w:val="24"/>
        </w:rPr>
        <w:t xml:space="preserve">The respondent State fulfilled all its legal obligations with regard to the right to </w:t>
      </w:r>
      <w:r>
        <w:rPr>
          <w:rFonts w:ascii="Times New Roman" w:hAnsi="Times New Roman"/>
          <w:noProof/>
          <w:sz w:val="24"/>
          <w:szCs w:val="24"/>
        </w:rPr>
        <w:tab/>
      </w:r>
      <w:r w:rsidRPr="00AD539A">
        <w:rPr>
          <w:rFonts w:ascii="Times New Roman" w:hAnsi="Times New Roman"/>
          <w:noProof/>
          <w:sz w:val="24"/>
          <w:szCs w:val="24"/>
        </w:rPr>
        <w:t>judicial protection in accordance with Art. 25, Art. 1(1) and Art. 2 ACHR</w:t>
      </w:r>
      <w:r w:rsidRPr="00AD539A">
        <w:rPr>
          <w:rFonts w:ascii="Times New Roman" w:hAnsi="Times New Roman"/>
          <w:noProof/>
          <w:sz w:val="24"/>
          <w:szCs w:val="24"/>
        </w:rPr>
        <w:tab/>
      </w:r>
      <w:r w:rsidRPr="00AD539A">
        <w:rPr>
          <w:rFonts w:ascii="Times New Roman" w:hAnsi="Times New Roman"/>
          <w:noProof/>
          <w:sz w:val="24"/>
          <w:szCs w:val="24"/>
        </w:rPr>
        <w:fldChar w:fldCharType="begin"/>
      </w:r>
      <w:r w:rsidRPr="00AD539A">
        <w:rPr>
          <w:rFonts w:ascii="Times New Roman" w:hAnsi="Times New Roman"/>
          <w:noProof/>
          <w:sz w:val="24"/>
          <w:szCs w:val="24"/>
        </w:rPr>
        <w:instrText xml:space="preserve"> PAGEREF _Toc320823107 \h </w:instrText>
      </w:r>
      <w:r w:rsidRPr="00AD539A">
        <w:rPr>
          <w:rFonts w:ascii="Times New Roman" w:hAnsi="Times New Roman"/>
          <w:noProof/>
          <w:sz w:val="24"/>
          <w:szCs w:val="24"/>
        </w:rPr>
      </w:r>
      <w:r w:rsidRPr="00AD539A">
        <w:rPr>
          <w:rFonts w:ascii="Times New Roman" w:hAnsi="Times New Roman"/>
          <w:noProof/>
          <w:sz w:val="24"/>
          <w:szCs w:val="24"/>
        </w:rPr>
        <w:fldChar w:fldCharType="separate"/>
      </w:r>
      <w:r w:rsidRPr="00AD539A">
        <w:rPr>
          <w:rFonts w:ascii="Times New Roman" w:hAnsi="Times New Roman"/>
          <w:noProof/>
          <w:sz w:val="24"/>
          <w:szCs w:val="24"/>
        </w:rPr>
        <w:t>29</w:t>
      </w:r>
      <w:r w:rsidRPr="00AD539A">
        <w:rPr>
          <w:rFonts w:ascii="Times New Roman" w:hAnsi="Times New Roman"/>
          <w:noProof/>
          <w:sz w:val="24"/>
          <w:szCs w:val="24"/>
        </w:rPr>
        <w:fldChar w:fldCharType="end"/>
      </w:r>
    </w:p>
    <w:p w:rsidR="00AD539A" w:rsidRPr="008D3575" w:rsidRDefault="00AD539A">
      <w:pPr>
        <w:pStyle w:val="TOC4"/>
        <w:tabs>
          <w:tab w:val="left" w:pos="1135"/>
          <w:tab w:val="right" w:leader="dot" w:pos="9352"/>
        </w:tabs>
        <w:rPr>
          <w:rFonts w:ascii="Times New Roman" w:eastAsia="MS Mincho" w:hAnsi="Times New Roman"/>
          <w:noProof/>
          <w:sz w:val="24"/>
          <w:szCs w:val="24"/>
          <w:lang w:val="de-DE" w:eastAsia="ja-JP"/>
        </w:rPr>
      </w:pPr>
      <w:r w:rsidRPr="00AD539A">
        <w:rPr>
          <w:rFonts w:ascii="Times New Roman" w:hAnsi="Times New Roman"/>
          <w:noProof/>
          <w:sz w:val="24"/>
          <w:szCs w:val="24"/>
        </w:rPr>
        <w:t>c)</w:t>
      </w:r>
      <w:r w:rsidRPr="008D3575">
        <w:rPr>
          <w:rFonts w:ascii="Times New Roman" w:eastAsia="MS Mincho" w:hAnsi="Times New Roman"/>
          <w:noProof/>
          <w:sz w:val="24"/>
          <w:szCs w:val="24"/>
          <w:lang w:val="de-DE" w:eastAsia="ja-JP"/>
        </w:rPr>
        <w:tab/>
      </w:r>
      <w:r w:rsidRPr="00AD539A">
        <w:rPr>
          <w:rFonts w:ascii="Times New Roman" w:hAnsi="Times New Roman"/>
          <w:noProof/>
          <w:sz w:val="24"/>
          <w:szCs w:val="24"/>
        </w:rPr>
        <w:t xml:space="preserve">The respondent State fulfilled all its legal obligations with regard to the </w:t>
      </w:r>
      <w:r w:rsidRPr="00AD539A">
        <w:rPr>
          <w:rFonts w:ascii="Times New Roman" w:hAnsi="Times New Roman"/>
          <w:bCs/>
          <w:noProof/>
          <w:sz w:val="24"/>
          <w:szCs w:val="24"/>
        </w:rPr>
        <w:t xml:space="preserve">right to </w:t>
      </w:r>
      <w:r>
        <w:rPr>
          <w:rFonts w:ascii="Times New Roman" w:hAnsi="Times New Roman"/>
          <w:bCs/>
          <w:noProof/>
          <w:sz w:val="24"/>
          <w:szCs w:val="24"/>
        </w:rPr>
        <w:tab/>
      </w:r>
      <w:r w:rsidRPr="00AD539A">
        <w:rPr>
          <w:rFonts w:ascii="Times New Roman" w:hAnsi="Times New Roman"/>
          <w:bCs/>
          <w:noProof/>
          <w:sz w:val="24"/>
          <w:szCs w:val="24"/>
        </w:rPr>
        <w:t xml:space="preserve">property </w:t>
      </w:r>
      <w:r w:rsidRPr="00AD539A">
        <w:rPr>
          <w:rFonts w:ascii="Times New Roman" w:hAnsi="Times New Roman"/>
          <w:noProof/>
          <w:sz w:val="24"/>
          <w:szCs w:val="24"/>
        </w:rPr>
        <w:t xml:space="preserve">in accordance with </w:t>
      </w:r>
      <w:r w:rsidRPr="00AD539A">
        <w:rPr>
          <w:rFonts w:ascii="Times New Roman" w:hAnsi="Times New Roman"/>
          <w:bCs/>
          <w:noProof/>
          <w:sz w:val="24"/>
          <w:szCs w:val="24"/>
        </w:rPr>
        <w:t>Art. 21, Art. 1(1) and Art. 2 ACHR</w:t>
      </w:r>
      <w:r w:rsidRPr="00AD539A">
        <w:rPr>
          <w:rFonts w:ascii="Times New Roman" w:hAnsi="Times New Roman"/>
          <w:noProof/>
          <w:sz w:val="24"/>
          <w:szCs w:val="24"/>
        </w:rPr>
        <w:tab/>
      </w:r>
      <w:r w:rsidRPr="00AD539A">
        <w:rPr>
          <w:rFonts w:ascii="Times New Roman" w:hAnsi="Times New Roman"/>
          <w:noProof/>
          <w:sz w:val="24"/>
          <w:szCs w:val="24"/>
        </w:rPr>
        <w:fldChar w:fldCharType="begin"/>
      </w:r>
      <w:r w:rsidRPr="00AD539A">
        <w:rPr>
          <w:rFonts w:ascii="Times New Roman" w:hAnsi="Times New Roman"/>
          <w:noProof/>
          <w:sz w:val="24"/>
          <w:szCs w:val="24"/>
        </w:rPr>
        <w:instrText xml:space="preserve"> PAGEREF _Toc320823108 \h </w:instrText>
      </w:r>
      <w:r w:rsidRPr="00AD539A">
        <w:rPr>
          <w:rFonts w:ascii="Times New Roman" w:hAnsi="Times New Roman"/>
          <w:noProof/>
          <w:sz w:val="24"/>
          <w:szCs w:val="24"/>
        </w:rPr>
      </w:r>
      <w:r w:rsidRPr="00AD539A">
        <w:rPr>
          <w:rFonts w:ascii="Times New Roman" w:hAnsi="Times New Roman"/>
          <w:noProof/>
          <w:sz w:val="24"/>
          <w:szCs w:val="24"/>
        </w:rPr>
        <w:fldChar w:fldCharType="separate"/>
      </w:r>
      <w:r w:rsidRPr="00AD539A">
        <w:rPr>
          <w:rFonts w:ascii="Times New Roman" w:hAnsi="Times New Roman"/>
          <w:noProof/>
          <w:sz w:val="24"/>
          <w:szCs w:val="24"/>
        </w:rPr>
        <w:t>32</w:t>
      </w:r>
      <w:r w:rsidRPr="00AD539A">
        <w:rPr>
          <w:rFonts w:ascii="Times New Roman" w:hAnsi="Times New Roman"/>
          <w:noProof/>
          <w:sz w:val="24"/>
          <w:szCs w:val="24"/>
        </w:rPr>
        <w:fldChar w:fldCharType="end"/>
      </w:r>
    </w:p>
    <w:p w:rsidR="00AD539A" w:rsidRPr="008D3575" w:rsidRDefault="00AD539A">
      <w:pPr>
        <w:pStyle w:val="TOC4"/>
        <w:tabs>
          <w:tab w:val="left" w:pos="1161"/>
          <w:tab w:val="right" w:leader="dot" w:pos="9352"/>
        </w:tabs>
        <w:rPr>
          <w:rFonts w:ascii="Times New Roman" w:eastAsia="MS Mincho" w:hAnsi="Times New Roman"/>
          <w:noProof/>
          <w:sz w:val="24"/>
          <w:szCs w:val="24"/>
          <w:lang w:val="de-DE" w:eastAsia="ja-JP"/>
        </w:rPr>
      </w:pPr>
      <w:r w:rsidRPr="00AD539A">
        <w:rPr>
          <w:rFonts w:ascii="Times New Roman" w:hAnsi="Times New Roman"/>
          <w:bCs/>
          <w:noProof/>
          <w:sz w:val="24"/>
          <w:szCs w:val="24"/>
        </w:rPr>
        <w:t>d)</w:t>
      </w:r>
      <w:r w:rsidRPr="008D3575">
        <w:rPr>
          <w:rFonts w:ascii="Times New Roman" w:eastAsia="MS Mincho" w:hAnsi="Times New Roman"/>
          <w:noProof/>
          <w:sz w:val="24"/>
          <w:szCs w:val="24"/>
          <w:lang w:val="de-DE" w:eastAsia="ja-JP"/>
        </w:rPr>
        <w:tab/>
      </w:r>
      <w:r w:rsidRPr="00AD539A">
        <w:rPr>
          <w:rFonts w:ascii="Times New Roman" w:hAnsi="Times New Roman"/>
          <w:noProof/>
          <w:sz w:val="24"/>
          <w:szCs w:val="24"/>
        </w:rPr>
        <w:t xml:space="preserve">The respondent State fulfilled all its legal obligations with regard to the </w:t>
      </w:r>
      <w:r w:rsidRPr="00AD539A">
        <w:rPr>
          <w:rFonts w:ascii="Times New Roman" w:hAnsi="Times New Roman"/>
          <w:bCs/>
          <w:noProof/>
          <w:sz w:val="24"/>
          <w:szCs w:val="24"/>
        </w:rPr>
        <w:t xml:space="preserve">right to </w:t>
      </w:r>
      <w:r>
        <w:rPr>
          <w:rFonts w:ascii="Times New Roman" w:hAnsi="Times New Roman"/>
          <w:bCs/>
          <w:noProof/>
          <w:sz w:val="24"/>
          <w:szCs w:val="24"/>
        </w:rPr>
        <w:tab/>
      </w:r>
      <w:r w:rsidRPr="00AD539A">
        <w:rPr>
          <w:rFonts w:ascii="Times New Roman" w:hAnsi="Times New Roman"/>
          <w:bCs/>
          <w:noProof/>
          <w:sz w:val="24"/>
          <w:szCs w:val="24"/>
        </w:rPr>
        <w:t>progressive development in accordance with Art. 26 ACHR</w:t>
      </w:r>
      <w:r w:rsidRPr="00AD539A">
        <w:rPr>
          <w:rFonts w:ascii="Times New Roman" w:hAnsi="Times New Roman"/>
          <w:noProof/>
          <w:sz w:val="24"/>
          <w:szCs w:val="24"/>
        </w:rPr>
        <w:tab/>
      </w:r>
      <w:r w:rsidRPr="00AD539A">
        <w:rPr>
          <w:rFonts w:ascii="Times New Roman" w:hAnsi="Times New Roman"/>
          <w:noProof/>
          <w:sz w:val="24"/>
          <w:szCs w:val="24"/>
        </w:rPr>
        <w:fldChar w:fldCharType="begin"/>
      </w:r>
      <w:r w:rsidRPr="00AD539A">
        <w:rPr>
          <w:rFonts w:ascii="Times New Roman" w:hAnsi="Times New Roman"/>
          <w:noProof/>
          <w:sz w:val="24"/>
          <w:szCs w:val="24"/>
        </w:rPr>
        <w:instrText xml:space="preserve"> PAGEREF _Toc320823109 \h </w:instrText>
      </w:r>
      <w:r w:rsidRPr="00AD539A">
        <w:rPr>
          <w:rFonts w:ascii="Times New Roman" w:hAnsi="Times New Roman"/>
          <w:noProof/>
          <w:sz w:val="24"/>
          <w:szCs w:val="24"/>
        </w:rPr>
      </w:r>
      <w:r w:rsidRPr="00AD539A">
        <w:rPr>
          <w:rFonts w:ascii="Times New Roman" w:hAnsi="Times New Roman"/>
          <w:noProof/>
          <w:sz w:val="24"/>
          <w:szCs w:val="24"/>
        </w:rPr>
        <w:fldChar w:fldCharType="separate"/>
      </w:r>
      <w:r w:rsidRPr="00AD539A">
        <w:rPr>
          <w:rFonts w:ascii="Times New Roman" w:hAnsi="Times New Roman"/>
          <w:noProof/>
          <w:sz w:val="24"/>
          <w:szCs w:val="24"/>
        </w:rPr>
        <w:t>35</w:t>
      </w:r>
      <w:r w:rsidRPr="00AD539A">
        <w:rPr>
          <w:rFonts w:ascii="Times New Roman" w:hAnsi="Times New Roman"/>
          <w:noProof/>
          <w:sz w:val="24"/>
          <w:szCs w:val="24"/>
        </w:rPr>
        <w:fldChar w:fldCharType="end"/>
      </w:r>
    </w:p>
    <w:p w:rsidR="00AD539A" w:rsidRPr="008D3575" w:rsidRDefault="00AD539A">
      <w:pPr>
        <w:pStyle w:val="TOC3"/>
        <w:tabs>
          <w:tab w:val="left" w:pos="901"/>
          <w:tab w:val="right" w:leader="dot" w:pos="9352"/>
        </w:tabs>
        <w:rPr>
          <w:rFonts w:ascii="Times New Roman" w:eastAsia="MS Mincho" w:hAnsi="Times New Roman"/>
          <w:noProof/>
          <w:sz w:val="24"/>
          <w:szCs w:val="24"/>
          <w:lang w:val="de-DE" w:eastAsia="ja-JP"/>
        </w:rPr>
      </w:pPr>
      <w:r w:rsidRPr="00AD539A">
        <w:rPr>
          <w:rFonts w:ascii="Times New Roman" w:hAnsi="Times New Roman"/>
          <w:bCs/>
          <w:noProof/>
          <w:sz w:val="24"/>
          <w:szCs w:val="24"/>
        </w:rPr>
        <w:t>4.</w:t>
      </w:r>
      <w:r w:rsidRPr="008D3575">
        <w:rPr>
          <w:rFonts w:ascii="Times New Roman" w:eastAsia="MS Mincho" w:hAnsi="Times New Roman"/>
          <w:noProof/>
          <w:sz w:val="24"/>
          <w:szCs w:val="24"/>
          <w:lang w:val="de-DE" w:eastAsia="ja-JP"/>
        </w:rPr>
        <w:tab/>
      </w:r>
      <w:r w:rsidRPr="00AD539A">
        <w:rPr>
          <w:rFonts w:ascii="Times New Roman" w:hAnsi="Times New Roman"/>
          <w:noProof/>
          <w:sz w:val="24"/>
          <w:szCs w:val="24"/>
        </w:rPr>
        <w:t>The respondent State fulfilled all its legal obligations with regard to</w:t>
      </w:r>
      <w:r w:rsidRPr="00AD539A">
        <w:rPr>
          <w:rFonts w:ascii="Times New Roman" w:hAnsi="Times New Roman"/>
          <w:bCs/>
          <w:noProof/>
          <w:sz w:val="24"/>
          <w:szCs w:val="24"/>
        </w:rPr>
        <w:t xml:space="preserve"> the Orífuna people</w:t>
      </w:r>
      <w:r w:rsidRPr="00AD539A">
        <w:rPr>
          <w:rFonts w:ascii="Times New Roman" w:hAnsi="Times New Roman"/>
          <w:noProof/>
          <w:sz w:val="24"/>
          <w:szCs w:val="24"/>
        </w:rPr>
        <w:tab/>
      </w:r>
      <w:r w:rsidRPr="00AD539A">
        <w:rPr>
          <w:rFonts w:ascii="Times New Roman" w:hAnsi="Times New Roman"/>
          <w:noProof/>
          <w:sz w:val="24"/>
          <w:szCs w:val="24"/>
        </w:rPr>
        <w:fldChar w:fldCharType="begin"/>
      </w:r>
      <w:r w:rsidRPr="00AD539A">
        <w:rPr>
          <w:rFonts w:ascii="Times New Roman" w:hAnsi="Times New Roman"/>
          <w:noProof/>
          <w:sz w:val="24"/>
          <w:szCs w:val="24"/>
        </w:rPr>
        <w:instrText xml:space="preserve"> PAGEREF _Toc320823110 \h </w:instrText>
      </w:r>
      <w:r w:rsidRPr="00AD539A">
        <w:rPr>
          <w:rFonts w:ascii="Times New Roman" w:hAnsi="Times New Roman"/>
          <w:noProof/>
          <w:sz w:val="24"/>
          <w:szCs w:val="24"/>
        </w:rPr>
      </w:r>
      <w:r w:rsidRPr="00AD539A">
        <w:rPr>
          <w:rFonts w:ascii="Times New Roman" w:hAnsi="Times New Roman"/>
          <w:noProof/>
          <w:sz w:val="24"/>
          <w:szCs w:val="24"/>
        </w:rPr>
        <w:fldChar w:fldCharType="separate"/>
      </w:r>
      <w:r w:rsidRPr="00AD539A">
        <w:rPr>
          <w:rFonts w:ascii="Times New Roman" w:hAnsi="Times New Roman"/>
          <w:noProof/>
          <w:sz w:val="24"/>
          <w:szCs w:val="24"/>
        </w:rPr>
        <w:t>36</w:t>
      </w:r>
      <w:r w:rsidRPr="00AD539A">
        <w:rPr>
          <w:rFonts w:ascii="Times New Roman" w:hAnsi="Times New Roman"/>
          <w:noProof/>
          <w:sz w:val="24"/>
          <w:szCs w:val="24"/>
        </w:rPr>
        <w:fldChar w:fldCharType="end"/>
      </w:r>
    </w:p>
    <w:p w:rsidR="00AD539A" w:rsidRPr="008D3575" w:rsidRDefault="00AD539A">
      <w:pPr>
        <w:pStyle w:val="TOC4"/>
        <w:tabs>
          <w:tab w:val="left" w:pos="1149"/>
          <w:tab w:val="right" w:leader="dot" w:pos="9352"/>
        </w:tabs>
        <w:rPr>
          <w:rFonts w:ascii="Times New Roman" w:eastAsia="MS Mincho" w:hAnsi="Times New Roman"/>
          <w:noProof/>
          <w:sz w:val="24"/>
          <w:szCs w:val="24"/>
          <w:lang w:val="de-DE" w:eastAsia="ja-JP"/>
        </w:rPr>
      </w:pPr>
      <w:r w:rsidRPr="00AD539A">
        <w:rPr>
          <w:rFonts w:ascii="Times New Roman" w:hAnsi="Times New Roman"/>
          <w:bCs/>
          <w:noProof/>
          <w:sz w:val="24"/>
          <w:szCs w:val="24"/>
        </w:rPr>
        <w:t>a)</w:t>
      </w:r>
      <w:r w:rsidRPr="008D3575">
        <w:rPr>
          <w:rFonts w:ascii="Times New Roman" w:eastAsia="MS Mincho" w:hAnsi="Times New Roman"/>
          <w:noProof/>
          <w:sz w:val="24"/>
          <w:szCs w:val="24"/>
          <w:lang w:val="de-DE" w:eastAsia="ja-JP"/>
        </w:rPr>
        <w:tab/>
      </w:r>
      <w:r w:rsidRPr="00AD539A">
        <w:rPr>
          <w:rFonts w:ascii="Times New Roman" w:hAnsi="Times New Roman"/>
          <w:noProof/>
          <w:sz w:val="24"/>
          <w:szCs w:val="24"/>
        </w:rPr>
        <w:t xml:space="preserve">The respondent State fulfilled all its legal obligations with regard to the </w:t>
      </w:r>
      <w:r w:rsidRPr="00AD539A">
        <w:rPr>
          <w:rFonts w:ascii="Times New Roman" w:hAnsi="Times New Roman"/>
          <w:bCs/>
          <w:noProof/>
          <w:sz w:val="24"/>
          <w:szCs w:val="24"/>
        </w:rPr>
        <w:t xml:space="preserve">right to a fair </w:t>
      </w:r>
      <w:r>
        <w:rPr>
          <w:rFonts w:ascii="Times New Roman" w:hAnsi="Times New Roman"/>
          <w:bCs/>
          <w:noProof/>
          <w:sz w:val="24"/>
          <w:szCs w:val="24"/>
        </w:rPr>
        <w:tab/>
      </w:r>
      <w:r w:rsidRPr="00AD539A">
        <w:rPr>
          <w:rFonts w:ascii="Times New Roman" w:hAnsi="Times New Roman"/>
          <w:bCs/>
          <w:noProof/>
          <w:sz w:val="24"/>
          <w:szCs w:val="24"/>
        </w:rPr>
        <w:t xml:space="preserve">trial </w:t>
      </w:r>
      <w:r w:rsidRPr="00AD539A">
        <w:rPr>
          <w:rFonts w:ascii="Times New Roman" w:hAnsi="Times New Roman"/>
          <w:noProof/>
          <w:sz w:val="24"/>
          <w:szCs w:val="24"/>
        </w:rPr>
        <w:t xml:space="preserve">in accordance with </w:t>
      </w:r>
      <w:r w:rsidRPr="00AD539A">
        <w:rPr>
          <w:rFonts w:ascii="Times New Roman" w:hAnsi="Times New Roman"/>
          <w:bCs/>
          <w:noProof/>
          <w:sz w:val="24"/>
          <w:szCs w:val="24"/>
        </w:rPr>
        <w:t>Art. 8, Art. 1(1) and Art. 2 ACHR</w:t>
      </w:r>
      <w:r w:rsidRPr="00AD539A">
        <w:rPr>
          <w:rFonts w:ascii="Times New Roman" w:hAnsi="Times New Roman"/>
          <w:noProof/>
          <w:sz w:val="24"/>
          <w:szCs w:val="24"/>
        </w:rPr>
        <w:tab/>
      </w:r>
      <w:r w:rsidRPr="00AD539A">
        <w:rPr>
          <w:rFonts w:ascii="Times New Roman" w:hAnsi="Times New Roman"/>
          <w:noProof/>
          <w:sz w:val="24"/>
          <w:szCs w:val="24"/>
        </w:rPr>
        <w:fldChar w:fldCharType="begin"/>
      </w:r>
      <w:r w:rsidRPr="00AD539A">
        <w:rPr>
          <w:rFonts w:ascii="Times New Roman" w:hAnsi="Times New Roman"/>
          <w:noProof/>
          <w:sz w:val="24"/>
          <w:szCs w:val="24"/>
        </w:rPr>
        <w:instrText xml:space="preserve"> PAGEREF _Toc320823111 \h </w:instrText>
      </w:r>
      <w:r w:rsidRPr="00AD539A">
        <w:rPr>
          <w:rFonts w:ascii="Times New Roman" w:hAnsi="Times New Roman"/>
          <w:noProof/>
          <w:sz w:val="24"/>
          <w:szCs w:val="24"/>
        </w:rPr>
      </w:r>
      <w:r w:rsidRPr="00AD539A">
        <w:rPr>
          <w:rFonts w:ascii="Times New Roman" w:hAnsi="Times New Roman"/>
          <w:noProof/>
          <w:sz w:val="24"/>
          <w:szCs w:val="24"/>
        </w:rPr>
        <w:fldChar w:fldCharType="separate"/>
      </w:r>
      <w:r w:rsidRPr="00AD539A">
        <w:rPr>
          <w:rFonts w:ascii="Times New Roman" w:hAnsi="Times New Roman"/>
          <w:noProof/>
          <w:sz w:val="24"/>
          <w:szCs w:val="24"/>
        </w:rPr>
        <w:t>36</w:t>
      </w:r>
      <w:r w:rsidRPr="00AD539A">
        <w:rPr>
          <w:rFonts w:ascii="Times New Roman" w:hAnsi="Times New Roman"/>
          <w:noProof/>
          <w:sz w:val="24"/>
          <w:szCs w:val="24"/>
        </w:rPr>
        <w:fldChar w:fldCharType="end"/>
      </w:r>
    </w:p>
    <w:p w:rsidR="00AD539A" w:rsidRPr="008D3575" w:rsidRDefault="00AD539A">
      <w:pPr>
        <w:pStyle w:val="TOC4"/>
        <w:tabs>
          <w:tab w:val="left" w:pos="1160"/>
          <w:tab w:val="right" w:leader="dot" w:pos="9352"/>
        </w:tabs>
        <w:rPr>
          <w:rFonts w:ascii="Times New Roman" w:eastAsia="MS Mincho" w:hAnsi="Times New Roman"/>
          <w:noProof/>
          <w:sz w:val="24"/>
          <w:szCs w:val="24"/>
          <w:lang w:val="de-DE" w:eastAsia="ja-JP"/>
        </w:rPr>
      </w:pPr>
      <w:r w:rsidRPr="00AD539A">
        <w:rPr>
          <w:rFonts w:ascii="Times New Roman" w:hAnsi="Times New Roman"/>
          <w:bCs/>
          <w:noProof/>
          <w:sz w:val="24"/>
          <w:szCs w:val="24"/>
        </w:rPr>
        <w:lastRenderedPageBreak/>
        <w:t>b)</w:t>
      </w:r>
      <w:r w:rsidRPr="008D3575">
        <w:rPr>
          <w:rFonts w:ascii="Times New Roman" w:eastAsia="MS Mincho" w:hAnsi="Times New Roman"/>
          <w:noProof/>
          <w:sz w:val="24"/>
          <w:szCs w:val="24"/>
          <w:lang w:val="de-DE" w:eastAsia="ja-JP"/>
        </w:rPr>
        <w:tab/>
      </w:r>
      <w:r w:rsidRPr="00AD539A">
        <w:rPr>
          <w:rFonts w:ascii="Times New Roman" w:hAnsi="Times New Roman"/>
          <w:noProof/>
          <w:sz w:val="24"/>
          <w:szCs w:val="24"/>
        </w:rPr>
        <w:t xml:space="preserve">The respondent State fulfilled all its legal obligations with regard to the </w:t>
      </w:r>
      <w:r w:rsidRPr="00AD539A">
        <w:rPr>
          <w:rFonts w:ascii="Times New Roman" w:hAnsi="Times New Roman"/>
          <w:bCs/>
          <w:noProof/>
          <w:sz w:val="24"/>
          <w:szCs w:val="24"/>
        </w:rPr>
        <w:t xml:space="preserve">right to </w:t>
      </w:r>
      <w:r>
        <w:rPr>
          <w:rFonts w:ascii="Times New Roman" w:hAnsi="Times New Roman"/>
          <w:bCs/>
          <w:noProof/>
          <w:sz w:val="24"/>
          <w:szCs w:val="24"/>
        </w:rPr>
        <w:tab/>
      </w:r>
      <w:r w:rsidRPr="00AD539A">
        <w:rPr>
          <w:rFonts w:ascii="Times New Roman" w:hAnsi="Times New Roman"/>
          <w:bCs/>
          <w:noProof/>
          <w:sz w:val="24"/>
          <w:szCs w:val="24"/>
        </w:rPr>
        <w:t xml:space="preserve">judicial protection </w:t>
      </w:r>
      <w:r w:rsidRPr="00AD539A">
        <w:rPr>
          <w:rFonts w:ascii="Times New Roman" w:hAnsi="Times New Roman"/>
          <w:noProof/>
          <w:sz w:val="24"/>
          <w:szCs w:val="24"/>
        </w:rPr>
        <w:t xml:space="preserve">in accordance with </w:t>
      </w:r>
      <w:r w:rsidRPr="00AD539A">
        <w:rPr>
          <w:rFonts w:ascii="Times New Roman" w:hAnsi="Times New Roman"/>
          <w:bCs/>
          <w:noProof/>
          <w:sz w:val="24"/>
          <w:szCs w:val="24"/>
        </w:rPr>
        <w:t>Art. 25, Art. 1(1) and Art. 2 ACHR</w:t>
      </w:r>
      <w:r w:rsidRPr="00AD539A">
        <w:rPr>
          <w:rFonts w:ascii="Times New Roman" w:hAnsi="Times New Roman"/>
          <w:noProof/>
          <w:sz w:val="24"/>
          <w:szCs w:val="24"/>
        </w:rPr>
        <w:tab/>
      </w:r>
      <w:r w:rsidRPr="00AD539A">
        <w:rPr>
          <w:rFonts w:ascii="Times New Roman" w:hAnsi="Times New Roman"/>
          <w:noProof/>
          <w:sz w:val="24"/>
          <w:szCs w:val="24"/>
        </w:rPr>
        <w:fldChar w:fldCharType="begin"/>
      </w:r>
      <w:r w:rsidRPr="00AD539A">
        <w:rPr>
          <w:rFonts w:ascii="Times New Roman" w:hAnsi="Times New Roman"/>
          <w:noProof/>
          <w:sz w:val="24"/>
          <w:szCs w:val="24"/>
        </w:rPr>
        <w:instrText xml:space="preserve"> PAGEREF _Toc320823112 \h </w:instrText>
      </w:r>
      <w:r w:rsidRPr="00AD539A">
        <w:rPr>
          <w:rFonts w:ascii="Times New Roman" w:hAnsi="Times New Roman"/>
          <w:noProof/>
          <w:sz w:val="24"/>
          <w:szCs w:val="24"/>
        </w:rPr>
      </w:r>
      <w:r w:rsidRPr="00AD539A">
        <w:rPr>
          <w:rFonts w:ascii="Times New Roman" w:hAnsi="Times New Roman"/>
          <w:noProof/>
          <w:sz w:val="24"/>
          <w:szCs w:val="24"/>
        </w:rPr>
        <w:fldChar w:fldCharType="separate"/>
      </w:r>
      <w:r w:rsidRPr="00AD539A">
        <w:rPr>
          <w:rFonts w:ascii="Times New Roman" w:hAnsi="Times New Roman"/>
          <w:noProof/>
          <w:sz w:val="24"/>
          <w:szCs w:val="24"/>
        </w:rPr>
        <w:t>38</w:t>
      </w:r>
      <w:r w:rsidRPr="00AD539A">
        <w:rPr>
          <w:rFonts w:ascii="Times New Roman" w:hAnsi="Times New Roman"/>
          <w:noProof/>
          <w:sz w:val="24"/>
          <w:szCs w:val="24"/>
        </w:rPr>
        <w:fldChar w:fldCharType="end"/>
      </w:r>
    </w:p>
    <w:p w:rsidR="00AD539A" w:rsidRPr="008D3575" w:rsidRDefault="00AD539A">
      <w:pPr>
        <w:pStyle w:val="TOC1"/>
        <w:tabs>
          <w:tab w:val="left" w:pos="448"/>
          <w:tab w:val="right" w:leader="dot" w:pos="9352"/>
        </w:tabs>
        <w:rPr>
          <w:rFonts w:ascii="Times New Roman" w:eastAsia="MS Mincho" w:hAnsi="Times New Roman"/>
          <w:b w:val="0"/>
          <w:noProof/>
          <w:lang w:val="de-DE" w:eastAsia="ja-JP"/>
        </w:rPr>
      </w:pPr>
      <w:r w:rsidRPr="00AD539A">
        <w:rPr>
          <w:rFonts w:ascii="Times New Roman" w:hAnsi="Times New Roman"/>
          <w:b w:val="0"/>
          <w:bCs/>
          <w:noProof/>
        </w:rPr>
        <w:t>V.</w:t>
      </w:r>
      <w:r w:rsidRPr="008D3575">
        <w:rPr>
          <w:rFonts w:ascii="Times New Roman" w:eastAsia="MS Mincho" w:hAnsi="Times New Roman"/>
          <w:b w:val="0"/>
          <w:noProof/>
          <w:lang w:val="de-DE" w:eastAsia="ja-JP"/>
        </w:rPr>
        <w:tab/>
      </w:r>
      <w:r w:rsidRPr="00AD539A">
        <w:rPr>
          <w:rFonts w:ascii="Times New Roman" w:hAnsi="Times New Roman"/>
          <w:b w:val="0"/>
          <w:bCs/>
          <w:noProof/>
        </w:rPr>
        <w:t>Request for Relief</w:t>
      </w:r>
      <w:r w:rsidRPr="00AD539A">
        <w:rPr>
          <w:rFonts w:ascii="Times New Roman" w:hAnsi="Times New Roman"/>
          <w:b w:val="0"/>
          <w:noProof/>
        </w:rPr>
        <w:tab/>
      </w:r>
      <w:r w:rsidRPr="00AD539A">
        <w:rPr>
          <w:rFonts w:ascii="Times New Roman" w:hAnsi="Times New Roman"/>
          <w:b w:val="0"/>
          <w:noProof/>
        </w:rPr>
        <w:fldChar w:fldCharType="begin"/>
      </w:r>
      <w:r w:rsidRPr="00AD539A">
        <w:rPr>
          <w:rFonts w:ascii="Times New Roman" w:hAnsi="Times New Roman"/>
          <w:b w:val="0"/>
          <w:noProof/>
        </w:rPr>
        <w:instrText xml:space="preserve"> PAGEREF _Toc320823113 \h </w:instrText>
      </w:r>
      <w:r w:rsidRPr="00AD539A">
        <w:rPr>
          <w:rFonts w:ascii="Times New Roman" w:hAnsi="Times New Roman"/>
          <w:b w:val="0"/>
          <w:noProof/>
        </w:rPr>
      </w:r>
      <w:r w:rsidRPr="00AD539A">
        <w:rPr>
          <w:rFonts w:ascii="Times New Roman" w:hAnsi="Times New Roman"/>
          <w:b w:val="0"/>
          <w:noProof/>
        </w:rPr>
        <w:fldChar w:fldCharType="separate"/>
      </w:r>
      <w:r w:rsidRPr="00AD539A">
        <w:rPr>
          <w:rFonts w:ascii="Times New Roman" w:hAnsi="Times New Roman"/>
          <w:b w:val="0"/>
          <w:noProof/>
        </w:rPr>
        <w:t>39</w:t>
      </w:r>
      <w:r w:rsidRPr="00AD539A">
        <w:rPr>
          <w:rFonts w:ascii="Times New Roman" w:hAnsi="Times New Roman"/>
          <w:b w:val="0"/>
          <w:noProof/>
        </w:rPr>
        <w:fldChar w:fldCharType="end"/>
      </w:r>
    </w:p>
    <w:p w:rsidR="00E43C95" w:rsidRPr="00B01F31" w:rsidRDefault="00AD539A" w:rsidP="00B01F31">
      <w:pPr>
        <w:rPr>
          <w:szCs w:val="24"/>
        </w:rPr>
      </w:pPr>
      <w:r w:rsidRPr="00AD539A">
        <w:rPr>
          <w:bCs/>
          <w:szCs w:val="24"/>
        </w:rPr>
        <w:fldChar w:fldCharType="end"/>
      </w:r>
    </w:p>
    <w:p w:rsidR="00BD55A2" w:rsidRPr="00B01F31" w:rsidRDefault="00BD55A2" w:rsidP="00B01F31">
      <w:pPr>
        <w:pStyle w:val="Heading1"/>
        <w:widowControl/>
        <w:tabs>
          <w:tab w:val="clear" w:pos="432"/>
          <w:tab w:val="num" w:pos="0"/>
        </w:tabs>
        <w:spacing w:before="0" w:line="480" w:lineRule="auto"/>
        <w:ind w:left="0" w:firstLine="0"/>
        <w:jc w:val="both"/>
        <w:rPr>
          <w:b/>
          <w:bCs/>
          <w:sz w:val="24"/>
          <w:szCs w:val="24"/>
        </w:rPr>
      </w:pPr>
      <w:bookmarkStart w:id="2" w:name="_Toc320641019"/>
      <w:bookmarkStart w:id="3" w:name="_Toc320823087"/>
      <w:r w:rsidRPr="00B01F31">
        <w:rPr>
          <w:b/>
          <w:bCs/>
          <w:sz w:val="24"/>
          <w:szCs w:val="24"/>
        </w:rPr>
        <w:t>Index of Authorities</w:t>
      </w:r>
      <w:bookmarkEnd w:id="2"/>
      <w:bookmarkEnd w:id="3"/>
    </w:p>
    <w:p w:rsidR="00BD55A2" w:rsidRPr="00B01F31" w:rsidRDefault="00BD55A2" w:rsidP="00B01F31">
      <w:pPr>
        <w:rPr>
          <w:b/>
          <w:szCs w:val="24"/>
        </w:rPr>
      </w:pPr>
      <w:r w:rsidRPr="00B01F31">
        <w:rPr>
          <w:b/>
          <w:szCs w:val="24"/>
        </w:rPr>
        <w:t>A. Books and Articles</w:t>
      </w:r>
    </w:p>
    <w:p w:rsidR="00BD55A2" w:rsidRPr="00B01F31" w:rsidRDefault="00BD55A2" w:rsidP="00B01F31">
      <w:pPr>
        <w:autoSpaceDE w:val="0"/>
        <w:autoSpaceDN w:val="0"/>
        <w:adjustRightInd w:val="0"/>
        <w:spacing w:after="240"/>
        <w:rPr>
          <w:b/>
          <w:bCs/>
          <w:szCs w:val="24"/>
          <w:lang w:eastAsia="en-US"/>
        </w:rPr>
      </w:pPr>
      <w:r w:rsidRPr="00B01F31">
        <w:rPr>
          <w:szCs w:val="24"/>
          <w:lang w:eastAsia="en-US"/>
        </w:rPr>
        <w:t xml:space="preserve">Burgorgue-Larsen, Laurence and Úbeda de Torres, Amaya, </w:t>
      </w:r>
      <w:r w:rsidRPr="00B01F31">
        <w:rPr>
          <w:i/>
          <w:iCs/>
          <w:szCs w:val="24"/>
          <w:lang w:eastAsia="en-US"/>
        </w:rPr>
        <w:t xml:space="preserve">“The Inter-American Court of Human Rights: Case law and Commentary”, </w:t>
      </w:r>
      <w:r w:rsidRPr="00B01F31">
        <w:rPr>
          <w:szCs w:val="24"/>
          <w:lang w:eastAsia="en-US"/>
        </w:rPr>
        <w:t xml:space="preserve">Oxford, Oxford University Press, 886, (2011). </w:t>
      </w:r>
      <w:r w:rsidRPr="00B01F31">
        <w:rPr>
          <w:b/>
          <w:bCs/>
          <w:szCs w:val="24"/>
          <w:lang w:eastAsia="en-US"/>
        </w:rPr>
        <w:t>(p. 14, 17, 32)</w:t>
      </w:r>
    </w:p>
    <w:p w:rsidR="00BD55A2" w:rsidRPr="00B01F31" w:rsidRDefault="00BD55A2" w:rsidP="00B01F31">
      <w:pPr>
        <w:autoSpaceDE w:val="0"/>
        <w:autoSpaceDN w:val="0"/>
        <w:adjustRightInd w:val="0"/>
        <w:spacing w:after="240"/>
        <w:rPr>
          <w:bCs/>
          <w:szCs w:val="24"/>
          <w:lang w:eastAsia="en-US"/>
        </w:rPr>
      </w:pPr>
      <w:r w:rsidRPr="00B01F31">
        <w:rPr>
          <w:bCs/>
          <w:szCs w:val="24"/>
          <w:lang w:eastAsia="en-US"/>
        </w:rPr>
        <w:t xml:space="preserve">Haeck, Yves, Ruiz-Chiriboga, Oswald and Burbano-Herrera, Clara, </w:t>
      </w:r>
      <w:r w:rsidRPr="00B01F31">
        <w:rPr>
          <w:bCs/>
          <w:i/>
          <w:szCs w:val="24"/>
          <w:lang w:eastAsia="en-US"/>
        </w:rPr>
        <w:t>“The Inter-American Court of Human Rights: Theorie and Practice, Present and Future”</w:t>
      </w:r>
      <w:r w:rsidRPr="00B01F31">
        <w:rPr>
          <w:bCs/>
          <w:szCs w:val="24"/>
          <w:lang w:eastAsia="en-US"/>
        </w:rPr>
        <w:t>, Cambridge - Antwerp - Portland, Inserentia, 832, (2015). (</w:t>
      </w:r>
      <w:r w:rsidR="0069365D" w:rsidRPr="00B01F31">
        <w:rPr>
          <w:b/>
          <w:bCs/>
          <w:szCs w:val="24"/>
          <w:lang w:eastAsia="en-US"/>
        </w:rPr>
        <w:t>p. 27, 36</w:t>
      </w:r>
      <w:r w:rsidRPr="00B01F31">
        <w:rPr>
          <w:b/>
          <w:bCs/>
          <w:szCs w:val="24"/>
          <w:lang w:eastAsia="en-US"/>
        </w:rPr>
        <w:t>)</w:t>
      </w:r>
    </w:p>
    <w:p w:rsidR="00BD55A2" w:rsidRPr="00B01F31" w:rsidRDefault="00BD55A2" w:rsidP="00B01F31">
      <w:pPr>
        <w:autoSpaceDE w:val="0"/>
        <w:autoSpaceDN w:val="0"/>
        <w:adjustRightInd w:val="0"/>
        <w:spacing w:after="240"/>
        <w:rPr>
          <w:bCs/>
          <w:szCs w:val="24"/>
          <w:lang w:eastAsia="en-US"/>
        </w:rPr>
      </w:pPr>
      <w:r w:rsidRPr="00B01F31">
        <w:rPr>
          <w:bCs/>
          <w:szCs w:val="24"/>
          <w:lang w:eastAsia="en-US"/>
        </w:rPr>
        <w:t xml:space="preserve">Harris, David and Livingstone, Stephen, </w:t>
      </w:r>
      <w:r w:rsidRPr="00B01F31">
        <w:rPr>
          <w:bCs/>
          <w:i/>
          <w:szCs w:val="24"/>
          <w:lang w:eastAsia="en-US"/>
        </w:rPr>
        <w:t>“The Inter-American System of Human Rights”</w:t>
      </w:r>
      <w:r w:rsidRPr="00B01F31">
        <w:rPr>
          <w:bCs/>
          <w:szCs w:val="24"/>
          <w:lang w:eastAsia="en-US"/>
        </w:rPr>
        <w:t>, Oxford, Clarendon Press, 581, (1998). (</w:t>
      </w:r>
      <w:r w:rsidR="00470E30">
        <w:rPr>
          <w:b/>
          <w:bCs/>
          <w:szCs w:val="24"/>
          <w:lang w:eastAsia="en-US"/>
        </w:rPr>
        <w:t>p. 16, 22, 30</w:t>
      </w:r>
      <w:r w:rsidRPr="00B01F31">
        <w:rPr>
          <w:b/>
          <w:bCs/>
          <w:szCs w:val="24"/>
          <w:lang w:eastAsia="en-US"/>
        </w:rPr>
        <w:t>)</w:t>
      </w:r>
    </w:p>
    <w:p w:rsidR="00BD55A2" w:rsidRPr="00B01F31" w:rsidRDefault="00BD55A2" w:rsidP="00B01F31">
      <w:pPr>
        <w:autoSpaceDE w:val="0"/>
        <w:autoSpaceDN w:val="0"/>
        <w:adjustRightInd w:val="0"/>
        <w:spacing w:after="240"/>
        <w:rPr>
          <w:b/>
          <w:bCs/>
          <w:szCs w:val="24"/>
          <w:lang w:eastAsia="en-US"/>
        </w:rPr>
      </w:pPr>
      <w:r w:rsidRPr="00B01F31">
        <w:rPr>
          <w:bCs/>
          <w:szCs w:val="24"/>
          <w:lang w:eastAsia="en-US"/>
        </w:rPr>
        <w:t xml:space="preserve">Medina, Cecilia, </w:t>
      </w:r>
      <w:r w:rsidRPr="00B01F31">
        <w:rPr>
          <w:bCs/>
          <w:i/>
          <w:szCs w:val="24"/>
          <w:lang w:eastAsia="en-US"/>
        </w:rPr>
        <w:t>“The American Convention on Human Rights: Crucial Rights and their Theory and Practice”</w:t>
      </w:r>
      <w:r w:rsidRPr="00B01F31">
        <w:rPr>
          <w:bCs/>
          <w:szCs w:val="24"/>
          <w:lang w:eastAsia="en-US"/>
        </w:rPr>
        <w:t xml:space="preserve">, Cambridge, Inserentia, 252, (2014). </w:t>
      </w:r>
      <w:r w:rsidR="004B0496">
        <w:rPr>
          <w:b/>
          <w:bCs/>
          <w:szCs w:val="24"/>
          <w:lang w:eastAsia="en-US"/>
        </w:rPr>
        <w:t xml:space="preserve">(p. 13, 18, 28, </w:t>
      </w:r>
      <w:r w:rsidR="0069365D" w:rsidRPr="00B01F31">
        <w:rPr>
          <w:b/>
          <w:bCs/>
          <w:szCs w:val="24"/>
          <w:lang w:eastAsia="en-US"/>
        </w:rPr>
        <w:t>30</w:t>
      </w:r>
      <w:r w:rsidRPr="00B01F31">
        <w:rPr>
          <w:b/>
          <w:bCs/>
          <w:szCs w:val="24"/>
          <w:lang w:eastAsia="en-US"/>
        </w:rPr>
        <w:t>)</w:t>
      </w:r>
    </w:p>
    <w:p w:rsidR="00BD55A2" w:rsidRPr="00B01F31" w:rsidRDefault="00BD55A2" w:rsidP="00B01F31">
      <w:pPr>
        <w:autoSpaceDE w:val="0"/>
        <w:autoSpaceDN w:val="0"/>
        <w:adjustRightInd w:val="0"/>
        <w:spacing w:after="240"/>
        <w:rPr>
          <w:bCs/>
          <w:szCs w:val="24"/>
          <w:lang w:eastAsia="en-US"/>
        </w:rPr>
      </w:pPr>
      <w:r w:rsidRPr="00B01F31">
        <w:rPr>
          <w:bCs/>
          <w:szCs w:val="24"/>
          <w:lang w:eastAsia="en-US"/>
        </w:rPr>
        <w:t xml:space="preserve">Pasqualucci, Jo M., </w:t>
      </w:r>
      <w:r w:rsidRPr="00B01F31">
        <w:rPr>
          <w:bCs/>
          <w:i/>
          <w:szCs w:val="24"/>
          <w:lang w:eastAsia="en-US"/>
        </w:rPr>
        <w:t>“The Practice and Procedure of the Inter-American Court of Human Rights”</w:t>
      </w:r>
      <w:r w:rsidRPr="00B01F31">
        <w:rPr>
          <w:bCs/>
          <w:szCs w:val="24"/>
          <w:lang w:eastAsia="en-US"/>
        </w:rPr>
        <w:t xml:space="preserve">, Cambridge, Cambridge University Press, 488, (2003). </w:t>
      </w:r>
      <w:r w:rsidR="00EB535E">
        <w:rPr>
          <w:b/>
          <w:bCs/>
          <w:szCs w:val="24"/>
          <w:lang w:eastAsia="en-US"/>
        </w:rPr>
        <w:t xml:space="preserve">(p. </w:t>
      </w:r>
      <w:r w:rsidRPr="00B01F31">
        <w:rPr>
          <w:b/>
          <w:bCs/>
          <w:szCs w:val="24"/>
          <w:lang w:eastAsia="en-US"/>
        </w:rPr>
        <w:t>15)</w:t>
      </w:r>
    </w:p>
    <w:p w:rsidR="00BD55A2" w:rsidRPr="00B01F31" w:rsidRDefault="00BD55A2" w:rsidP="00B01F31">
      <w:pPr>
        <w:rPr>
          <w:b/>
          <w:bCs/>
          <w:iCs/>
          <w:szCs w:val="24"/>
          <w:lang w:eastAsia="en-US"/>
        </w:rPr>
      </w:pPr>
      <w:r w:rsidRPr="00B01F31">
        <w:rPr>
          <w:bCs/>
          <w:iCs/>
          <w:szCs w:val="24"/>
          <w:lang w:eastAsia="en-US"/>
        </w:rPr>
        <w:t>Rodríguez</w:t>
      </w:r>
      <w:r w:rsidRPr="00B01F31">
        <w:rPr>
          <w:bCs/>
          <w:szCs w:val="24"/>
          <w:lang w:eastAsia="en-US"/>
        </w:rPr>
        <w:t>-</w:t>
      </w:r>
      <w:r w:rsidRPr="00B01F31">
        <w:rPr>
          <w:bCs/>
          <w:iCs/>
          <w:szCs w:val="24"/>
          <w:lang w:eastAsia="en-US"/>
        </w:rPr>
        <w:t xml:space="preserve">Pinzón, Diego and Martin, Claudia, </w:t>
      </w:r>
      <w:r w:rsidRPr="00B01F31">
        <w:rPr>
          <w:bCs/>
          <w:i/>
          <w:iCs/>
          <w:szCs w:val="24"/>
          <w:lang w:eastAsia="en-US"/>
        </w:rPr>
        <w:t>“The Prohibition of Torture and Ill-Treatment in the Inter-American Human Rights System: A handbook for victims and their advocates”</w:t>
      </w:r>
      <w:r w:rsidRPr="00B01F31">
        <w:rPr>
          <w:bCs/>
          <w:iCs/>
          <w:szCs w:val="24"/>
          <w:lang w:eastAsia="en-US"/>
        </w:rPr>
        <w:t xml:space="preserve">, Geneva, World Organisation Against Torture (OMCT), 260, (2014). </w:t>
      </w:r>
      <w:r w:rsidRPr="00B01F31">
        <w:rPr>
          <w:b/>
          <w:bCs/>
          <w:iCs/>
          <w:szCs w:val="24"/>
          <w:lang w:eastAsia="en-US"/>
        </w:rPr>
        <w:t>(p. 14, 15)</w:t>
      </w:r>
    </w:p>
    <w:p w:rsidR="00BD55A2" w:rsidRPr="00B01F31" w:rsidRDefault="00BD55A2" w:rsidP="00B01F31">
      <w:pPr>
        <w:rPr>
          <w:b/>
          <w:szCs w:val="24"/>
        </w:rPr>
      </w:pPr>
      <w:r w:rsidRPr="00B01F31">
        <w:rPr>
          <w:b/>
          <w:szCs w:val="24"/>
        </w:rPr>
        <w:lastRenderedPageBreak/>
        <w:t xml:space="preserve">B. </w:t>
      </w:r>
      <w:r w:rsidR="00EC720A" w:rsidRPr="00B01F31">
        <w:rPr>
          <w:b/>
          <w:szCs w:val="24"/>
        </w:rPr>
        <w:t>Case-Law</w:t>
      </w:r>
    </w:p>
    <w:p w:rsidR="00EC720A" w:rsidRPr="00B01F31" w:rsidRDefault="00EC720A" w:rsidP="00B01F31">
      <w:pPr>
        <w:autoSpaceDE w:val="0"/>
        <w:autoSpaceDN w:val="0"/>
        <w:adjustRightInd w:val="0"/>
        <w:rPr>
          <w:b/>
          <w:bCs/>
          <w:szCs w:val="24"/>
          <w:lang w:eastAsia="en-US"/>
        </w:rPr>
      </w:pPr>
      <w:r w:rsidRPr="00B01F31">
        <w:rPr>
          <w:b/>
          <w:bCs/>
          <w:szCs w:val="24"/>
          <w:lang w:eastAsia="en-US"/>
        </w:rPr>
        <w:t xml:space="preserve">1. Inter-American Court of Human Rights </w:t>
      </w:r>
    </w:p>
    <w:p w:rsidR="00EC720A" w:rsidRPr="00B01F31" w:rsidRDefault="00EC720A" w:rsidP="00B01F31">
      <w:pPr>
        <w:autoSpaceDE w:val="0"/>
        <w:autoSpaceDN w:val="0"/>
        <w:adjustRightInd w:val="0"/>
        <w:rPr>
          <w:bCs/>
          <w:i/>
          <w:iCs/>
          <w:szCs w:val="24"/>
          <w:u w:val="single"/>
          <w:lang w:eastAsia="en-US"/>
        </w:rPr>
      </w:pPr>
      <w:r w:rsidRPr="00B01F31">
        <w:rPr>
          <w:bCs/>
          <w:i/>
          <w:iCs/>
          <w:szCs w:val="24"/>
          <w:u w:val="single"/>
          <w:lang w:eastAsia="en-US"/>
        </w:rPr>
        <w:t>Advisory Opinions</w:t>
      </w:r>
    </w:p>
    <w:p w:rsidR="00EC720A" w:rsidRPr="00B01F31" w:rsidRDefault="00EC720A" w:rsidP="00B01F31">
      <w:pPr>
        <w:autoSpaceDE w:val="0"/>
        <w:autoSpaceDN w:val="0"/>
        <w:adjustRightInd w:val="0"/>
        <w:rPr>
          <w:b/>
          <w:szCs w:val="24"/>
        </w:rPr>
      </w:pPr>
      <w:r w:rsidRPr="00B01F31">
        <w:rPr>
          <w:i/>
          <w:szCs w:val="24"/>
        </w:rPr>
        <w:t>Exceptions to the exhaustion of domestic remedies (Art. 46(1), 46(2)(a) and 46(2)(b) American Convention on Human Rights)</w:t>
      </w:r>
      <w:r w:rsidRPr="00B01F31">
        <w:rPr>
          <w:szCs w:val="24"/>
        </w:rPr>
        <w:t xml:space="preserve">, Advisory </w:t>
      </w:r>
      <w:r w:rsidR="00402CE8" w:rsidRPr="00B01F31">
        <w:rPr>
          <w:szCs w:val="24"/>
        </w:rPr>
        <w:t>O</w:t>
      </w:r>
      <w:r w:rsidRPr="00B01F31">
        <w:rPr>
          <w:szCs w:val="24"/>
        </w:rPr>
        <w:t xml:space="preserve">pinion OC-11/90, Inter-Am. Ct. H.R., Ser. A, No. 11, (10 August 1990). </w:t>
      </w:r>
      <w:r w:rsidRPr="00B01F31">
        <w:rPr>
          <w:b/>
          <w:szCs w:val="24"/>
        </w:rPr>
        <w:t>(p. 15, 17)</w:t>
      </w:r>
    </w:p>
    <w:p w:rsidR="00EC720A" w:rsidRPr="00B01F31" w:rsidRDefault="00EC720A" w:rsidP="00B01F31">
      <w:pPr>
        <w:autoSpaceDE w:val="0"/>
        <w:autoSpaceDN w:val="0"/>
        <w:adjustRightInd w:val="0"/>
        <w:rPr>
          <w:b/>
          <w:szCs w:val="24"/>
        </w:rPr>
      </w:pPr>
      <w:r w:rsidRPr="00B01F31">
        <w:rPr>
          <w:i/>
          <w:szCs w:val="24"/>
        </w:rPr>
        <w:t>Juridical Condition and Human Rights of the Child</w:t>
      </w:r>
      <w:r w:rsidRPr="00B01F31">
        <w:rPr>
          <w:szCs w:val="24"/>
        </w:rPr>
        <w:t xml:space="preserve">, Advisory Opinion OC-17/02, Inter-Am. Ct. H.R., Ser. A., No. 17, (28 August 2002). </w:t>
      </w:r>
      <w:r w:rsidRPr="00B01F31">
        <w:rPr>
          <w:b/>
          <w:szCs w:val="24"/>
        </w:rPr>
        <w:t>(p. 23)</w:t>
      </w:r>
    </w:p>
    <w:p w:rsidR="00EC720A" w:rsidRPr="00B01F31" w:rsidRDefault="00EC720A" w:rsidP="00B01F31">
      <w:pPr>
        <w:autoSpaceDE w:val="0"/>
        <w:autoSpaceDN w:val="0"/>
        <w:adjustRightInd w:val="0"/>
        <w:rPr>
          <w:b/>
          <w:szCs w:val="24"/>
        </w:rPr>
      </w:pPr>
      <w:r w:rsidRPr="00B01F31">
        <w:rPr>
          <w:i/>
          <w:szCs w:val="24"/>
        </w:rPr>
        <w:t>Judicial Guarantees in State of Emergency (Arts. 27(2), 25 and 8 American Convention on Human Rights)</w:t>
      </w:r>
      <w:r w:rsidRPr="00B01F31">
        <w:rPr>
          <w:szCs w:val="24"/>
        </w:rPr>
        <w:t xml:space="preserve">, Advisory Opinion </w:t>
      </w:r>
      <w:r w:rsidRPr="00B01F31">
        <w:rPr>
          <w:bCs/>
          <w:szCs w:val="24"/>
        </w:rPr>
        <w:t>OC-9/87</w:t>
      </w:r>
      <w:r w:rsidRPr="00B01F31">
        <w:rPr>
          <w:szCs w:val="24"/>
        </w:rPr>
        <w:t xml:space="preserve">, Inter-Am. Ct. H.R., Ser. A, No. 9, (6 October 1987). </w:t>
      </w:r>
      <w:r w:rsidRPr="00B01F31">
        <w:rPr>
          <w:b/>
          <w:szCs w:val="24"/>
        </w:rPr>
        <w:t>(p. 16)</w:t>
      </w:r>
    </w:p>
    <w:p w:rsidR="00EC720A" w:rsidRPr="00B01F31" w:rsidRDefault="00EC720A" w:rsidP="00B01F31">
      <w:pPr>
        <w:autoSpaceDE w:val="0"/>
        <w:autoSpaceDN w:val="0"/>
        <w:adjustRightInd w:val="0"/>
        <w:rPr>
          <w:i/>
          <w:iCs/>
          <w:szCs w:val="24"/>
          <w:u w:val="single"/>
          <w:lang w:eastAsia="en-US"/>
        </w:rPr>
      </w:pPr>
      <w:r w:rsidRPr="00B01F31">
        <w:rPr>
          <w:i/>
          <w:iCs/>
          <w:szCs w:val="24"/>
          <w:u w:val="single"/>
          <w:lang w:eastAsia="en-US"/>
        </w:rPr>
        <w:t>Contentious Cases</w:t>
      </w:r>
    </w:p>
    <w:p w:rsidR="00EC720A" w:rsidRPr="00B01F31" w:rsidRDefault="00EC720A" w:rsidP="00B01F31">
      <w:pPr>
        <w:autoSpaceDE w:val="0"/>
        <w:autoSpaceDN w:val="0"/>
        <w:adjustRightInd w:val="0"/>
        <w:rPr>
          <w:bCs/>
          <w:szCs w:val="24"/>
        </w:rPr>
      </w:pPr>
      <w:r w:rsidRPr="00B01F31">
        <w:rPr>
          <w:i/>
          <w:szCs w:val="24"/>
        </w:rPr>
        <w:t>Case of</w:t>
      </w:r>
      <w:r w:rsidRPr="00B01F31">
        <w:rPr>
          <w:szCs w:val="24"/>
        </w:rPr>
        <w:t xml:space="preserve"> </w:t>
      </w:r>
      <w:r w:rsidRPr="00B01F31">
        <w:rPr>
          <w:bCs/>
          <w:i/>
          <w:szCs w:val="24"/>
        </w:rPr>
        <w:t xml:space="preserve">Acevedo Buendía </w:t>
      </w:r>
      <w:r w:rsidRPr="00B01F31">
        <w:rPr>
          <w:bCs/>
          <w:i/>
          <w:iCs/>
          <w:szCs w:val="24"/>
        </w:rPr>
        <w:t>et al. </w:t>
      </w:r>
      <w:r w:rsidRPr="00B01F31">
        <w:rPr>
          <w:bCs/>
          <w:i/>
          <w:szCs w:val="24"/>
        </w:rPr>
        <w:t xml:space="preserve">("Discharged and Retired Employees of the Comptroller”) </w:t>
      </w:r>
      <w:r w:rsidRPr="00B01F31">
        <w:rPr>
          <w:bCs/>
          <w:i/>
          <w:iCs/>
          <w:szCs w:val="24"/>
        </w:rPr>
        <w:t xml:space="preserve">v. </w:t>
      </w:r>
      <w:r w:rsidRPr="00B01F31">
        <w:rPr>
          <w:bCs/>
          <w:i/>
          <w:szCs w:val="24"/>
        </w:rPr>
        <w:t>Per</w:t>
      </w:r>
      <w:r w:rsidR="00415EE9" w:rsidRPr="00B01F31">
        <w:rPr>
          <w:bCs/>
          <w:i/>
          <w:szCs w:val="24"/>
        </w:rPr>
        <w:t>u</w:t>
      </w:r>
      <w:r w:rsidRPr="00B01F31">
        <w:rPr>
          <w:bCs/>
          <w:i/>
          <w:szCs w:val="24"/>
        </w:rPr>
        <w:t xml:space="preserve"> (</w:t>
      </w:r>
      <w:r w:rsidRPr="00B01F31">
        <w:rPr>
          <w:bCs/>
          <w:szCs w:val="24"/>
        </w:rPr>
        <w:t xml:space="preserve">Judgment), Inter-Am. Ct. H.R., Ser. C, No. 198, (1 July 2009). </w:t>
      </w:r>
      <w:r w:rsidRPr="00B01F31">
        <w:rPr>
          <w:b/>
          <w:bCs/>
          <w:szCs w:val="24"/>
        </w:rPr>
        <w:t>(p. 35)</w:t>
      </w:r>
    </w:p>
    <w:p w:rsidR="00EC720A" w:rsidRPr="00B01F31" w:rsidRDefault="00EC720A" w:rsidP="00B01F31">
      <w:pPr>
        <w:autoSpaceDE w:val="0"/>
        <w:autoSpaceDN w:val="0"/>
        <w:adjustRightInd w:val="0"/>
        <w:rPr>
          <w:b/>
          <w:szCs w:val="24"/>
        </w:rPr>
      </w:pPr>
      <w:r w:rsidRPr="00B01F31">
        <w:rPr>
          <w:bCs/>
          <w:i/>
          <w:szCs w:val="24"/>
        </w:rPr>
        <w:t xml:space="preserve">Case of Acosta-Calderón </w:t>
      </w:r>
      <w:r w:rsidRPr="00B01F31">
        <w:rPr>
          <w:bCs/>
          <w:i/>
          <w:iCs/>
          <w:szCs w:val="24"/>
        </w:rPr>
        <w:t xml:space="preserve">v. </w:t>
      </w:r>
      <w:r w:rsidRPr="00B01F31">
        <w:rPr>
          <w:bCs/>
          <w:i/>
          <w:szCs w:val="24"/>
        </w:rPr>
        <w:t xml:space="preserve">Ecuador </w:t>
      </w:r>
      <w:r w:rsidRPr="00B01F31">
        <w:rPr>
          <w:szCs w:val="24"/>
        </w:rPr>
        <w:t xml:space="preserve">(Judgment), Inter-Am. Ct. H.R., Ser. C, No. 129, (24 June 2005). </w:t>
      </w:r>
      <w:r w:rsidR="0069365D" w:rsidRPr="00B01F31">
        <w:rPr>
          <w:b/>
          <w:szCs w:val="24"/>
        </w:rPr>
        <w:t>(p. 25, 37</w:t>
      </w:r>
      <w:r w:rsidRPr="00B01F31">
        <w:rPr>
          <w:b/>
          <w:szCs w:val="24"/>
        </w:rPr>
        <w:t>, 38)</w:t>
      </w:r>
    </w:p>
    <w:p w:rsidR="0069365D" w:rsidRPr="00B01F31" w:rsidRDefault="00EC720A" w:rsidP="00B01F31">
      <w:pPr>
        <w:autoSpaceDE w:val="0"/>
        <w:autoSpaceDN w:val="0"/>
        <w:adjustRightInd w:val="0"/>
        <w:rPr>
          <w:iCs/>
          <w:szCs w:val="24"/>
        </w:rPr>
      </w:pPr>
      <w:r w:rsidRPr="00B01F31">
        <w:rPr>
          <w:i/>
          <w:iCs/>
          <w:szCs w:val="24"/>
        </w:rPr>
        <w:t>Case of the Afro-descendant Communities displaced from the Cacarica River Basin (Operation Genesis) v. Colombia</w:t>
      </w:r>
      <w:r w:rsidRPr="00B01F31">
        <w:rPr>
          <w:iCs/>
          <w:szCs w:val="24"/>
        </w:rPr>
        <w:t xml:space="preserve"> (Judgment), Inter-Am. Ct. H.R., Ser. C, No. 270, (30 November 2013). </w:t>
      </w:r>
    </w:p>
    <w:p w:rsidR="00EC720A" w:rsidRPr="00B01F31" w:rsidRDefault="00EC720A" w:rsidP="00B01F31">
      <w:pPr>
        <w:autoSpaceDE w:val="0"/>
        <w:autoSpaceDN w:val="0"/>
        <w:adjustRightInd w:val="0"/>
        <w:rPr>
          <w:b/>
          <w:szCs w:val="24"/>
        </w:rPr>
      </w:pPr>
      <w:r w:rsidRPr="00B01F31">
        <w:rPr>
          <w:b/>
          <w:iCs/>
          <w:szCs w:val="24"/>
        </w:rPr>
        <w:t>(p. 2</w:t>
      </w:r>
      <w:r w:rsidR="0069365D" w:rsidRPr="00B01F31">
        <w:rPr>
          <w:b/>
          <w:iCs/>
          <w:szCs w:val="24"/>
        </w:rPr>
        <w:t>9</w:t>
      </w:r>
      <w:r w:rsidRPr="00B01F31">
        <w:rPr>
          <w:b/>
          <w:iCs/>
          <w:szCs w:val="24"/>
        </w:rPr>
        <w:t>)</w:t>
      </w:r>
    </w:p>
    <w:p w:rsidR="00EC720A" w:rsidRPr="00B01F31" w:rsidRDefault="00EC720A" w:rsidP="00B01F31">
      <w:pPr>
        <w:autoSpaceDE w:val="0"/>
        <w:autoSpaceDN w:val="0"/>
        <w:adjustRightInd w:val="0"/>
        <w:rPr>
          <w:szCs w:val="24"/>
        </w:rPr>
      </w:pPr>
      <w:r w:rsidRPr="00B01F31">
        <w:rPr>
          <w:rStyle w:val="5yl5"/>
          <w:i/>
          <w:szCs w:val="24"/>
        </w:rPr>
        <w:t>Case of Albán-Cornejo et al. v. Ecuador</w:t>
      </w:r>
      <w:r w:rsidRPr="00B01F31">
        <w:rPr>
          <w:rStyle w:val="5yl5"/>
          <w:szCs w:val="24"/>
        </w:rPr>
        <w:t xml:space="preserve"> (Judgment), Inter-Am. Ct. H.R., Ser. C, No. 171, (22 November 2007)</w:t>
      </w:r>
      <w:r w:rsidRPr="00B01F31">
        <w:rPr>
          <w:szCs w:val="24"/>
        </w:rPr>
        <w:t xml:space="preserve">. </w:t>
      </w:r>
      <w:r w:rsidRPr="00B01F31">
        <w:rPr>
          <w:b/>
          <w:szCs w:val="24"/>
        </w:rPr>
        <w:t>(p. 24)</w:t>
      </w:r>
    </w:p>
    <w:p w:rsidR="00EC720A" w:rsidRPr="00B01F31" w:rsidRDefault="00EC720A" w:rsidP="00B01F31">
      <w:pPr>
        <w:autoSpaceDE w:val="0"/>
        <w:autoSpaceDN w:val="0"/>
        <w:adjustRightInd w:val="0"/>
        <w:rPr>
          <w:i/>
          <w:szCs w:val="24"/>
        </w:rPr>
      </w:pPr>
      <w:r w:rsidRPr="00B01F31">
        <w:rPr>
          <w:i/>
          <w:szCs w:val="24"/>
        </w:rPr>
        <w:t xml:space="preserve">Case of Baldeón-García v. Peru </w:t>
      </w:r>
      <w:r w:rsidRPr="00B01F31">
        <w:rPr>
          <w:szCs w:val="24"/>
        </w:rPr>
        <w:t xml:space="preserve">(Judgment), Inter-Am. Ct. H.R., Ser. C, No 147, (6 April 2006). </w:t>
      </w:r>
      <w:r w:rsidRPr="00B01F31">
        <w:rPr>
          <w:b/>
          <w:szCs w:val="24"/>
        </w:rPr>
        <w:t>(p. 18)</w:t>
      </w:r>
    </w:p>
    <w:p w:rsidR="00EC720A" w:rsidRPr="00B01F31" w:rsidRDefault="00EC720A" w:rsidP="00B01F31">
      <w:pPr>
        <w:autoSpaceDE w:val="0"/>
        <w:autoSpaceDN w:val="0"/>
        <w:adjustRightInd w:val="0"/>
        <w:rPr>
          <w:szCs w:val="24"/>
        </w:rPr>
      </w:pPr>
      <w:r w:rsidRPr="00B01F31">
        <w:rPr>
          <w:i/>
          <w:szCs w:val="24"/>
        </w:rPr>
        <w:lastRenderedPageBreak/>
        <w:t xml:space="preserve">Case of Blake v. Guatemala </w:t>
      </w:r>
      <w:r w:rsidRPr="00B01F31">
        <w:rPr>
          <w:szCs w:val="24"/>
        </w:rPr>
        <w:t xml:space="preserve">(Judgment), Inter-Am. Ct. H.R., Ser. C, No. 36, (24 January 1998). </w:t>
      </w:r>
      <w:r w:rsidRPr="00B01F31">
        <w:rPr>
          <w:b/>
          <w:szCs w:val="24"/>
        </w:rPr>
        <w:t>(p. 24)</w:t>
      </w:r>
    </w:p>
    <w:p w:rsidR="00EC720A" w:rsidRPr="00B01F31" w:rsidRDefault="00EC720A" w:rsidP="00B01F31">
      <w:pPr>
        <w:autoSpaceDE w:val="0"/>
        <w:autoSpaceDN w:val="0"/>
        <w:adjustRightInd w:val="0"/>
        <w:rPr>
          <w:szCs w:val="24"/>
        </w:rPr>
      </w:pPr>
      <w:r w:rsidRPr="00B01F31">
        <w:rPr>
          <w:i/>
          <w:szCs w:val="24"/>
        </w:rPr>
        <w:t xml:space="preserve">Case of Cantoral-Huamaní and García-Santa Cruz v. Peru </w:t>
      </w:r>
      <w:r w:rsidRPr="00B01F31">
        <w:rPr>
          <w:szCs w:val="24"/>
        </w:rPr>
        <w:t xml:space="preserve">(Judgment), Inter-Am. Ct. H.R., Ser. C, No. 167, (10 July 2007). </w:t>
      </w:r>
      <w:r w:rsidRPr="00B01F31">
        <w:rPr>
          <w:b/>
          <w:szCs w:val="24"/>
        </w:rPr>
        <w:t>(p. 22, 24)</w:t>
      </w:r>
    </w:p>
    <w:p w:rsidR="00EC720A" w:rsidRPr="00B01F31" w:rsidRDefault="00EC720A" w:rsidP="00B01F31">
      <w:pPr>
        <w:autoSpaceDE w:val="0"/>
        <w:autoSpaceDN w:val="0"/>
        <w:adjustRightInd w:val="0"/>
        <w:rPr>
          <w:b/>
          <w:szCs w:val="24"/>
        </w:rPr>
      </w:pPr>
      <w:r w:rsidRPr="00B01F31">
        <w:rPr>
          <w:i/>
          <w:szCs w:val="24"/>
        </w:rPr>
        <w:t xml:space="preserve">Case of Cabrera García and Montiel Flores v. Mexico </w:t>
      </w:r>
      <w:r w:rsidRPr="00B01F31">
        <w:rPr>
          <w:szCs w:val="24"/>
        </w:rPr>
        <w:t>(Judgment), Inter-Am. Ct. H.R., Ser. C, No. 220, (26 November 2010).</w:t>
      </w:r>
      <w:r w:rsidRPr="00B01F31">
        <w:rPr>
          <w:b/>
          <w:szCs w:val="24"/>
        </w:rPr>
        <w:t xml:space="preserve"> (p. 14)</w:t>
      </w:r>
    </w:p>
    <w:p w:rsidR="00EC720A" w:rsidRPr="00B01F31" w:rsidRDefault="00EC720A" w:rsidP="00B01F31">
      <w:pPr>
        <w:autoSpaceDE w:val="0"/>
        <w:autoSpaceDN w:val="0"/>
        <w:adjustRightInd w:val="0"/>
        <w:rPr>
          <w:b/>
          <w:szCs w:val="24"/>
        </w:rPr>
      </w:pPr>
      <w:r w:rsidRPr="00B01F31">
        <w:rPr>
          <w:i/>
          <w:szCs w:val="24"/>
        </w:rPr>
        <w:t xml:space="preserve">Case of Chaparro Álvarez and Lapo Íñiguez v. Ecuador </w:t>
      </w:r>
      <w:r w:rsidRPr="00B01F31">
        <w:rPr>
          <w:szCs w:val="24"/>
        </w:rPr>
        <w:t xml:space="preserve">(Judgment), Inter-Am. Ct. H.R., Ser. C, No. 170, (21 November 2007). </w:t>
      </w:r>
      <w:r w:rsidRPr="00B01F31">
        <w:rPr>
          <w:b/>
          <w:szCs w:val="24"/>
        </w:rPr>
        <w:t>(p. 15)</w:t>
      </w:r>
    </w:p>
    <w:p w:rsidR="00EC720A" w:rsidRPr="00B01F31" w:rsidRDefault="00EC720A" w:rsidP="00B01F31">
      <w:pPr>
        <w:autoSpaceDE w:val="0"/>
        <w:autoSpaceDN w:val="0"/>
        <w:adjustRightInd w:val="0"/>
        <w:rPr>
          <w:szCs w:val="24"/>
        </w:rPr>
      </w:pPr>
      <w:r w:rsidRPr="00B01F31">
        <w:rPr>
          <w:i/>
          <w:szCs w:val="24"/>
        </w:rPr>
        <w:t>Case of Chitay Nech et al. v. Guatemala</w:t>
      </w:r>
      <w:r w:rsidRPr="00B01F31">
        <w:rPr>
          <w:szCs w:val="24"/>
        </w:rPr>
        <w:t xml:space="preserve"> (Judgment), Inter-Am. Ct. H.R., Ser. C, No. 212, (25 May 2010). </w:t>
      </w:r>
      <w:r w:rsidRPr="00B01F31">
        <w:rPr>
          <w:b/>
          <w:szCs w:val="24"/>
        </w:rPr>
        <w:t>(p. 23)</w:t>
      </w:r>
    </w:p>
    <w:p w:rsidR="00EC720A" w:rsidRPr="00B01F31" w:rsidRDefault="00EC720A" w:rsidP="00B01F31">
      <w:pPr>
        <w:autoSpaceDE w:val="0"/>
        <w:autoSpaceDN w:val="0"/>
        <w:adjustRightInd w:val="0"/>
        <w:rPr>
          <w:szCs w:val="24"/>
        </w:rPr>
      </w:pPr>
      <w:r w:rsidRPr="00B01F31">
        <w:rPr>
          <w:i/>
          <w:szCs w:val="24"/>
        </w:rPr>
        <w:t xml:space="preserve">Case of Constitutional Court v. Peru </w:t>
      </w:r>
      <w:r w:rsidRPr="00B01F31">
        <w:rPr>
          <w:szCs w:val="24"/>
        </w:rPr>
        <w:t xml:space="preserve">(Judgment), Inter-Am. Ct. H.R., Ser. C, No. 71, (31 January 2001). </w:t>
      </w:r>
      <w:r w:rsidR="0069365D" w:rsidRPr="00B01F31">
        <w:rPr>
          <w:b/>
          <w:szCs w:val="24"/>
        </w:rPr>
        <w:t>(p. 19, 37</w:t>
      </w:r>
      <w:r w:rsidRPr="00B01F31">
        <w:rPr>
          <w:b/>
          <w:szCs w:val="24"/>
        </w:rPr>
        <w:t>)</w:t>
      </w:r>
    </w:p>
    <w:p w:rsidR="00EC720A" w:rsidRPr="00B01F31" w:rsidRDefault="00EC720A" w:rsidP="00B01F31">
      <w:pPr>
        <w:autoSpaceDE w:val="0"/>
        <w:autoSpaceDN w:val="0"/>
        <w:adjustRightInd w:val="0"/>
        <w:rPr>
          <w:b/>
          <w:szCs w:val="24"/>
        </w:rPr>
      </w:pPr>
      <w:r w:rsidRPr="00B01F31">
        <w:rPr>
          <w:i/>
          <w:szCs w:val="24"/>
        </w:rPr>
        <w:t>Case of Expelled Dominicans and Haitians v. Dominican Republic</w:t>
      </w:r>
      <w:r w:rsidRPr="00B01F31">
        <w:rPr>
          <w:szCs w:val="24"/>
        </w:rPr>
        <w:t xml:space="preserve"> (Judgment), Inter-Am. Ct. H.R., Ser. C, No. 282, (28 August 2014). </w:t>
      </w:r>
      <w:r w:rsidRPr="00B01F31">
        <w:rPr>
          <w:b/>
          <w:szCs w:val="24"/>
        </w:rPr>
        <w:t>(p. 23)</w:t>
      </w:r>
    </w:p>
    <w:p w:rsidR="00EC720A" w:rsidRPr="00B01F31" w:rsidRDefault="00EC720A" w:rsidP="00B01F31">
      <w:pPr>
        <w:autoSpaceDE w:val="0"/>
        <w:autoSpaceDN w:val="0"/>
        <w:adjustRightInd w:val="0"/>
        <w:rPr>
          <w:szCs w:val="24"/>
        </w:rPr>
      </w:pPr>
      <w:r w:rsidRPr="00B01F31">
        <w:rPr>
          <w:i/>
          <w:szCs w:val="24"/>
        </w:rPr>
        <w:t xml:space="preserve">Case of Godínez Cruz v. Honduras </w:t>
      </w:r>
      <w:r w:rsidRPr="00B01F31">
        <w:rPr>
          <w:szCs w:val="24"/>
        </w:rPr>
        <w:t xml:space="preserve">(Judgment), Inter-Am. Ct. H.R., Ser. C, No. 5, (20 January 1989). </w:t>
      </w:r>
      <w:r w:rsidRPr="00B01F31">
        <w:rPr>
          <w:b/>
          <w:szCs w:val="24"/>
        </w:rPr>
        <w:t>(p. 19)</w:t>
      </w:r>
    </w:p>
    <w:p w:rsidR="00EC720A" w:rsidRPr="00B01F31" w:rsidRDefault="00EC720A" w:rsidP="00B01F31">
      <w:pPr>
        <w:autoSpaceDE w:val="0"/>
        <w:autoSpaceDN w:val="0"/>
        <w:adjustRightInd w:val="0"/>
        <w:rPr>
          <w:szCs w:val="24"/>
        </w:rPr>
      </w:pPr>
      <w:r w:rsidRPr="00B01F31">
        <w:rPr>
          <w:i/>
          <w:szCs w:val="24"/>
        </w:rPr>
        <w:t>Case of Goiburú et al. v. Paraguay</w:t>
      </w:r>
      <w:r w:rsidRPr="00B01F31">
        <w:rPr>
          <w:szCs w:val="24"/>
        </w:rPr>
        <w:t xml:space="preserve"> (Judgment), Inter-Am. Ct. H.R., Ser. C, No. 153, (22 September 2006). </w:t>
      </w:r>
      <w:r w:rsidRPr="00B01F31">
        <w:rPr>
          <w:b/>
          <w:szCs w:val="24"/>
        </w:rPr>
        <w:t>(p. 24)</w:t>
      </w:r>
    </w:p>
    <w:p w:rsidR="00EC720A" w:rsidRPr="00B01F31" w:rsidRDefault="00EC720A" w:rsidP="00B01F31">
      <w:pPr>
        <w:autoSpaceDE w:val="0"/>
        <w:autoSpaceDN w:val="0"/>
        <w:adjustRightInd w:val="0"/>
        <w:rPr>
          <w:b/>
          <w:szCs w:val="24"/>
        </w:rPr>
      </w:pPr>
      <w:r w:rsidRPr="00B01F31">
        <w:rPr>
          <w:i/>
          <w:szCs w:val="24"/>
        </w:rPr>
        <w:t xml:space="preserve">Case of Gómez-Palomino v. Peru </w:t>
      </w:r>
      <w:r w:rsidRPr="00B01F31">
        <w:rPr>
          <w:szCs w:val="24"/>
        </w:rPr>
        <w:t xml:space="preserve">(Judgment), Inter-Am. Ct. H.R., Ser. C, No. 136, (22 November 2005). </w:t>
      </w:r>
      <w:r w:rsidRPr="00B01F31">
        <w:rPr>
          <w:b/>
          <w:szCs w:val="24"/>
        </w:rPr>
        <w:t>(p. 24)</w:t>
      </w:r>
    </w:p>
    <w:p w:rsidR="00EC720A" w:rsidRPr="00B01F31" w:rsidRDefault="00EC720A" w:rsidP="00B01F31">
      <w:pPr>
        <w:autoSpaceDE w:val="0"/>
        <w:autoSpaceDN w:val="0"/>
        <w:adjustRightInd w:val="0"/>
        <w:rPr>
          <w:b/>
          <w:szCs w:val="24"/>
        </w:rPr>
      </w:pPr>
      <w:r w:rsidRPr="00B01F31">
        <w:rPr>
          <w:i/>
          <w:szCs w:val="24"/>
        </w:rPr>
        <w:t xml:space="preserve">Case of Gudiel Álvarez et al. (Diario Militar) v. Guatemala </w:t>
      </w:r>
      <w:r w:rsidRPr="00B01F31">
        <w:rPr>
          <w:szCs w:val="24"/>
        </w:rPr>
        <w:t xml:space="preserve">(Judgment), Inter-Am. Ct. H.R., Ser. C, No. 253, (20 Novemer 2012). </w:t>
      </w:r>
      <w:r w:rsidR="00EB535E">
        <w:rPr>
          <w:b/>
          <w:szCs w:val="24"/>
        </w:rPr>
        <w:t>(p. 18, 22</w:t>
      </w:r>
      <w:r w:rsidRPr="00B01F31">
        <w:rPr>
          <w:b/>
          <w:szCs w:val="24"/>
        </w:rPr>
        <w:t>)</w:t>
      </w:r>
    </w:p>
    <w:p w:rsidR="005B01A9" w:rsidRPr="00B01F31" w:rsidRDefault="005B01A9" w:rsidP="00B01F31">
      <w:pPr>
        <w:autoSpaceDE w:val="0"/>
        <w:autoSpaceDN w:val="0"/>
        <w:adjustRightInd w:val="0"/>
        <w:rPr>
          <w:b/>
          <w:szCs w:val="24"/>
        </w:rPr>
      </w:pPr>
    </w:p>
    <w:p w:rsidR="00EC720A" w:rsidRPr="00B01F31" w:rsidRDefault="00EC720A" w:rsidP="00B01F31">
      <w:pPr>
        <w:autoSpaceDE w:val="0"/>
        <w:autoSpaceDN w:val="0"/>
        <w:adjustRightInd w:val="0"/>
        <w:rPr>
          <w:szCs w:val="24"/>
        </w:rPr>
      </w:pPr>
      <w:r w:rsidRPr="00B01F31">
        <w:rPr>
          <w:i/>
          <w:szCs w:val="24"/>
        </w:rPr>
        <w:lastRenderedPageBreak/>
        <w:t>Case of Heliodoro Portugal v. Panama</w:t>
      </w:r>
      <w:r w:rsidRPr="00B01F31">
        <w:rPr>
          <w:szCs w:val="24"/>
        </w:rPr>
        <w:t xml:space="preserve"> (Judgment), Inter-Am. Ct. H.R., Ser. C, No. 186, (12 August 2008).</w:t>
      </w:r>
      <w:r w:rsidRPr="00B01F31">
        <w:rPr>
          <w:b/>
          <w:szCs w:val="24"/>
        </w:rPr>
        <w:t xml:space="preserve"> (p. 24)</w:t>
      </w:r>
    </w:p>
    <w:p w:rsidR="00EC720A" w:rsidRPr="00B01F31" w:rsidRDefault="00EC720A" w:rsidP="00B01F31">
      <w:pPr>
        <w:autoSpaceDE w:val="0"/>
        <w:autoSpaceDN w:val="0"/>
        <w:adjustRightInd w:val="0"/>
        <w:rPr>
          <w:szCs w:val="24"/>
        </w:rPr>
      </w:pPr>
      <w:r w:rsidRPr="00B01F31">
        <w:rPr>
          <w:i/>
          <w:szCs w:val="24"/>
        </w:rPr>
        <w:t xml:space="preserve">Case of Herrera-Ulloa v. Costa Rica </w:t>
      </w:r>
      <w:r w:rsidRPr="00B01F31">
        <w:rPr>
          <w:szCs w:val="24"/>
        </w:rPr>
        <w:t xml:space="preserve">(Judgment), Inter-Am. Ct. H.R., Ser. C, No. 107, (2 July 2004). </w:t>
      </w:r>
      <w:r w:rsidRPr="00B01F31">
        <w:rPr>
          <w:b/>
          <w:szCs w:val="24"/>
        </w:rPr>
        <w:t>(p. 14, 19)</w:t>
      </w:r>
    </w:p>
    <w:p w:rsidR="00EC720A" w:rsidRPr="00B01F31" w:rsidRDefault="00EC720A" w:rsidP="00B01F31">
      <w:pPr>
        <w:autoSpaceDE w:val="0"/>
        <w:autoSpaceDN w:val="0"/>
        <w:adjustRightInd w:val="0"/>
        <w:rPr>
          <w:b/>
          <w:szCs w:val="24"/>
        </w:rPr>
      </w:pPr>
      <w:r w:rsidRPr="00B01F31">
        <w:rPr>
          <w:i/>
          <w:szCs w:val="24"/>
        </w:rPr>
        <w:t xml:space="preserve">Case of Huilca-Tecse v. Peru </w:t>
      </w:r>
      <w:r w:rsidRPr="00B01F31">
        <w:rPr>
          <w:szCs w:val="24"/>
        </w:rPr>
        <w:t xml:space="preserve">(Judgment), Inter-Am. Ct. H.R., Ser. C, No. 121, (3 March 2005). </w:t>
      </w:r>
      <w:r w:rsidRPr="00B01F31">
        <w:rPr>
          <w:b/>
          <w:szCs w:val="24"/>
        </w:rPr>
        <w:t>(p. 22)</w:t>
      </w:r>
    </w:p>
    <w:p w:rsidR="00EC720A" w:rsidRPr="00B01F31" w:rsidRDefault="00EC720A" w:rsidP="00B01F31">
      <w:pPr>
        <w:autoSpaceDE w:val="0"/>
        <w:autoSpaceDN w:val="0"/>
        <w:adjustRightInd w:val="0"/>
        <w:rPr>
          <w:szCs w:val="24"/>
        </w:rPr>
      </w:pPr>
      <w:r w:rsidRPr="00B01F31">
        <w:rPr>
          <w:bCs/>
          <w:i/>
          <w:szCs w:val="24"/>
        </w:rPr>
        <w:t xml:space="preserve">Case of Human Rights Defender et al. v. Guatemala </w:t>
      </w:r>
      <w:r w:rsidRPr="00B01F31">
        <w:rPr>
          <w:szCs w:val="24"/>
        </w:rPr>
        <w:t xml:space="preserve">(Judgment), Inter-Am. Ct. H.R., Ser. C, No. 283, (28 August 2004). </w:t>
      </w:r>
      <w:r w:rsidRPr="00B01F31">
        <w:rPr>
          <w:b/>
          <w:szCs w:val="24"/>
        </w:rPr>
        <w:t>(p. 38)</w:t>
      </w:r>
    </w:p>
    <w:p w:rsidR="00EC720A" w:rsidRPr="00B01F31" w:rsidRDefault="00EC720A" w:rsidP="00B01F31">
      <w:pPr>
        <w:autoSpaceDE w:val="0"/>
        <w:autoSpaceDN w:val="0"/>
        <w:adjustRightInd w:val="0"/>
        <w:rPr>
          <w:szCs w:val="24"/>
        </w:rPr>
      </w:pPr>
      <w:r w:rsidRPr="00B01F31">
        <w:rPr>
          <w:i/>
          <w:szCs w:val="24"/>
        </w:rPr>
        <w:t xml:space="preserve">Case of Juan Humberto Sánchez v. Honduras </w:t>
      </w:r>
      <w:r w:rsidRPr="00B01F31">
        <w:rPr>
          <w:szCs w:val="24"/>
        </w:rPr>
        <w:t xml:space="preserve">(Judgment), Inter-Am. Ct. H.R., Ser. C, </w:t>
      </w:r>
      <w:r w:rsidR="00415EE9" w:rsidRPr="00B01F31">
        <w:rPr>
          <w:szCs w:val="24"/>
        </w:rPr>
        <w:t xml:space="preserve">No. </w:t>
      </w:r>
      <w:r w:rsidRPr="00B01F31">
        <w:rPr>
          <w:szCs w:val="24"/>
        </w:rPr>
        <w:t xml:space="preserve">99, (7 June 2003). </w:t>
      </w:r>
      <w:r w:rsidRPr="00B01F31">
        <w:rPr>
          <w:b/>
          <w:szCs w:val="24"/>
        </w:rPr>
        <w:t>(p. 18, 24)</w:t>
      </w:r>
    </w:p>
    <w:p w:rsidR="00EC720A" w:rsidRPr="00B01F31" w:rsidRDefault="00EC720A" w:rsidP="00B01F31">
      <w:pPr>
        <w:autoSpaceDE w:val="0"/>
        <w:autoSpaceDN w:val="0"/>
        <w:adjustRightInd w:val="0"/>
        <w:rPr>
          <w:b/>
          <w:szCs w:val="24"/>
        </w:rPr>
      </w:pPr>
      <w:r w:rsidRPr="00B01F31">
        <w:rPr>
          <w:i/>
          <w:szCs w:val="24"/>
        </w:rPr>
        <w:t xml:space="preserve">Case of Kawas-Fernández v. Honduras </w:t>
      </w:r>
      <w:r w:rsidRPr="00B01F31">
        <w:rPr>
          <w:szCs w:val="24"/>
        </w:rPr>
        <w:t xml:space="preserve">(Judgment), Inter-Am. Ct. H.R., Ser. C, No. 196, (3 April 2009). </w:t>
      </w:r>
      <w:r w:rsidRPr="00B01F31">
        <w:rPr>
          <w:b/>
          <w:szCs w:val="24"/>
        </w:rPr>
        <w:t>(p. 22)</w:t>
      </w:r>
    </w:p>
    <w:p w:rsidR="00EC720A" w:rsidRPr="00B01F31" w:rsidRDefault="00EC720A" w:rsidP="00B01F31">
      <w:pPr>
        <w:autoSpaceDE w:val="0"/>
        <w:autoSpaceDN w:val="0"/>
        <w:adjustRightInd w:val="0"/>
        <w:rPr>
          <w:b/>
          <w:szCs w:val="24"/>
        </w:rPr>
      </w:pPr>
      <w:r w:rsidRPr="00B01F31">
        <w:rPr>
          <w:i/>
          <w:szCs w:val="24"/>
        </w:rPr>
        <w:t>Case of Kichwa Indigenous People of Sarayaku v. Ecuador</w:t>
      </w:r>
      <w:r w:rsidRPr="00B01F31">
        <w:rPr>
          <w:szCs w:val="24"/>
        </w:rPr>
        <w:t xml:space="preserve"> (Judgment), Inter-Am. Ct. H.R., Ser. C, No</w:t>
      </w:r>
      <w:r w:rsidR="00415EE9" w:rsidRPr="00B01F31">
        <w:rPr>
          <w:szCs w:val="24"/>
        </w:rPr>
        <w:t>.</w:t>
      </w:r>
      <w:r w:rsidRPr="00B01F31">
        <w:rPr>
          <w:szCs w:val="24"/>
        </w:rPr>
        <w:t xml:space="preserve"> 245, (27 June 2012). </w:t>
      </w:r>
      <w:r w:rsidR="00EB535E">
        <w:rPr>
          <w:b/>
          <w:szCs w:val="24"/>
        </w:rPr>
        <w:t xml:space="preserve">(p. </w:t>
      </w:r>
      <w:r w:rsidR="0069365D" w:rsidRPr="00B01F31">
        <w:rPr>
          <w:b/>
          <w:szCs w:val="24"/>
        </w:rPr>
        <w:t>16, 34</w:t>
      </w:r>
      <w:r w:rsidRPr="00B01F31">
        <w:rPr>
          <w:b/>
          <w:szCs w:val="24"/>
        </w:rPr>
        <w:t>, 38)</w:t>
      </w:r>
    </w:p>
    <w:p w:rsidR="00EC720A" w:rsidRPr="00B01F31" w:rsidRDefault="00EC720A" w:rsidP="00B01F31">
      <w:pPr>
        <w:autoSpaceDE w:val="0"/>
        <w:autoSpaceDN w:val="0"/>
        <w:adjustRightInd w:val="0"/>
        <w:rPr>
          <w:szCs w:val="24"/>
        </w:rPr>
      </w:pPr>
      <w:r w:rsidRPr="00B01F31">
        <w:rPr>
          <w:i/>
          <w:szCs w:val="24"/>
        </w:rPr>
        <w:t xml:space="preserve">Case of “Las Dos Erres” Massacre v. Guatemala </w:t>
      </w:r>
      <w:r w:rsidRPr="00B01F31">
        <w:rPr>
          <w:szCs w:val="24"/>
        </w:rPr>
        <w:t xml:space="preserve">(Judgment), Inter-Am. Ct. H.R., Ser. C, No. 211, (24 November 2009). </w:t>
      </w:r>
      <w:r w:rsidRPr="00B01F31">
        <w:rPr>
          <w:b/>
          <w:szCs w:val="24"/>
        </w:rPr>
        <w:t>(p. 23)</w:t>
      </w:r>
    </w:p>
    <w:p w:rsidR="00EC720A" w:rsidRPr="00B01F31" w:rsidRDefault="00EC720A" w:rsidP="00B01F31">
      <w:pPr>
        <w:autoSpaceDE w:val="0"/>
        <w:autoSpaceDN w:val="0"/>
        <w:adjustRightInd w:val="0"/>
        <w:rPr>
          <w:szCs w:val="24"/>
        </w:rPr>
      </w:pPr>
      <w:r w:rsidRPr="00B01F31">
        <w:rPr>
          <w:i/>
          <w:szCs w:val="24"/>
        </w:rPr>
        <w:t xml:space="preserve">Case of Las Palmeras v. Colombia </w:t>
      </w:r>
      <w:r w:rsidRPr="00B01F31">
        <w:rPr>
          <w:szCs w:val="24"/>
        </w:rPr>
        <w:t xml:space="preserve">(Judgment), Inter-Am. Ct. H.R., Ser. C, No. 90, (6 December 2001). </w:t>
      </w:r>
      <w:r w:rsidR="00EB535E">
        <w:rPr>
          <w:b/>
          <w:szCs w:val="24"/>
        </w:rPr>
        <w:t>(p. 15</w:t>
      </w:r>
      <w:r w:rsidRPr="00B01F31">
        <w:rPr>
          <w:b/>
          <w:szCs w:val="24"/>
        </w:rPr>
        <w:t>)</w:t>
      </w:r>
    </w:p>
    <w:p w:rsidR="00EC720A" w:rsidRPr="00B01F31" w:rsidRDefault="00EC720A" w:rsidP="00B01F31">
      <w:pPr>
        <w:autoSpaceDE w:val="0"/>
        <w:autoSpaceDN w:val="0"/>
        <w:adjustRightInd w:val="0"/>
        <w:rPr>
          <w:b/>
          <w:szCs w:val="24"/>
        </w:rPr>
      </w:pPr>
      <w:r w:rsidRPr="00B01F31">
        <w:rPr>
          <w:i/>
          <w:szCs w:val="24"/>
        </w:rPr>
        <w:t>Case of Loayza-Tamayo v. Perú</w:t>
      </w:r>
      <w:r w:rsidRPr="00B01F31">
        <w:rPr>
          <w:szCs w:val="24"/>
        </w:rPr>
        <w:t xml:space="preserve"> (Judgment), Inter-Am. Ct. H.R., Ser. C, No. 33, (17 September 1997). </w:t>
      </w:r>
      <w:r w:rsidRPr="00B01F31">
        <w:rPr>
          <w:b/>
          <w:szCs w:val="24"/>
        </w:rPr>
        <w:t>(p. 25)</w:t>
      </w:r>
    </w:p>
    <w:p w:rsidR="00EC720A" w:rsidRPr="00B01F31" w:rsidRDefault="00EC720A" w:rsidP="00B01F31">
      <w:pPr>
        <w:autoSpaceDE w:val="0"/>
        <w:autoSpaceDN w:val="0"/>
        <w:adjustRightInd w:val="0"/>
        <w:rPr>
          <w:b/>
          <w:szCs w:val="24"/>
        </w:rPr>
      </w:pPr>
      <w:r w:rsidRPr="00B01F31">
        <w:rPr>
          <w:i/>
          <w:szCs w:val="24"/>
        </w:rPr>
        <w:t xml:space="preserve">Case of “Mapiripán Massacre” v. Colombia </w:t>
      </w:r>
      <w:r w:rsidRPr="00B01F31">
        <w:rPr>
          <w:szCs w:val="24"/>
        </w:rPr>
        <w:t xml:space="preserve">(Judgment), Inter-Am. Ct. H.R., Ser. C, No. 122, (15 September 2005). </w:t>
      </w:r>
      <w:r w:rsidRPr="00B01F31">
        <w:rPr>
          <w:b/>
          <w:szCs w:val="24"/>
        </w:rPr>
        <w:t>(p. 18, 24)</w:t>
      </w:r>
    </w:p>
    <w:p w:rsidR="005B01A9" w:rsidRPr="00B01F31" w:rsidRDefault="005B01A9" w:rsidP="00B01F31">
      <w:pPr>
        <w:autoSpaceDE w:val="0"/>
        <w:autoSpaceDN w:val="0"/>
        <w:adjustRightInd w:val="0"/>
        <w:rPr>
          <w:b/>
          <w:szCs w:val="24"/>
        </w:rPr>
      </w:pPr>
    </w:p>
    <w:p w:rsidR="00EC720A" w:rsidRPr="00B01F31" w:rsidRDefault="00EC720A" w:rsidP="00B01F31">
      <w:pPr>
        <w:autoSpaceDE w:val="0"/>
        <w:autoSpaceDN w:val="0"/>
        <w:adjustRightInd w:val="0"/>
        <w:rPr>
          <w:i/>
          <w:szCs w:val="24"/>
        </w:rPr>
      </w:pPr>
      <w:r w:rsidRPr="00B01F31">
        <w:rPr>
          <w:i/>
          <w:szCs w:val="24"/>
        </w:rPr>
        <w:lastRenderedPageBreak/>
        <w:t>Case of Massacres of El Mozote and nearby places v. El Salvador</w:t>
      </w:r>
      <w:r w:rsidRPr="00B01F31">
        <w:rPr>
          <w:szCs w:val="24"/>
        </w:rPr>
        <w:t xml:space="preserve"> (Judgment), Inter-Am. Ct. H.R., Ser. C, No. 252, (25 October 2012). </w:t>
      </w:r>
      <w:r w:rsidRPr="00B01F31">
        <w:rPr>
          <w:b/>
          <w:szCs w:val="24"/>
        </w:rPr>
        <w:t>(p. 18)</w:t>
      </w:r>
    </w:p>
    <w:p w:rsidR="00EC720A" w:rsidRPr="00B01F31" w:rsidRDefault="00EC720A" w:rsidP="00B01F31">
      <w:pPr>
        <w:autoSpaceDE w:val="0"/>
        <w:autoSpaceDN w:val="0"/>
        <w:adjustRightInd w:val="0"/>
        <w:rPr>
          <w:b/>
          <w:szCs w:val="24"/>
        </w:rPr>
      </w:pPr>
      <w:r w:rsidRPr="00B01F31">
        <w:rPr>
          <w:i/>
          <w:szCs w:val="24"/>
        </w:rPr>
        <w:t>Case of Mayagna (Sumo) Awas Tingni Community</w:t>
      </w:r>
      <w:r w:rsidR="00415EE9" w:rsidRPr="00B01F31">
        <w:rPr>
          <w:i/>
          <w:szCs w:val="24"/>
        </w:rPr>
        <w:t xml:space="preserve"> v. Nicaragua</w:t>
      </w:r>
      <w:r w:rsidRPr="00B01F31">
        <w:rPr>
          <w:szCs w:val="24"/>
        </w:rPr>
        <w:t xml:space="preserve"> (Judgment), Inter-Am. Ct. H.R., Ser. C, No. 79, (31 August 2001).</w:t>
      </w:r>
      <w:r w:rsidRPr="00B01F31">
        <w:rPr>
          <w:b/>
          <w:szCs w:val="24"/>
        </w:rPr>
        <w:t xml:space="preserve"> (p. 30</w:t>
      </w:r>
      <w:r w:rsidR="0069365D" w:rsidRPr="00B01F31">
        <w:rPr>
          <w:b/>
          <w:szCs w:val="24"/>
        </w:rPr>
        <w:t>, 31</w:t>
      </w:r>
      <w:r w:rsidRPr="00B01F31">
        <w:rPr>
          <w:b/>
          <w:szCs w:val="24"/>
        </w:rPr>
        <w:t>)</w:t>
      </w:r>
    </w:p>
    <w:p w:rsidR="00EC720A" w:rsidRPr="00B01F31" w:rsidRDefault="00EC720A" w:rsidP="00B01F31">
      <w:pPr>
        <w:autoSpaceDE w:val="0"/>
        <w:autoSpaceDN w:val="0"/>
        <w:adjustRightInd w:val="0"/>
        <w:rPr>
          <w:szCs w:val="24"/>
        </w:rPr>
      </w:pPr>
      <w:r w:rsidRPr="00B01F31">
        <w:rPr>
          <w:i/>
          <w:szCs w:val="24"/>
        </w:rPr>
        <w:t xml:space="preserve">Case of the Moiwana Community v. Suriname </w:t>
      </w:r>
      <w:r w:rsidRPr="00B01F31">
        <w:rPr>
          <w:szCs w:val="24"/>
        </w:rPr>
        <w:t xml:space="preserve">(Judgment), Inter-Am. Ct. H.R., Ser. C, No. 124, (15 June 2005). </w:t>
      </w:r>
      <w:r w:rsidR="0069365D" w:rsidRPr="00B01F31">
        <w:rPr>
          <w:b/>
          <w:szCs w:val="24"/>
        </w:rPr>
        <w:t xml:space="preserve">(p. </w:t>
      </w:r>
      <w:r w:rsidR="00C21706">
        <w:rPr>
          <w:b/>
          <w:szCs w:val="24"/>
        </w:rPr>
        <w:t xml:space="preserve">25, </w:t>
      </w:r>
      <w:r w:rsidR="0069365D" w:rsidRPr="00B01F31">
        <w:rPr>
          <w:b/>
          <w:szCs w:val="24"/>
        </w:rPr>
        <w:t>26</w:t>
      </w:r>
      <w:r w:rsidRPr="00B01F31">
        <w:rPr>
          <w:b/>
          <w:szCs w:val="24"/>
        </w:rPr>
        <w:t>)</w:t>
      </w:r>
    </w:p>
    <w:p w:rsidR="00EC720A" w:rsidRPr="00B01F31" w:rsidRDefault="00EC720A" w:rsidP="00B01F31">
      <w:pPr>
        <w:autoSpaceDE w:val="0"/>
        <w:autoSpaceDN w:val="0"/>
        <w:adjustRightInd w:val="0"/>
        <w:rPr>
          <w:szCs w:val="24"/>
        </w:rPr>
      </w:pPr>
      <w:r w:rsidRPr="00B01F31">
        <w:rPr>
          <w:i/>
          <w:szCs w:val="24"/>
        </w:rPr>
        <w:t xml:space="preserve">Case of Myrna Mack Chang v. Guatemala </w:t>
      </w:r>
      <w:r w:rsidRPr="00B01F31">
        <w:rPr>
          <w:szCs w:val="24"/>
        </w:rPr>
        <w:t xml:space="preserve">(Judgment), Inter-Am. Ct. H.R., Ser. C, No. 101, (25 November 2003). </w:t>
      </w:r>
      <w:r w:rsidRPr="00B01F31">
        <w:rPr>
          <w:b/>
          <w:szCs w:val="24"/>
        </w:rPr>
        <w:t>(p. 18)</w:t>
      </w:r>
    </w:p>
    <w:p w:rsidR="00EC720A" w:rsidRPr="00B01F31" w:rsidRDefault="00EC720A" w:rsidP="00B01F31">
      <w:pPr>
        <w:autoSpaceDE w:val="0"/>
        <w:autoSpaceDN w:val="0"/>
        <w:adjustRightInd w:val="0"/>
        <w:rPr>
          <w:b/>
          <w:szCs w:val="24"/>
        </w:rPr>
      </w:pPr>
      <w:r w:rsidRPr="00B01F31">
        <w:rPr>
          <w:i/>
          <w:szCs w:val="24"/>
        </w:rPr>
        <w:t xml:space="preserve">Case of Neira-Alegría et al. v. Peru </w:t>
      </w:r>
      <w:r w:rsidRPr="00B01F31">
        <w:rPr>
          <w:szCs w:val="24"/>
        </w:rPr>
        <w:t xml:space="preserve">(Judgment), Inter-Am. Ct. H.R., Ser. C, No. 20, (19 January 1995). </w:t>
      </w:r>
      <w:r w:rsidRPr="00B01F31">
        <w:rPr>
          <w:b/>
          <w:szCs w:val="24"/>
        </w:rPr>
        <w:t>(p. 21)</w:t>
      </w:r>
    </w:p>
    <w:p w:rsidR="00EC720A" w:rsidRPr="00B01F31" w:rsidRDefault="00EC720A" w:rsidP="00B01F31">
      <w:pPr>
        <w:autoSpaceDE w:val="0"/>
        <w:autoSpaceDN w:val="0"/>
        <w:adjustRightInd w:val="0"/>
        <w:rPr>
          <w:szCs w:val="24"/>
        </w:rPr>
      </w:pPr>
      <w:r w:rsidRPr="00B01F31">
        <w:rPr>
          <w:i/>
          <w:szCs w:val="24"/>
        </w:rPr>
        <w:t>Case of Norín Catrimán et al. (Leaders, Members and Activist of the Mapuche Indigenous People) v. Chile</w:t>
      </w:r>
      <w:r w:rsidRPr="00B01F31">
        <w:rPr>
          <w:szCs w:val="24"/>
        </w:rPr>
        <w:t xml:space="preserve"> (Judgment), Inter-Am. Ct. H.R., Ser. C, No. 279, (29 May 2014). </w:t>
      </w:r>
      <w:r w:rsidRPr="00B01F31">
        <w:rPr>
          <w:b/>
          <w:szCs w:val="24"/>
        </w:rPr>
        <w:t>(p. 23)</w:t>
      </w:r>
    </w:p>
    <w:p w:rsidR="00EC720A" w:rsidRPr="00B01F31" w:rsidRDefault="00EC720A" w:rsidP="00B01F31">
      <w:pPr>
        <w:autoSpaceDE w:val="0"/>
        <w:autoSpaceDN w:val="0"/>
        <w:adjustRightInd w:val="0"/>
        <w:rPr>
          <w:b/>
          <w:szCs w:val="24"/>
        </w:rPr>
      </w:pPr>
      <w:r w:rsidRPr="00B01F31">
        <w:rPr>
          <w:i/>
          <w:szCs w:val="24"/>
        </w:rPr>
        <w:t xml:space="preserve">Case of Pacheco Tineo Family v. Plurinational State of Bolivia </w:t>
      </w:r>
      <w:r w:rsidRPr="00B01F31">
        <w:rPr>
          <w:szCs w:val="24"/>
        </w:rPr>
        <w:t xml:space="preserve">(Judgment), Inter-Am. Ct. H.R., Ser. C, No. 272, (25 November 2013). </w:t>
      </w:r>
      <w:r w:rsidR="00C21706">
        <w:rPr>
          <w:b/>
          <w:szCs w:val="24"/>
        </w:rPr>
        <w:t>(p. 22</w:t>
      </w:r>
      <w:r w:rsidRPr="00B01F31">
        <w:rPr>
          <w:b/>
          <w:szCs w:val="24"/>
        </w:rPr>
        <w:t>)</w:t>
      </w:r>
    </w:p>
    <w:p w:rsidR="00EC720A" w:rsidRPr="00B01F31" w:rsidRDefault="00EC720A" w:rsidP="00B01F31">
      <w:pPr>
        <w:autoSpaceDE w:val="0"/>
        <w:autoSpaceDN w:val="0"/>
        <w:adjustRightInd w:val="0"/>
        <w:rPr>
          <w:b/>
          <w:szCs w:val="24"/>
        </w:rPr>
      </w:pPr>
      <w:r w:rsidRPr="00B01F31">
        <w:rPr>
          <w:i/>
          <w:szCs w:val="24"/>
        </w:rPr>
        <w:t xml:space="preserve">Case of Pueblo Bello Massacre v. Colombia </w:t>
      </w:r>
      <w:r w:rsidRPr="00B01F31">
        <w:rPr>
          <w:szCs w:val="24"/>
        </w:rPr>
        <w:t xml:space="preserve">(Judgment), Inter-Am. Ct. H.R., Ser. C, No. 140, (31 January 2006). </w:t>
      </w:r>
      <w:r w:rsidRPr="00B01F31">
        <w:rPr>
          <w:b/>
          <w:szCs w:val="24"/>
        </w:rPr>
        <w:t>(p. 18)</w:t>
      </w:r>
    </w:p>
    <w:p w:rsidR="00EC720A" w:rsidRPr="00B01F31" w:rsidRDefault="00EC720A" w:rsidP="00B01F31">
      <w:pPr>
        <w:autoSpaceDE w:val="0"/>
        <w:autoSpaceDN w:val="0"/>
        <w:adjustRightInd w:val="0"/>
        <w:rPr>
          <w:b/>
          <w:szCs w:val="24"/>
        </w:rPr>
      </w:pPr>
      <w:r w:rsidRPr="00B01F31">
        <w:rPr>
          <w:i/>
          <w:szCs w:val="24"/>
        </w:rPr>
        <w:t>Case of Saramaka People v. Suriname</w:t>
      </w:r>
      <w:r w:rsidRPr="00B01F31">
        <w:rPr>
          <w:b/>
          <w:szCs w:val="24"/>
        </w:rPr>
        <w:t xml:space="preserve"> </w:t>
      </w:r>
      <w:r w:rsidRPr="00B01F31">
        <w:rPr>
          <w:szCs w:val="24"/>
        </w:rPr>
        <w:t xml:space="preserve">(Judgment), Inter-Am. Ct. H.R., Ser. C, No. 172, (28 November 2007). </w:t>
      </w:r>
      <w:r w:rsidR="00C21706">
        <w:rPr>
          <w:b/>
          <w:bCs/>
          <w:szCs w:val="24"/>
        </w:rPr>
        <w:t xml:space="preserve">(p. 17, 26, </w:t>
      </w:r>
      <w:r w:rsidRPr="00B01F31">
        <w:rPr>
          <w:b/>
          <w:bCs/>
          <w:szCs w:val="24"/>
        </w:rPr>
        <w:t>30, 32, 33, 34)</w:t>
      </w:r>
    </w:p>
    <w:p w:rsidR="00EC720A" w:rsidRPr="00B01F31" w:rsidRDefault="00EC720A" w:rsidP="00B01F31">
      <w:pPr>
        <w:autoSpaceDE w:val="0"/>
        <w:autoSpaceDN w:val="0"/>
        <w:adjustRightInd w:val="0"/>
        <w:rPr>
          <w:b/>
          <w:bCs/>
          <w:szCs w:val="24"/>
        </w:rPr>
      </w:pPr>
      <w:r w:rsidRPr="00B01F31">
        <w:rPr>
          <w:i/>
          <w:szCs w:val="24"/>
        </w:rPr>
        <w:t>Case of Sawhoyamaxa Indigenous Community v. Paraguay</w:t>
      </w:r>
      <w:r w:rsidRPr="00B01F31">
        <w:rPr>
          <w:szCs w:val="24"/>
        </w:rPr>
        <w:t xml:space="preserve"> (Judgment), Inter-Am. Ct. H.R., Ser. C, No. 146, (29 </w:t>
      </w:r>
      <w:r w:rsidRPr="00B01F31">
        <w:rPr>
          <w:bCs/>
          <w:szCs w:val="24"/>
        </w:rPr>
        <w:t>March 2006).</w:t>
      </w:r>
      <w:r w:rsidR="00C21706">
        <w:rPr>
          <w:b/>
          <w:bCs/>
          <w:szCs w:val="24"/>
        </w:rPr>
        <w:t xml:space="preserve"> (p. 29, 31, 32, 37</w:t>
      </w:r>
      <w:r w:rsidRPr="00B01F31">
        <w:rPr>
          <w:b/>
          <w:bCs/>
          <w:szCs w:val="24"/>
        </w:rPr>
        <w:t>)</w:t>
      </w:r>
    </w:p>
    <w:p w:rsidR="00EC720A" w:rsidRPr="00B01F31" w:rsidRDefault="00EC720A" w:rsidP="00B01F31">
      <w:pPr>
        <w:autoSpaceDE w:val="0"/>
        <w:autoSpaceDN w:val="0"/>
        <w:adjustRightInd w:val="0"/>
        <w:rPr>
          <w:b/>
          <w:szCs w:val="24"/>
        </w:rPr>
      </w:pPr>
      <w:r w:rsidRPr="00B01F31">
        <w:rPr>
          <w:i/>
          <w:szCs w:val="24"/>
        </w:rPr>
        <w:t xml:space="preserve">Case of Suárez-Rosero v. Ecuador </w:t>
      </w:r>
      <w:r w:rsidRPr="00B01F31">
        <w:rPr>
          <w:szCs w:val="24"/>
        </w:rPr>
        <w:t xml:space="preserve">(Judgment), Inter-Am. Ct. H.R., Ser. C, No. 35, (12 November 1997). </w:t>
      </w:r>
      <w:r w:rsidRPr="00B01F31">
        <w:rPr>
          <w:b/>
          <w:szCs w:val="24"/>
        </w:rPr>
        <w:t>(p. 19)</w:t>
      </w:r>
    </w:p>
    <w:p w:rsidR="005B01A9" w:rsidRPr="00B01F31" w:rsidRDefault="005B01A9" w:rsidP="00B01F31">
      <w:pPr>
        <w:autoSpaceDE w:val="0"/>
        <w:autoSpaceDN w:val="0"/>
        <w:adjustRightInd w:val="0"/>
        <w:rPr>
          <w:szCs w:val="24"/>
        </w:rPr>
      </w:pPr>
    </w:p>
    <w:p w:rsidR="00EC720A" w:rsidRPr="00B01F31" w:rsidRDefault="00EC720A" w:rsidP="00B01F31">
      <w:pPr>
        <w:autoSpaceDE w:val="0"/>
        <w:autoSpaceDN w:val="0"/>
        <w:adjustRightInd w:val="0"/>
        <w:rPr>
          <w:szCs w:val="24"/>
        </w:rPr>
      </w:pPr>
      <w:r w:rsidRPr="00B01F31">
        <w:rPr>
          <w:i/>
          <w:szCs w:val="24"/>
        </w:rPr>
        <w:lastRenderedPageBreak/>
        <w:t xml:space="preserve">Case of </w:t>
      </w:r>
      <w:r w:rsidRPr="00B01F31">
        <w:rPr>
          <w:bCs/>
          <w:i/>
          <w:szCs w:val="24"/>
        </w:rPr>
        <w:t xml:space="preserve">Velásquez-Rodríguez </w:t>
      </w:r>
      <w:r w:rsidRPr="00B01F31">
        <w:rPr>
          <w:bCs/>
          <w:i/>
          <w:iCs/>
          <w:szCs w:val="24"/>
        </w:rPr>
        <w:t xml:space="preserve">v. </w:t>
      </w:r>
      <w:r w:rsidRPr="00B01F31">
        <w:rPr>
          <w:bCs/>
          <w:i/>
          <w:szCs w:val="24"/>
        </w:rPr>
        <w:t>Honduras</w:t>
      </w:r>
      <w:r w:rsidRPr="00B01F31">
        <w:rPr>
          <w:szCs w:val="24"/>
        </w:rPr>
        <w:t xml:space="preserve"> (Judgment), Inter-Am. Ct. H.R., Ser. C, No. 4, (29 July 1988). </w:t>
      </w:r>
      <w:r w:rsidRPr="00B01F31">
        <w:rPr>
          <w:b/>
          <w:szCs w:val="24"/>
        </w:rPr>
        <w:t>(p. 19, 20, 30)</w:t>
      </w:r>
      <w:r w:rsidRPr="00B01F31">
        <w:rPr>
          <w:szCs w:val="24"/>
        </w:rPr>
        <w:t xml:space="preserve"> </w:t>
      </w:r>
    </w:p>
    <w:p w:rsidR="00EC720A" w:rsidRPr="00B01F31" w:rsidRDefault="00EC720A" w:rsidP="00B01F31">
      <w:pPr>
        <w:autoSpaceDE w:val="0"/>
        <w:autoSpaceDN w:val="0"/>
        <w:adjustRightInd w:val="0"/>
        <w:rPr>
          <w:szCs w:val="24"/>
        </w:rPr>
      </w:pPr>
      <w:r w:rsidRPr="00B01F31">
        <w:rPr>
          <w:i/>
          <w:szCs w:val="24"/>
        </w:rPr>
        <w:t xml:space="preserve">Case of “White Van” Paniagua-Morales et al. v. Guatemala </w:t>
      </w:r>
      <w:r w:rsidRPr="00B01F31">
        <w:rPr>
          <w:szCs w:val="24"/>
        </w:rPr>
        <w:t xml:space="preserve">(Judgment), Inter-Am. Ct. H.R., Ser. C, No. 37, (8 March 1998). </w:t>
      </w:r>
      <w:r w:rsidRPr="00B01F31">
        <w:rPr>
          <w:b/>
          <w:szCs w:val="24"/>
        </w:rPr>
        <w:t>(p. 19)</w:t>
      </w:r>
    </w:p>
    <w:p w:rsidR="00EC720A" w:rsidRPr="00B01F31" w:rsidRDefault="00EC720A" w:rsidP="00B01F31">
      <w:pPr>
        <w:autoSpaceDE w:val="0"/>
        <w:autoSpaceDN w:val="0"/>
        <w:adjustRightInd w:val="0"/>
        <w:rPr>
          <w:iCs/>
          <w:szCs w:val="24"/>
        </w:rPr>
      </w:pPr>
      <w:r w:rsidRPr="00B01F31">
        <w:rPr>
          <w:i/>
          <w:szCs w:val="24"/>
        </w:rPr>
        <w:t xml:space="preserve">Case of the </w:t>
      </w:r>
      <w:r w:rsidRPr="00B01F31">
        <w:rPr>
          <w:i/>
          <w:iCs/>
          <w:szCs w:val="24"/>
        </w:rPr>
        <w:t xml:space="preserve">Xákmok Kásek Indigenous Community v. Paraguay </w:t>
      </w:r>
      <w:r w:rsidRPr="00B01F31">
        <w:rPr>
          <w:iCs/>
          <w:szCs w:val="24"/>
        </w:rPr>
        <w:t xml:space="preserve">(Judgment), Inter-Am. Ct. H.R., Ser. C, No. 214, (24 August 2010). </w:t>
      </w:r>
      <w:r w:rsidR="0069365D" w:rsidRPr="00B01F31">
        <w:rPr>
          <w:b/>
          <w:szCs w:val="24"/>
        </w:rPr>
        <w:t>(p. 36</w:t>
      </w:r>
      <w:r w:rsidRPr="00B01F31">
        <w:rPr>
          <w:b/>
          <w:szCs w:val="24"/>
        </w:rPr>
        <w:t>)</w:t>
      </w:r>
    </w:p>
    <w:p w:rsidR="00EC720A" w:rsidRPr="00B01F31" w:rsidRDefault="00EC720A" w:rsidP="00B01F31">
      <w:pPr>
        <w:autoSpaceDE w:val="0"/>
        <w:autoSpaceDN w:val="0"/>
        <w:adjustRightInd w:val="0"/>
        <w:rPr>
          <w:szCs w:val="24"/>
        </w:rPr>
      </w:pPr>
      <w:r w:rsidRPr="00B01F31">
        <w:rPr>
          <w:i/>
          <w:szCs w:val="24"/>
        </w:rPr>
        <w:t>Case of the Yakye Axa Indigenous Community v. Paraguay</w:t>
      </w:r>
      <w:r w:rsidRPr="00B01F31">
        <w:rPr>
          <w:szCs w:val="24"/>
        </w:rPr>
        <w:t xml:space="preserve"> (Judgment), Inter-Am. Ct. H.R., Ser. C, No. 125, (17 June 2005). </w:t>
      </w:r>
      <w:r w:rsidR="0069365D" w:rsidRPr="00B01F31">
        <w:rPr>
          <w:b/>
          <w:szCs w:val="24"/>
        </w:rPr>
        <w:t xml:space="preserve">(p. 27, 28, </w:t>
      </w:r>
      <w:r w:rsidR="00C21706">
        <w:rPr>
          <w:b/>
          <w:szCs w:val="24"/>
        </w:rPr>
        <w:t xml:space="preserve">35, </w:t>
      </w:r>
      <w:r w:rsidRPr="00B01F31">
        <w:rPr>
          <w:b/>
          <w:szCs w:val="24"/>
        </w:rPr>
        <w:t>37</w:t>
      </w:r>
      <w:r w:rsidR="00C21706">
        <w:rPr>
          <w:b/>
          <w:szCs w:val="24"/>
        </w:rPr>
        <w:t>)</w:t>
      </w:r>
    </w:p>
    <w:p w:rsidR="00BD55A2" w:rsidRPr="00B01F31" w:rsidRDefault="00EC720A" w:rsidP="00B01F31">
      <w:pPr>
        <w:autoSpaceDE w:val="0"/>
        <w:autoSpaceDN w:val="0"/>
        <w:adjustRightInd w:val="0"/>
        <w:rPr>
          <w:b/>
          <w:bCs/>
          <w:szCs w:val="24"/>
          <w:lang w:eastAsia="en-US"/>
        </w:rPr>
      </w:pPr>
      <w:r w:rsidRPr="00B01F31">
        <w:rPr>
          <w:b/>
          <w:bCs/>
          <w:szCs w:val="24"/>
          <w:lang w:eastAsia="en-US"/>
        </w:rPr>
        <w:t>2</w:t>
      </w:r>
      <w:r w:rsidR="00BD55A2" w:rsidRPr="00B01F31">
        <w:rPr>
          <w:b/>
          <w:bCs/>
          <w:szCs w:val="24"/>
          <w:lang w:eastAsia="en-US"/>
        </w:rPr>
        <w:t xml:space="preserve">. Inter-American Commission of Human Rights </w:t>
      </w:r>
    </w:p>
    <w:p w:rsidR="00BD55A2" w:rsidRPr="00B01F31" w:rsidRDefault="00BD55A2" w:rsidP="00B01F31">
      <w:pPr>
        <w:autoSpaceDE w:val="0"/>
        <w:autoSpaceDN w:val="0"/>
        <w:adjustRightInd w:val="0"/>
        <w:rPr>
          <w:bCs/>
          <w:i/>
          <w:iCs/>
          <w:szCs w:val="24"/>
          <w:u w:val="single"/>
          <w:lang w:eastAsia="en-US"/>
        </w:rPr>
      </w:pPr>
      <w:r w:rsidRPr="00B01F31">
        <w:rPr>
          <w:bCs/>
          <w:i/>
          <w:iCs/>
          <w:szCs w:val="24"/>
          <w:u w:val="single"/>
          <w:lang w:eastAsia="en-US"/>
        </w:rPr>
        <w:t>Contentious Cases</w:t>
      </w:r>
      <w:r w:rsidR="006B5A6C" w:rsidRPr="00B01F31">
        <w:rPr>
          <w:bCs/>
          <w:i/>
          <w:iCs/>
          <w:szCs w:val="24"/>
          <w:u w:val="single"/>
          <w:lang w:eastAsia="en-US"/>
        </w:rPr>
        <w:t xml:space="preserve"> </w:t>
      </w:r>
    </w:p>
    <w:p w:rsidR="00BD55A2" w:rsidRPr="00B01F31" w:rsidRDefault="00BD55A2" w:rsidP="00B01F31">
      <w:pPr>
        <w:autoSpaceDE w:val="0"/>
        <w:autoSpaceDN w:val="0"/>
        <w:adjustRightInd w:val="0"/>
        <w:rPr>
          <w:bCs/>
          <w:i/>
          <w:iCs/>
          <w:szCs w:val="24"/>
          <w:lang w:eastAsia="en-US"/>
        </w:rPr>
      </w:pPr>
      <w:r w:rsidRPr="00B01F31">
        <w:rPr>
          <w:i/>
          <w:szCs w:val="24"/>
          <w:lang w:eastAsia="en-US"/>
        </w:rPr>
        <w:t>Carlos Garc</w:t>
      </w:r>
      <w:r w:rsidRPr="00B01F31">
        <w:rPr>
          <w:bCs/>
          <w:i/>
          <w:szCs w:val="24"/>
          <w:lang w:eastAsia="en-US"/>
        </w:rPr>
        <w:t>í</w:t>
      </w:r>
      <w:r w:rsidRPr="00B01F31">
        <w:rPr>
          <w:i/>
          <w:szCs w:val="24"/>
          <w:lang w:eastAsia="en-US"/>
        </w:rPr>
        <w:t>a Saccone v. Argentina</w:t>
      </w:r>
      <w:r w:rsidRPr="00B01F31">
        <w:rPr>
          <w:szCs w:val="24"/>
          <w:lang w:eastAsia="en-US"/>
        </w:rPr>
        <w:t xml:space="preserve">, IACHR, </w:t>
      </w:r>
      <w:r w:rsidRPr="00B01F31">
        <w:rPr>
          <w:szCs w:val="24"/>
        </w:rPr>
        <w:t xml:space="preserve">OEA/Ser.L/V/II. 98, Doc. 6, Report No. 8/98, (2 March 1998). </w:t>
      </w:r>
      <w:r w:rsidRPr="00B01F31">
        <w:rPr>
          <w:b/>
          <w:szCs w:val="24"/>
        </w:rPr>
        <w:t>(p. 14)</w:t>
      </w:r>
    </w:p>
    <w:p w:rsidR="00BD55A2" w:rsidRPr="00B01F31" w:rsidRDefault="00BD55A2" w:rsidP="00B01F31">
      <w:pPr>
        <w:autoSpaceDE w:val="0"/>
        <w:autoSpaceDN w:val="0"/>
        <w:adjustRightInd w:val="0"/>
        <w:rPr>
          <w:bCs/>
          <w:i/>
          <w:iCs/>
          <w:szCs w:val="24"/>
          <w:lang w:eastAsia="en-US"/>
        </w:rPr>
      </w:pPr>
      <w:r w:rsidRPr="00B01F31">
        <w:rPr>
          <w:bCs/>
          <w:i/>
          <w:iCs/>
          <w:szCs w:val="24"/>
          <w:lang w:eastAsia="en-US"/>
        </w:rPr>
        <w:t>Coard et al. v. United States</w:t>
      </w:r>
      <w:r w:rsidRPr="00B01F31">
        <w:rPr>
          <w:bCs/>
          <w:iCs/>
          <w:szCs w:val="24"/>
          <w:lang w:eastAsia="en-US"/>
        </w:rPr>
        <w:t xml:space="preserve">, IACHR, Report No. 109/99, (29 September 1999). </w:t>
      </w:r>
      <w:r w:rsidRPr="00B01F31">
        <w:rPr>
          <w:b/>
          <w:szCs w:val="24"/>
        </w:rPr>
        <w:t>(p. 14)</w:t>
      </w:r>
    </w:p>
    <w:p w:rsidR="00BD55A2" w:rsidRPr="00AE2F9B" w:rsidRDefault="00BD55A2" w:rsidP="00B01F31">
      <w:pPr>
        <w:autoSpaceDE w:val="0"/>
        <w:autoSpaceDN w:val="0"/>
        <w:adjustRightInd w:val="0"/>
        <w:rPr>
          <w:bCs/>
          <w:iCs/>
          <w:szCs w:val="24"/>
          <w:lang w:val="es-CO" w:eastAsia="en-US"/>
        </w:rPr>
      </w:pPr>
      <w:r w:rsidRPr="00B01F31">
        <w:rPr>
          <w:bCs/>
          <w:i/>
          <w:iCs/>
          <w:szCs w:val="24"/>
          <w:lang w:eastAsia="en-US"/>
        </w:rPr>
        <w:t>Communities of the Sipakepense and Mam Mayan People of the Municipalities of Sipacapa and San Miguel Ixtahuacán v. Guatemala</w:t>
      </w:r>
      <w:r w:rsidRPr="00B01F31">
        <w:rPr>
          <w:bCs/>
          <w:iCs/>
          <w:szCs w:val="24"/>
          <w:lang w:eastAsia="en-US"/>
        </w:rPr>
        <w:t>, IACHR, Petition 1566-07, Report No. 20/14, (3 April 2014).</w:t>
      </w:r>
      <w:r w:rsidRPr="00B01F31">
        <w:rPr>
          <w:b/>
          <w:szCs w:val="24"/>
        </w:rPr>
        <w:t xml:space="preserve"> </w:t>
      </w:r>
      <w:r w:rsidRPr="00AE2F9B">
        <w:rPr>
          <w:b/>
          <w:szCs w:val="24"/>
          <w:lang w:val="es-CO"/>
        </w:rPr>
        <w:t>(p. 15)</w:t>
      </w:r>
    </w:p>
    <w:p w:rsidR="00BD55A2" w:rsidRPr="00B01F31" w:rsidRDefault="00BD55A2" w:rsidP="00B01F31">
      <w:pPr>
        <w:autoSpaceDE w:val="0"/>
        <w:autoSpaceDN w:val="0"/>
        <w:adjustRightInd w:val="0"/>
        <w:rPr>
          <w:szCs w:val="24"/>
        </w:rPr>
      </w:pPr>
      <w:r w:rsidRPr="00AE2F9B">
        <w:rPr>
          <w:i/>
          <w:szCs w:val="24"/>
          <w:lang w:val="es-CO"/>
        </w:rPr>
        <w:t>Felipe Matías Calmo, Faustino Mejía Bautista et al. v. Guatemala</w:t>
      </w:r>
      <w:r w:rsidRPr="00AE2F9B">
        <w:rPr>
          <w:szCs w:val="24"/>
          <w:lang w:val="es-CO"/>
        </w:rPr>
        <w:t>, IACHR, Petition 818-06, Report No. 55/14, (21 July 2014).</w:t>
      </w:r>
      <w:r w:rsidRPr="00AE2F9B">
        <w:rPr>
          <w:b/>
          <w:szCs w:val="24"/>
          <w:lang w:val="es-CO"/>
        </w:rPr>
        <w:t xml:space="preserve"> </w:t>
      </w:r>
      <w:r w:rsidRPr="00B01F31">
        <w:rPr>
          <w:b/>
          <w:szCs w:val="24"/>
        </w:rPr>
        <w:t>(p. 17)</w:t>
      </w:r>
    </w:p>
    <w:p w:rsidR="00BD55A2" w:rsidRPr="00B01F31" w:rsidRDefault="00BD55A2" w:rsidP="00B01F31">
      <w:pPr>
        <w:autoSpaceDE w:val="0"/>
        <w:autoSpaceDN w:val="0"/>
        <w:adjustRightInd w:val="0"/>
        <w:rPr>
          <w:szCs w:val="24"/>
          <w:lang w:eastAsia="en-US"/>
        </w:rPr>
      </w:pPr>
      <w:r w:rsidRPr="00B01F31">
        <w:rPr>
          <w:i/>
          <w:szCs w:val="24"/>
        </w:rPr>
        <w:t>Hugo Armendariz v. United States</w:t>
      </w:r>
      <w:r w:rsidRPr="00B01F31">
        <w:rPr>
          <w:szCs w:val="24"/>
        </w:rPr>
        <w:t xml:space="preserve">, IACHR, Petition 526-03, Report No. 57/06, </w:t>
      </w:r>
      <w:r w:rsidRPr="00B01F31">
        <w:rPr>
          <w:szCs w:val="24"/>
          <w:lang w:eastAsia="en-US"/>
        </w:rPr>
        <w:t xml:space="preserve">(20 July 2006). </w:t>
      </w:r>
      <w:r w:rsidRPr="00B01F31">
        <w:rPr>
          <w:b/>
          <w:szCs w:val="24"/>
        </w:rPr>
        <w:t>(p. 13)</w:t>
      </w:r>
    </w:p>
    <w:p w:rsidR="00BD55A2" w:rsidRPr="00B01F31" w:rsidRDefault="00BD55A2" w:rsidP="00B01F31">
      <w:pPr>
        <w:autoSpaceDE w:val="0"/>
        <w:autoSpaceDN w:val="0"/>
        <w:adjustRightInd w:val="0"/>
        <w:rPr>
          <w:b/>
          <w:szCs w:val="24"/>
        </w:rPr>
      </w:pPr>
      <w:r w:rsidRPr="00B01F31">
        <w:rPr>
          <w:i/>
          <w:szCs w:val="24"/>
        </w:rPr>
        <w:t>José Miguel Gudiel Álvarez and Ohters (“Diario Militar”) v. Guatemala</w:t>
      </w:r>
      <w:r w:rsidRPr="00B01F31">
        <w:rPr>
          <w:szCs w:val="24"/>
        </w:rPr>
        <w:t>, Report No. 116/10, (22 October 2010).</w:t>
      </w:r>
      <w:r w:rsidRPr="00B01F31">
        <w:rPr>
          <w:b/>
          <w:szCs w:val="24"/>
        </w:rPr>
        <w:t xml:space="preserve"> (p. 13)</w:t>
      </w:r>
    </w:p>
    <w:p w:rsidR="005B01A9" w:rsidRPr="00B01F31" w:rsidRDefault="005B01A9" w:rsidP="00B01F31">
      <w:pPr>
        <w:autoSpaceDE w:val="0"/>
        <w:autoSpaceDN w:val="0"/>
        <w:adjustRightInd w:val="0"/>
        <w:rPr>
          <w:b/>
          <w:szCs w:val="24"/>
        </w:rPr>
      </w:pPr>
    </w:p>
    <w:p w:rsidR="0069365D" w:rsidRPr="00B01F31" w:rsidRDefault="00BD55A2" w:rsidP="00B01F31">
      <w:pPr>
        <w:autoSpaceDE w:val="0"/>
        <w:autoSpaceDN w:val="0"/>
        <w:adjustRightInd w:val="0"/>
        <w:rPr>
          <w:szCs w:val="24"/>
        </w:rPr>
      </w:pPr>
      <w:r w:rsidRPr="00B01F31">
        <w:rPr>
          <w:i/>
          <w:szCs w:val="24"/>
        </w:rPr>
        <w:lastRenderedPageBreak/>
        <w:t>Ricardo Urbano Poma v. Peru</w:t>
      </w:r>
      <w:r w:rsidRPr="00B01F31">
        <w:rPr>
          <w:szCs w:val="24"/>
        </w:rPr>
        <w:t xml:space="preserve">, IACHR, Petition 445-99, Report No. 3/08, (4 March 2008). </w:t>
      </w:r>
    </w:p>
    <w:p w:rsidR="00BD55A2" w:rsidRPr="00B01F31" w:rsidRDefault="00BD55A2" w:rsidP="00B01F31">
      <w:pPr>
        <w:autoSpaceDE w:val="0"/>
        <w:autoSpaceDN w:val="0"/>
        <w:adjustRightInd w:val="0"/>
        <w:rPr>
          <w:szCs w:val="24"/>
        </w:rPr>
      </w:pPr>
      <w:r w:rsidRPr="00B01F31">
        <w:rPr>
          <w:b/>
          <w:szCs w:val="24"/>
        </w:rPr>
        <w:t>(p. 16)</w:t>
      </w:r>
    </w:p>
    <w:p w:rsidR="00BD55A2" w:rsidRPr="00B01F31" w:rsidRDefault="00BD55A2" w:rsidP="00B01F31">
      <w:pPr>
        <w:autoSpaceDE w:val="0"/>
        <w:autoSpaceDN w:val="0"/>
        <w:adjustRightInd w:val="0"/>
        <w:rPr>
          <w:b/>
          <w:szCs w:val="24"/>
        </w:rPr>
      </w:pPr>
      <w:r w:rsidRPr="00B01F31">
        <w:rPr>
          <w:i/>
          <w:szCs w:val="24"/>
        </w:rPr>
        <w:t>Wayne Smith v. United States</w:t>
      </w:r>
      <w:r w:rsidRPr="00B01F31">
        <w:rPr>
          <w:szCs w:val="24"/>
        </w:rPr>
        <w:t>, Petition 8-03, Report No. 56/06, (20 July 2006).</w:t>
      </w:r>
      <w:r w:rsidRPr="00B01F31">
        <w:rPr>
          <w:b/>
          <w:szCs w:val="24"/>
        </w:rPr>
        <w:t xml:space="preserve"> (p. 13)</w:t>
      </w:r>
    </w:p>
    <w:p w:rsidR="00E609EA" w:rsidRPr="00B01F31" w:rsidRDefault="00E609EA" w:rsidP="00B01F31">
      <w:pPr>
        <w:autoSpaceDE w:val="0"/>
        <w:autoSpaceDN w:val="0"/>
        <w:adjustRightInd w:val="0"/>
        <w:rPr>
          <w:bCs/>
          <w:i/>
          <w:iCs/>
          <w:szCs w:val="24"/>
          <w:u w:val="single"/>
          <w:lang w:eastAsia="en-US"/>
        </w:rPr>
      </w:pPr>
      <w:r w:rsidRPr="00B01F31">
        <w:rPr>
          <w:bCs/>
          <w:i/>
          <w:iCs/>
          <w:szCs w:val="24"/>
          <w:u w:val="single"/>
          <w:lang w:eastAsia="en-US"/>
        </w:rPr>
        <w:t xml:space="preserve">Country Reports </w:t>
      </w:r>
    </w:p>
    <w:p w:rsidR="00E609EA" w:rsidRPr="00B01F31" w:rsidRDefault="00E609EA" w:rsidP="00B01F31">
      <w:pPr>
        <w:autoSpaceDE w:val="0"/>
        <w:autoSpaceDN w:val="0"/>
        <w:adjustRightInd w:val="0"/>
        <w:rPr>
          <w:szCs w:val="24"/>
        </w:rPr>
      </w:pPr>
      <w:r w:rsidRPr="00B01F31">
        <w:rPr>
          <w:i/>
          <w:szCs w:val="24"/>
        </w:rPr>
        <w:t>The Human Rights Situation in Mexico</w:t>
      </w:r>
      <w:r w:rsidRPr="00B01F31">
        <w:rPr>
          <w:szCs w:val="24"/>
        </w:rPr>
        <w:t>, IACHR, OEA/Ser.L/V/II., Doc. 44/15, (31 December 2015).</w:t>
      </w:r>
      <w:r w:rsidRPr="00B01F31">
        <w:rPr>
          <w:b/>
          <w:szCs w:val="24"/>
        </w:rPr>
        <w:t xml:space="preserve"> (p. 39)</w:t>
      </w:r>
    </w:p>
    <w:p w:rsidR="00BD55A2" w:rsidRPr="00B01F31" w:rsidRDefault="00BD55A2" w:rsidP="00B01F31">
      <w:pPr>
        <w:autoSpaceDE w:val="0"/>
        <w:autoSpaceDN w:val="0"/>
        <w:adjustRightInd w:val="0"/>
        <w:rPr>
          <w:b/>
          <w:bCs/>
          <w:szCs w:val="24"/>
          <w:lang w:eastAsia="en-US"/>
        </w:rPr>
      </w:pPr>
      <w:r w:rsidRPr="00B01F31">
        <w:rPr>
          <w:b/>
          <w:bCs/>
          <w:szCs w:val="24"/>
          <w:lang w:eastAsia="en-US"/>
        </w:rPr>
        <w:t xml:space="preserve">3. European Court on Human Rights </w:t>
      </w:r>
    </w:p>
    <w:p w:rsidR="00BD55A2" w:rsidRPr="00B01F31" w:rsidRDefault="00BD55A2" w:rsidP="00B01F31">
      <w:pPr>
        <w:autoSpaceDE w:val="0"/>
        <w:autoSpaceDN w:val="0"/>
        <w:adjustRightInd w:val="0"/>
        <w:rPr>
          <w:b/>
          <w:bCs/>
          <w:i/>
          <w:szCs w:val="24"/>
          <w:lang w:eastAsia="en-US"/>
        </w:rPr>
      </w:pPr>
      <w:r w:rsidRPr="00B01F31">
        <w:rPr>
          <w:bCs/>
          <w:i/>
          <w:szCs w:val="24"/>
          <w:lang w:eastAsia="en-US"/>
        </w:rPr>
        <w:t>Case of Banković and Others v. Belgium and Others,</w:t>
      </w:r>
      <w:r w:rsidRPr="00B01F31">
        <w:rPr>
          <w:bCs/>
          <w:szCs w:val="24"/>
          <w:lang w:eastAsia="en-US"/>
        </w:rPr>
        <w:t xml:space="preserve"> ECtHR, App. No. 52207/99, (12 December 2001). </w:t>
      </w:r>
      <w:r w:rsidR="00C21706">
        <w:rPr>
          <w:b/>
          <w:bCs/>
          <w:szCs w:val="24"/>
          <w:lang w:eastAsia="en-US"/>
        </w:rPr>
        <w:t xml:space="preserve">(p. </w:t>
      </w:r>
      <w:r w:rsidRPr="00B01F31">
        <w:rPr>
          <w:b/>
          <w:bCs/>
          <w:szCs w:val="24"/>
          <w:lang w:eastAsia="en-US"/>
        </w:rPr>
        <w:t>14)</w:t>
      </w:r>
    </w:p>
    <w:p w:rsidR="00BD55A2" w:rsidRPr="00B01F31" w:rsidRDefault="00BD55A2" w:rsidP="00B01F31">
      <w:pPr>
        <w:autoSpaceDE w:val="0"/>
        <w:autoSpaceDN w:val="0"/>
        <w:adjustRightInd w:val="0"/>
        <w:rPr>
          <w:b/>
          <w:bCs/>
          <w:szCs w:val="24"/>
          <w:lang w:eastAsia="en-US"/>
        </w:rPr>
      </w:pPr>
      <w:r w:rsidRPr="00B01F31">
        <w:rPr>
          <w:b/>
          <w:bCs/>
          <w:szCs w:val="24"/>
          <w:lang w:eastAsia="en-US"/>
        </w:rPr>
        <w:t xml:space="preserve">4. Other </w:t>
      </w:r>
      <w:r w:rsidR="008C00E8" w:rsidRPr="00B01F31">
        <w:rPr>
          <w:b/>
          <w:bCs/>
          <w:szCs w:val="24"/>
          <w:lang w:eastAsia="en-US"/>
        </w:rPr>
        <w:t>Human Right Bodies</w:t>
      </w:r>
    </w:p>
    <w:p w:rsidR="00BD55A2" w:rsidRPr="00B01F31" w:rsidRDefault="00BD55A2" w:rsidP="00B01F31">
      <w:pPr>
        <w:autoSpaceDE w:val="0"/>
        <w:autoSpaceDN w:val="0"/>
        <w:adjustRightInd w:val="0"/>
        <w:rPr>
          <w:bCs/>
          <w:i/>
          <w:iCs/>
          <w:szCs w:val="24"/>
          <w:u w:val="single"/>
          <w:lang w:eastAsia="en-US"/>
        </w:rPr>
      </w:pPr>
      <w:r w:rsidRPr="00B01F31">
        <w:rPr>
          <w:bCs/>
          <w:i/>
          <w:iCs/>
          <w:szCs w:val="24"/>
          <w:u w:val="single"/>
          <w:lang w:eastAsia="en-US"/>
        </w:rPr>
        <w:t>Reports</w:t>
      </w:r>
      <w:r w:rsidR="006B5A6C" w:rsidRPr="00B01F31">
        <w:rPr>
          <w:bCs/>
          <w:i/>
          <w:iCs/>
          <w:szCs w:val="24"/>
          <w:u w:val="single"/>
          <w:lang w:eastAsia="en-US"/>
        </w:rPr>
        <w:t xml:space="preserve"> </w:t>
      </w:r>
    </w:p>
    <w:p w:rsidR="004F3FBD" w:rsidRPr="00B01F31" w:rsidRDefault="004F3FBD" w:rsidP="00B01F31">
      <w:pPr>
        <w:autoSpaceDE w:val="0"/>
        <w:autoSpaceDN w:val="0"/>
        <w:adjustRightInd w:val="0"/>
        <w:rPr>
          <w:b/>
          <w:bCs/>
          <w:iCs/>
          <w:szCs w:val="24"/>
          <w:lang w:eastAsia="en-US"/>
        </w:rPr>
      </w:pPr>
      <w:r w:rsidRPr="00B01F31">
        <w:rPr>
          <w:bCs/>
          <w:iCs/>
          <w:szCs w:val="24"/>
          <w:lang w:eastAsia="en-US"/>
        </w:rPr>
        <w:t xml:space="preserve">U.N. Human Rights Committee, </w:t>
      </w:r>
      <w:r w:rsidRPr="00B01F31">
        <w:rPr>
          <w:bCs/>
          <w:i/>
          <w:iCs/>
          <w:szCs w:val="24"/>
          <w:lang w:eastAsia="en-US"/>
        </w:rPr>
        <w:t>Apirana Mahuika v. New Zealand</w:t>
      </w:r>
      <w:r w:rsidRPr="00B01F31">
        <w:rPr>
          <w:bCs/>
          <w:iCs/>
          <w:szCs w:val="24"/>
          <w:lang w:eastAsia="en-US"/>
        </w:rPr>
        <w:t>, Communication No. 547/1993, Doc. CCPR/C/55/D/547/1993</w:t>
      </w:r>
      <w:r w:rsidR="008F702A" w:rsidRPr="00B01F31">
        <w:rPr>
          <w:bCs/>
          <w:iCs/>
          <w:szCs w:val="24"/>
          <w:lang w:eastAsia="en-US"/>
        </w:rPr>
        <w:t xml:space="preserve">, (13 October 1995). </w:t>
      </w:r>
      <w:r w:rsidR="008F702A" w:rsidRPr="00B01F31">
        <w:rPr>
          <w:b/>
          <w:bCs/>
          <w:iCs/>
          <w:szCs w:val="24"/>
          <w:lang w:eastAsia="en-US"/>
        </w:rPr>
        <w:t>(p. 26)</w:t>
      </w:r>
    </w:p>
    <w:p w:rsidR="00BD55A2" w:rsidRPr="00B01F31" w:rsidRDefault="00BD55A2" w:rsidP="00B01F31">
      <w:pPr>
        <w:autoSpaceDE w:val="0"/>
        <w:autoSpaceDN w:val="0"/>
        <w:adjustRightInd w:val="0"/>
        <w:rPr>
          <w:bCs/>
          <w:iCs/>
          <w:szCs w:val="24"/>
          <w:lang w:eastAsia="en-US"/>
        </w:rPr>
      </w:pPr>
      <w:r w:rsidRPr="00B01F31">
        <w:rPr>
          <w:bCs/>
          <w:iCs/>
          <w:szCs w:val="24"/>
          <w:lang w:eastAsia="en-US"/>
        </w:rPr>
        <w:t xml:space="preserve">U.N. Human Rights Council, </w:t>
      </w:r>
      <w:r w:rsidRPr="00B01F31">
        <w:rPr>
          <w:bCs/>
          <w:i/>
          <w:iCs/>
          <w:szCs w:val="24"/>
          <w:lang w:eastAsia="en-US"/>
        </w:rPr>
        <w:t>Report of the Special Rapporteur on the rights of indigenous peoples, James Anaya</w:t>
      </w:r>
      <w:r w:rsidRPr="00B01F31">
        <w:rPr>
          <w:bCs/>
          <w:iCs/>
          <w:szCs w:val="24"/>
          <w:lang w:eastAsia="en-US"/>
        </w:rPr>
        <w:t xml:space="preserve">, (6 July 2012). </w:t>
      </w:r>
      <w:r w:rsidRPr="00B01F31">
        <w:rPr>
          <w:b/>
          <w:bCs/>
          <w:iCs/>
          <w:szCs w:val="24"/>
          <w:lang w:eastAsia="en-US"/>
        </w:rPr>
        <w:t>(p. 33)</w:t>
      </w:r>
    </w:p>
    <w:p w:rsidR="00BD55A2" w:rsidRPr="00B01F31" w:rsidRDefault="00BD55A2" w:rsidP="00B01F31">
      <w:pPr>
        <w:autoSpaceDE w:val="0"/>
        <w:autoSpaceDN w:val="0"/>
        <w:adjustRightInd w:val="0"/>
        <w:rPr>
          <w:bCs/>
          <w:iCs/>
          <w:szCs w:val="24"/>
          <w:lang w:eastAsia="en-US"/>
        </w:rPr>
      </w:pPr>
      <w:r w:rsidRPr="00B01F31">
        <w:rPr>
          <w:bCs/>
          <w:iCs/>
          <w:szCs w:val="24"/>
          <w:lang w:eastAsia="en-US"/>
        </w:rPr>
        <w:t xml:space="preserve">U.N. Office of the United Nations High Commissioner for Human Rights, </w:t>
      </w:r>
      <w:r w:rsidRPr="00B01F31">
        <w:rPr>
          <w:bCs/>
          <w:i/>
          <w:iCs/>
          <w:szCs w:val="24"/>
          <w:lang w:eastAsia="en-US"/>
        </w:rPr>
        <w:t xml:space="preserve">Individual Report on the American Declaration of the Rights and Duties of Man, the American Convention on Human Rights, and the Additional Protocol to the American Convention on Human Rights in the Area of Economic, Social and Cultural Rights, </w:t>
      </w:r>
      <w:r w:rsidRPr="00B01F31">
        <w:rPr>
          <w:bCs/>
          <w:iCs/>
          <w:szCs w:val="24"/>
          <w:lang w:eastAsia="en-US"/>
        </w:rPr>
        <w:t xml:space="preserve">Report No. 13, (December 2013). </w:t>
      </w:r>
      <w:r w:rsidRPr="00B01F31">
        <w:rPr>
          <w:b/>
          <w:bCs/>
          <w:iCs/>
          <w:szCs w:val="24"/>
          <w:lang w:eastAsia="en-US"/>
        </w:rPr>
        <w:t>(p. 25)</w:t>
      </w:r>
    </w:p>
    <w:p w:rsidR="00487EE9" w:rsidRPr="00B01F31" w:rsidRDefault="00487EE9" w:rsidP="00B01F31">
      <w:pPr>
        <w:pStyle w:val="Heading1"/>
        <w:widowControl/>
        <w:tabs>
          <w:tab w:val="clear" w:pos="432"/>
          <w:tab w:val="num" w:pos="0"/>
        </w:tabs>
        <w:spacing w:line="480" w:lineRule="auto"/>
        <w:ind w:left="0" w:firstLine="0"/>
        <w:jc w:val="both"/>
        <w:rPr>
          <w:b/>
          <w:bCs/>
          <w:sz w:val="24"/>
          <w:szCs w:val="24"/>
        </w:rPr>
      </w:pPr>
      <w:r w:rsidRPr="00B01F31">
        <w:rPr>
          <w:sz w:val="24"/>
          <w:szCs w:val="24"/>
        </w:rPr>
        <w:br w:type="page"/>
      </w:r>
      <w:bookmarkStart w:id="4" w:name="_Toc317977725"/>
      <w:bookmarkStart w:id="5" w:name="_Toc320823088"/>
      <w:r w:rsidRPr="00B01F31">
        <w:rPr>
          <w:b/>
          <w:bCs/>
          <w:sz w:val="24"/>
          <w:szCs w:val="24"/>
        </w:rPr>
        <w:lastRenderedPageBreak/>
        <w:t>Statement of Facts</w:t>
      </w:r>
      <w:bookmarkEnd w:id="4"/>
      <w:bookmarkEnd w:id="5"/>
    </w:p>
    <w:p w:rsidR="001C613B" w:rsidRPr="00B01F31" w:rsidRDefault="000D7E18" w:rsidP="00B01F31">
      <w:pPr>
        <w:rPr>
          <w:szCs w:val="24"/>
        </w:rPr>
      </w:pPr>
      <w:r w:rsidRPr="00B01F31">
        <w:rPr>
          <w:szCs w:val="24"/>
        </w:rPr>
        <w:t>T</w:t>
      </w:r>
      <w:r w:rsidR="000A4EEE" w:rsidRPr="00B01F31">
        <w:rPr>
          <w:szCs w:val="24"/>
        </w:rPr>
        <w:t>he respondent State of Santa Cla</w:t>
      </w:r>
      <w:r w:rsidRPr="00B01F31">
        <w:rPr>
          <w:szCs w:val="24"/>
        </w:rPr>
        <w:t>ra (hereinafter “the respondent State”) fosters multicu</w:t>
      </w:r>
      <w:r w:rsidR="00B05E86" w:rsidRPr="00B01F31">
        <w:rPr>
          <w:szCs w:val="24"/>
        </w:rPr>
        <w:t xml:space="preserve">lturalism through its policies having </w:t>
      </w:r>
      <w:r w:rsidRPr="00B01F31">
        <w:rPr>
          <w:szCs w:val="24"/>
        </w:rPr>
        <w:t xml:space="preserve">ratified all inter-American human rights instruments as well as many fundamental universal human rights treaties. </w:t>
      </w:r>
      <w:r w:rsidR="00221FFF" w:rsidRPr="00B01F31">
        <w:rPr>
          <w:szCs w:val="24"/>
        </w:rPr>
        <w:t>Moreover,</w:t>
      </w:r>
      <w:r w:rsidR="0026393B" w:rsidRPr="00B01F31">
        <w:rPr>
          <w:szCs w:val="24"/>
        </w:rPr>
        <w:t xml:space="preserve"> t</w:t>
      </w:r>
      <w:r w:rsidR="00682511" w:rsidRPr="00B01F31">
        <w:rPr>
          <w:szCs w:val="24"/>
        </w:rPr>
        <w:t>he</w:t>
      </w:r>
      <w:r w:rsidR="00AE0196" w:rsidRPr="00B01F31">
        <w:rPr>
          <w:szCs w:val="24"/>
        </w:rPr>
        <w:t xml:space="preserve"> </w:t>
      </w:r>
      <w:r w:rsidR="00535339" w:rsidRPr="00B01F31">
        <w:rPr>
          <w:szCs w:val="24"/>
        </w:rPr>
        <w:t xml:space="preserve">respondent </w:t>
      </w:r>
      <w:r w:rsidR="00AE0196" w:rsidRPr="00B01F31">
        <w:rPr>
          <w:szCs w:val="24"/>
        </w:rPr>
        <w:t xml:space="preserve">State has not made </w:t>
      </w:r>
      <w:r w:rsidR="00BB1CF2" w:rsidRPr="00B01F31">
        <w:rPr>
          <w:szCs w:val="24"/>
        </w:rPr>
        <w:t>any reservations to, or denounced, any international human rights instrument</w:t>
      </w:r>
      <w:r w:rsidR="00682511" w:rsidRPr="00B01F31">
        <w:rPr>
          <w:szCs w:val="24"/>
        </w:rPr>
        <w:t>.</w:t>
      </w:r>
      <w:r w:rsidR="00682511" w:rsidRPr="00B01F31">
        <w:rPr>
          <w:rStyle w:val="FootnoteReference"/>
          <w:szCs w:val="24"/>
        </w:rPr>
        <w:footnoteReference w:id="1"/>
      </w:r>
      <w:r w:rsidR="00730D81" w:rsidRPr="00B01F31">
        <w:rPr>
          <w:szCs w:val="24"/>
        </w:rPr>
        <w:t xml:space="preserve"> </w:t>
      </w:r>
    </w:p>
    <w:p w:rsidR="00454B15" w:rsidRDefault="00DB0A8E" w:rsidP="00B01F31">
      <w:pPr>
        <w:rPr>
          <w:szCs w:val="24"/>
        </w:rPr>
      </w:pPr>
      <w:r w:rsidRPr="00B01F31">
        <w:rPr>
          <w:szCs w:val="24"/>
        </w:rPr>
        <w:t xml:space="preserve">In 1994, </w:t>
      </w:r>
      <w:r w:rsidR="00D646D5" w:rsidRPr="00B01F31">
        <w:rPr>
          <w:szCs w:val="24"/>
        </w:rPr>
        <w:t xml:space="preserve">two unknown individuals in the neighbor </w:t>
      </w:r>
      <w:r w:rsidR="006D3F99" w:rsidRPr="00B01F31">
        <w:rPr>
          <w:szCs w:val="24"/>
        </w:rPr>
        <w:t>Republic of</w:t>
      </w:r>
      <w:r w:rsidR="00D646D5" w:rsidRPr="00B01F31">
        <w:rPr>
          <w:szCs w:val="24"/>
        </w:rPr>
        <w:t xml:space="preserve"> Madruga</w:t>
      </w:r>
      <w:r w:rsidR="006D3F99" w:rsidRPr="00B01F31">
        <w:rPr>
          <w:szCs w:val="24"/>
        </w:rPr>
        <w:t xml:space="preserve"> (hereinafter “Madru</w:t>
      </w:r>
      <w:r w:rsidR="00D70447" w:rsidRPr="00B01F31">
        <w:rPr>
          <w:szCs w:val="24"/>
        </w:rPr>
        <w:t>ga”)</w:t>
      </w:r>
      <w:r w:rsidR="00D646D5" w:rsidRPr="00B01F31">
        <w:rPr>
          <w:szCs w:val="24"/>
        </w:rPr>
        <w:t xml:space="preserve"> killed Edmundo Camana, the president of the Madrugan Confederation of Mineworkers, and his family</w:t>
      </w:r>
      <w:r w:rsidRPr="00B01F31">
        <w:rPr>
          <w:szCs w:val="24"/>
        </w:rPr>
        <w:t>.</w:t>
      </w:r>
      <w:r w:rsidRPr="00B01F31">
        <w:rPr>
          <w:rStyle w:val="FootnoteReference"/>
          <w:szCs w:val="24"/>
        </w:rPr>
        <w:footnoteReference w:id="2"/>
      </w:r>
      <w:r w:rsidRPr="00B01F31">
        <w:rPr>
          <w:szCs w:val="24"/>
        </w:rPr>
        <w:t xml:space="preserve"> </w:t>
      </w:r>
      <w:r w:rsidR="0002222A" w:rsidRPr="00B01F31">
        <w:rPr>
          <w:szCs w:val="24"/>
        </w:rPr>
        <w:t>His daugh</w:t>
      </w:r>
      <w:r w:rsidR="00AF0077" w:rsidRPr="00B01F31">
        <w:rPr>
          <w:szCs w:val="24"/>
        </w:rPr>
        <w:t>ter, Lucía Camana Osorio</w:t>
      </w:r>
      <w:r w:rsidR="006B5A6C" w:rsidRPr="00B01F31">
        <w:rPr>
          <w:szCs w:val="24"/>
        </w:rPr>
        <w:t>,</w:t>
      </w:r>
      <w:r w:rsidR="0002222A" w:rsidRPr="00B01F31">
        <w:rPr>
          <w:szCs w:val="24"/>
        </w:rPr>
        <w:t xml:space="preserve"> was the only survivor of the attack. </w:t>
      </w:r>
      <w:r w:rsidR="006B5A6C" w:rsidRPr="00B01F31">
        <w:rPr>
          <w:szCs w:val="24"/>
        </w:rPr>
        <w:t>The respondent State</w:t>
      </w:r>
      <w:r w:rsidR="0002222A" w:rsidRPr="00B01F31">
        <w:rPr>
          <w:szCs w:val="24"/>
        </w:rPr>
        <w:t xml:space="preserve"> granted</w:t>
      </w:r>
      <w:r w:rsidR="006B5A6C" w:rsidRPr="00B01F31">
        <w:rPr>
          <w:szCs w:val="24"/>
        </w:rPr>
        <w:t xml:space="preserve"> her</w:t>
      </w:r>
      <w:r w:rsidR="0002222A" w:rsidRPr="00B01F31">
        <w:rPr>
          <w:szCs w:val="24"/>
        </w:rPr>
        <w:t xml:space="preserve"> asylum until 1998</w:t>
      </w:r>
      <w:r w:rsidR="005E0968" w:rsidRPr="00B01F31">
        <w:rPr>
          <w:szCs w:val="24"/>
        </w:rPr>
        <w:t>,</w:t>
      </w:r>
      <w:r w:rsidR="0002222A" w:rsidRPr="00B01F31">
        <w:rPr>
          <w:szCs w:val="24"/>
        </w:rPr>
        <w:t xml:space="preserve"> </w:t>
      </w:r>
      <w:r w:rsidR="005E0968" w:rsidRPr="00B01F31">
        <w:rPr>
          <w:szCs w:val="24"/>
        </w:rPr>
        <w:t>w</w:t>
      </w:r>
      <w:r w:rsidR="00AF0077" w:rsidRPr="00B01F31">
        <w:rPr>
          <w:szCs w:val="24"/>
        </w:rPr>
        <w:t xml:space="preserve">hen she </w:t>
      </w:r>
      <w:r w:rsidR="00DE7A5E">
        <w:rPr>
          <w:szCs w:val="24"/>
        </w:rPr>
        <w:t>decided to return to her native country</w:t>
      </w:r>
      <w:r w:rsidR="00B57B23" w:rsidRPr="00B01F31">
        <w:rPr>
          <w:szCs w:val="24"/>
        </w:rPr>
        <w:t>.</w:t>
      </w:r>
      <w:r w:rsidR="00B57B23" w:rsidRPr="00B01F31">
        <w:rPr>
          <w:rStyle w:val="FootnoteReference"/>
          <w:szCs w:val="24"/>
        </w:rPr>
        <w:footnoteReference w:id="3"/>
      </w:r>
      <w:r w:rsidR="00B57B23" w:rsidRPr="00B01F31">
        <w:rPr>
          <w:szCs w:val="24"/>
        </w:rPr>
        <w:t xml:space="preserve"> </w:t>
      </w:r>
      <w:r w:rsidR="005E0968" w:rsidRPr="00B01F31">
        <w:rPr>
          <w:szCs w:val="24"/>
        </w:rPr>
        <w:t>S</w:t>
      </w:r>
      <w:r w:rsidR="0002222A" w:rsidRPr="00B01F31">
        <w:rPr>
          <w:szCs w:val="24"/>
        </w:rPr>
        <w:t>he</w:t>
      </w:r>
      <w:r w:rsidR="00070308" w:rsidRPr="00B01F31">
        <w:rPr>
          <w:szCs w:val="24"/>
        </w:rPr>
        <w:t xml:space="preserve"> </w:t>
      </w:r>
      <w:r w:rsidR="0002222A" w:rsidRPr="00B01F31">
        <w:rPr>
          <w:szCs w:val="24"/>
        </w:rPr>
        <w:t>was killed by an unknown person in 2002</w:t>
      </w:r>
      <w:r w:rsidR="00E0215E" w:rsidRPr="00B01F31">
        <w:rPr>
          <w:szCs w:val="24"/>
        </w:rPr>
        <w:t>, also in Madruga</w:t>
      </w:r>
      <w:r w:rsidRPr="00B01F31">
        <w:rPr>
          <w:szCs w:val="24"/>
        </w:rPr>
        <w:t>.</w:t>
      </w:r>
      <w:r w:rsidRPr="00B01F31">
        <w:rPr>
          <w:rStyle w:val="FootnoteReference"/>
          <w:szCs w:val="24"/>
        </w:rPr>
        <w:footnoteReference w:id="4"/>
      </w:r>
      <w:r w:rsidR="00C924AF" w:rsidRPr="00B01F31">
        <w:rPr>
          <w:szCs w:val="24"/>
        </w:rPr>
        <w:t xml:space="preserve"> </w:t>
      </w:r>
      <w:r w:rsidR="00605974" w:rsidRPr="00B01F31">
        <w:rPr>
          <w:szCs w:val="24"/>
        </w:rPr>
        <w:t>Although these</w:t>
      </w:r>
      <w:r w:rsidR="00D70447" w:rsidRPr="00B01F31">
        <w:rPr>
          <w:szCs w:val="24"/>
        </w:rPr>
        <w:t xml:space="preserve"> </w:t>
      </w:r>
      <w:r w:rsidR="00221FFF" w:rsidRPr="00B01F31">
        <w:rPr>
          <w:szCs w:val="24"/>
        </w:rPr>
        <w:t xml:space="preserve">events took place </w:t>
      </w:r>
      <w:r w:rsidR="00494732" w:rsidRPr="00B01F31">
        <w:rPr>
          <w:szCs w:val="24"/>
        </w:rPr>
        <w:t xml:space="preserve">in a foreign country, the next of kin </w:t>
      </w:r>
      <w:r w:rsidR="008E256E" w:rsidRPr="00B01F31">
        <w:rPr>
          <w:szCs w:val="24"/>
        </w:rPr>
        <w:t xml:space="preserve">of the Camana Osorio family </w:t>
      </w:r>
      <w:r w:rsidR="00494732" w:rsidRPr="00B01F31">
        <w:rPr>
          <w:szCs w:val="24"/>
        </w:rPr>
        <w:t xml:space="preserve">brought a criminal complaint against </w:t>
      </w:r>
      <w:r w:rsidR="00221FFF" w:rsidRPr="00B01F31">
        <w:rPr>
          <w:szCs w:val="24"/>
        </w:rPr>
        <w:t xml:space="preserve">both </w:t>
      </w:r>
      <w:r w:rsidR="00494732" w:rsidRPr="00B01F31">
        <w:rPr>
          <w:szCs w:val="24"/>
        </w:rPr>
        <w:t>the respondent</w:t>
      </w:r>
      <w:r w:rsidR="00070308" w:rsidRPr="00B01F31">
        <w:rPr>
          <w:szCs w:val="24"/>
        </w:rPr>
        <w:t xml:space="preserve"> </w:t>
      </w:r>
      <w:r w:rsidR="00494732" w:rsidRPr="00B01F31">
        <w:rPr>
          <w:szCs w:val="24"/>
        </w:rPr>
        <w:t xml:space="preserve">State’s former President of the Upper Chamber, </w:t>
      </w:r>
      <w:r w:rsidR="006D3F99" w:rsidRPr="00B01F31">
        <w:rPr>
          <w:szCs w:val="24"/>
        </w:rPr>
        <w:t>Mr. Eliot Klein</w:t>
      </w:r>
      <w:r w:rsidR="00557123" w:rsidRPr="00B01F31">
        <w:rPr>
          <w:szCs w:val="24"/>
        </w:rPr>
        <w:t xml:space="preserve"> and</w:t>
      </w:r>
      <w:r w:rsidR="0002222A" w:rsidRPr="00B01F31">
        <w:rPr>
          <w:szCs w:val="24"/>
        </w:rPr>
        <w:t xml:space="preserve"> </w:t>
      </w:r>
      <w:r w:rsidR="00C924AF" w:rsidRPr="00B01F31">
        <w:rPr>
          <w:szCs w:val="24"/>
        </w:rPr>
        <w:t>Army Col</w:t>
      </w:r>
      <w:r w:rsidR="00494732" w:rsidRPr="00B01F31">
        <w:rPr>
          <w:szCs w:val="24"/>
        </w:rPr>
        <w:t>onel David Nelson</w:t>
      </w:r>
      <w:r w:rsidR="0013612B" w:rsidRPr="00B01F31">
        <w:rPr>
          <w:szCs w:val="24"/>
        </w:rPr>
        <w:t>.</w:t>
      </w:r>
      <w:r w:rsidR="0013612B" w:rsidRPr="00B01F31">
        <w:rPr>
          <w:rStyle w:val="FootnoteReference"/>
          <w:szCs w:val="24"/>
        </w:rPr>
        <w:footnoteReference w:id="5"/>
      </w:r>
      <w:r w:rsidR="0013612B" w:rsidRPr="00B01F31">
        <w:rPr>
          <w:szCs w:val="24"/>
        </w:rPr>
        <w:t xml:space="preserve"> </w:t>
      </w:r>
      <w:r w:rsidR="006D3F99" w:rsidRPr="00B01F31">
        <w:rPr>
          <w:szCs w:val="24"/>
        </w:rPr>
        <w:t xml:space="preserve">In order </w:t>
      </w:r>
      <w:r w:rsidR="00221FFF" w:rsidRPr="00B01F31">
        <w:rPr>
          <w:szCs w:val="24"/>
        </w:rPr>
        <w:t>to further</w:t>
      </w:r>
      <w:r w:rsidR="00F57301" w:rsidRPr="00B01F31">
        <w:rPr>
          <w:szCs w:val="24"/>
        </w:rPr>
        <w:t xml:space="preserve"> the</w:t>
      </w:r>
      <w:r w:rsidR="006D3F99" w:rsidRPr="00B01F31">
        <w:rPr>
          <w:szCs w:val="24"/>
        </w:rPr>
        <w:t xml:space="preserve"> ongoing criminal</w:t>
      </w:r>
      <w:r w:rsidR="00F57301" w:rsidRPr="00B01F31">
        <w:rPr>
          <w:szCs w:val="24"/>
        </w:rPr>
        <w:t xml:space="preserve"> investigation conducted by the Madrugan authorities </w:t>
      </w:r>
      <w:r w:rsidR="006D3F99" w:rsidRPr="00B01F31">
        <w:rPr>
          <w:szCs w:val="24"/>
        </w:rPr>
        <w:t xml:space="preserve">and in compliance with </w:t>
      </w:r>
      <w:r w:rsidR="00F57301" w:rsidRPr="00B01F31">
        <w:rPr>
          <w:szCs w:val="24"/>
        </w:rPr>
        <w:t xml:space="preserve">the Bilateral Extradition Treaty between </w:t>
      </w:r>
      <w:r w:rsidR="00C51A29" w:rsidRPr="00B01F31">
        <w:rPr>
          <w:szCs w:val="24"/>
        </w:rPr>
        <w:t xml:space="preserve">the respondent State and </w:t>
      </w:r>
      <w:r w:rsidR="00F57301" w:rsidRPr="00B01F31">
        <w:rPr>
          <w:szCs w:val="24"/>
        </w:rPr>
        <w:t xml:space="preserve">Madruga, </w:t>
      </w:r>
      <w:r w:rsidR="00BF13BA" w:rsidRPr="00B01F31">
        <w:rPr>
          <w:szCs w:val="24"/>
        </w:rPr>
        <w:t>the</w:t>
      </w:r>
      <w:r w:rsidR="006D3F99" w:rsidRPr="00B01F31">
        <w:rPr>
          <w:szCs w:val="24"/>
        </w:rPr>
        <w:t xml:space="preserve"> </w:t>
      </w:r>
      <w:r w:rsidR="0041734F" w:rsidRPr="00B01F31">
        <w:rPr>
          <w:szCs w:val="24"/>
        </w:rPr>
        <w:t xml:space="preserve">respondent </w:t>
      </w:r>
      <w:r w:rsidR="006D3F99" w:rsidRPr="00B01F31">
        <w:rPr>
          <w:szCs w:val="24"/>
        </w:rPr>
        <w:t xml:space="preserve">State </w:t>
      </w:r>
      <w:r w:rsidR="00D70447" w:rsidRPr="00B01F31">
        <w:rPr>
          <w:szCs w:val="24"/>
        </w:rPr>
        <w:t xml:space="preserve">did not admit </w:t>
      </w:r>
      <w:r w:rsidR="006D3F99" w:rsidRPr="00B01F31">
        <w:rPr>
          <w:szCs w:val="24"/>
        </w:rPr>
        <w:t>the Applicant’s</w:t>
      </w:r>
      <w:r w:rsidR="00605974" w:rsidRPr="00B01F31">
        <w:rPr>
          <w:szCs w:val="24"/>
        </w:rPr>
        <w:t xml:space="preserve"> criminal complaint against Mr. </w:t>
      </w:r>
      <w:r w:rsidR="006D3F99" w:rsidRPr="00B01F31">
        <w:rPr>
          <w:szCs w:val="24"/>
        </w:rPr>
        <w:t xml:space="preserve">Klein and </w:t>
      </w:r>
      <w:r w:rsidR="00C924AF" w:rsidRPr="00B01F31">
        <w:rPr>
          <w:szCs w:val="24"/>
        </w:rPr>
        <w:t>Col</w:t>
      </w:r>
      <w:r w:rsidR="00221FFF" w:rsidRPr="00B01F31">
        <w:rPr>
          <w:szCs w:val="24"/>
        </w:rPr>
        <w:t>onel</w:t>
      </w:r>
      <w:r w:rsidR="006D3F99" w:rsidRPr="00B01F31">
        <w:rPr>
          <w:szCs w:val="24"/>
        </w:rPr>
        <w:t xml:space="preserve"> Nelson</w:t>
      </w:r>
      <w:r w:rsidR="00F57301" w:rsidRPr="00B01F31">
        <w:rPr>
          <w:szCs w:val="24"/>
        </w:rPr>
        <w:t>.</w:t>
      </w:r>
      <w:r w:rsidR="00F57301" w:rsidRPr="00B01F31">
        <w:rPr>
          <w:rStyle w:val="FootnoteReference"/>
          <w:szCs w:val="24"/>
        </w:rPr>
        <w:footnoteReference w:id="6"/>
      </w:r>
      <w:r w:rsidR="00F57301" w:rsidRPr="00B01F31">
        <w:rPr>
          <w:szCs w:val="24"/>
        </w:rPr>
        <w:t xml:space="preserve"> </w:t>
      </w:r>
      <w:r w:rsidR="0013612B" w:rsidRPr="00B01F31">
        <w:rPr>
          <w:szCs w:val="24"/>
        </w:rPr>
        <w:t>Dissat</w:t>
      </w:r>
      <w:r w:rsidR="00F57301" w:rsidRPr="00B01F31">
        <w:rPr>
          <w:szCs w:val="24"/>
        </w:rPr>
        <w:t>isfied with this</w:t>
      </w:r>
      <w:r w:rsidR="0013612B" w:rsidRPr="00B01F31">
        <w:rPr>
          <w:szCs w:val="24"/>
        </w:rPr>
        <w:t xml:space="preserve"> decision</w:t>
      </w:r>
      <w:r w:rsidR="00F57301" w:rsidRPr="00B01F31">
        <w:rPr>
          <w:szCs w:val="24"/>
        </w:rPr>
        <w:t xml:space="preserve">, </w:t>
      </w:r>
      <w:r w:rsidR="0002222A" w:rsidRPr="00B01F31">
        <w:rPr>
          <w:szCs w:val="24"/>
        </w:rPr>
        <w:t>the next of kin</w:t>
      </w:r>
      <w:r w:rsidR="0016144D" w:rsidRPr="00B01F31">
        <w:rPr>
          <w:szCs w:val="24"/>
        </w:rPr>
        <w:t xml:space="preserve"> of the </w:t>
      </w:r>
      <w:r w:rsidR="0013612B" w:rsidRPr="00B01F31">
        <w:rPr>
          <w:szCs w:val="24"/>
        </w:rPr>
        <w:t>Camana</w:t>
      </w:r>
      <w:r w:rsidR="0016144D" w:rsidRPr="00B01F31">
        <w:rPr>
          <w:szCs w:val="24"/>
        </w:rPr>
        <w:t xml:space="preserve"> Osorio family submitted a petition to the Inter-American Commission on Human Rights (</w:t>
      </w:r>
      <w:r w:rsidR="006D3F99" w:rsidRPr="00B01F31">
        <w:rPr>
          <w:szCs w:val="24"/>
        </w:rPr>
        <w:t xml:space="preserve">hereinafter </w:t>
      </w:r>
      <w:r w:rsidR="0016144D" w:rsidRPr="00B01F31">
        <w:rPr>
          <w:szCs w:val="24"/>
        </w:rPr>
        <w:t>“the Commission”).</w:t>
      </w:r>
      <w:r w:rsidR="0016144D" w:rsidRPr="00B01F31">
        <w:rPr>
          <w:rStyle w:val="FootnoteReference"/>
          <w:szCs w:val="24"/>
        </w:rPr>
        <w:footnoteReference w:id="7"/>
      </w:r>
    </w:p>
    <w:p w:rsidR="00730D81" w:rsidRPr="00B01F31" w:rsidRDefault="0016144D" w:rsidP="00B01F31">
      <w:pPr>
        <w:rPr>
          <w:szCs w:val="24"/>
        </w:rPr>
      </w:pPr>
      <w:r w:rsidRPr="00B01F31">
        <w:rPr>
          <w:szCs w:val="24"/>
        </w:rPr>
        <w:lastRenderedPageBreak/>
        <w:t xml:space="preserve">In 2007, </w:t>
      </w:r>
      <w:r w:rsidR="0069258D" w:rsidRPr="00B01F31">
        <w:rPr>
          <w:szCs w:val="24"/>
        </w:rPr>
        <w:t xml:space="preserve">the respondent State announced its plans to start </w:t>
      </w:r>
      <w:r w:rsidR="00F813E2" w:rsidRPr="00B01F31">
        <w:rPr>
          <w:szCs w:val="24"/>
        </w:rPr>
        <w:t>the exploration and</w:t>
      </w:r>
      <w:r w:rsidR="0069258D" w:rsidRPr="00B01F31">
        <w:rPr>
          <w:szCs w:val="24"/>
        </w:rPr>
        <w:t xml:space="preserve"> exploitation </w:t>
      </w:r>
      <w:r w:rsidR="006D3F99" w:rsidRPr="00B01F31">
        <w:rPr>
          <w:szCs w:val="24"/>
        </w:rPr>
        <w:t xml:space="preserve">of the “Wirikuya” mining project and launched </w:t>
      </w:r>
      <w:r w:rsidR="0069258D" w:rsidRPr="00B01F31">
        <w:rPr>
          <w:szCs w:val="24"/>
        </w:rPr>
        <w:t>a three-year, exhaustive and comprehensive con</w:t>
      </w:r>
      <w:r w:rsidR="00323895" w:rsidRPr="00B01F31">
        <w:rPr>
          <w:szCs w:val="24"/>
        </w:rPr>
        <w:t xml:space="preserve">sultation process with </w:t>
      </w:r>
      <w:r w:rsidR="00F445AC" w:rsidRPr="00B01F31">
        <w:rPr>
          <w:szCs w:val="24"/>
        </w:rPr>
        <w:t>its</w:t>
      </w:r>
      <w:r w:rsidR="00D172AE" w:rsidRPr="00B01F31">
        <w:rPr>
          <w:szCs w:val="24"/>
        </w:rPr>
        <w:t xml:space="preserve"> </w:t>
      </w:r>
      <w:r w:rsidR="0069258D" w:rsidRPr="00B01F31">
        <w:rPr>
          <w:szCs w:val="24"/>
        </w:rPr>
        <w:t>indigenous Pichicha people, who agreed</w:t>
      </w:r>
      <w:r w:rsidR="00903D54" w:rsidRPr="00B01F31">
        <w:rPr>
          <w:szCs w:val="24"/>
        </w:rPr>
        <w:t xml:space="preserve"> for</w:t>
      </w:r>
      <w:r w:rsidR="0069258D" w:rsidRPr="00B01F31">
        <w:rPr>
          <w:szCs w:val="24"/>
        </w:rPr>
        <w:t xml:space="preserve"> the project to take place within their territory.</w:t>
      </w:r>
      <w:r w:rsidR="0069258D" w:rsidRPr="00B01F31">
        <w:rPr>
          <w:szCs w:val="24"/>
          <w:vertAlign w:val="superscript"/>
        </w:rPr>
        <w:footnoteReference w:id="8"/>
      </w:r>
      <w:r w:rsidR="0085369D" w:rsidRPr="00B01F31">
        <w:rPr>
          <w:szCs w:val="24"/>
        </w:rPr>
        <w:t xml:space="preserve"> Bearing in mind</w:t>
      </w:r>
      <w:r w:rsidR="00605974" w:rsidRPr="00B01F31">
        <w:rPr>
          <w:szCs w:val="24"/>
        </w:rPr>
        <w:t xml:space="preserve"> its obligations under</w:t>
      </w:r>
      <w:r w:rsidR="0026241B" w:rsidRPr="00B01F31">
        <w:rPr>
          <w:szCs w:val="24"/>
        </w:rPr>
        <w:t xml:space="preserve"> Convention 169 of the International Labor Organization (hereinafter</w:t>
      </w:r>
      <w:r w:rsidR="0069258D" w:rsidRPr="00B01F31">
        <w:rPr>
          <w:szCs w:val="24"/>
        </w:rPr>
        <w:t xml:space="preserve"> </w:t>
      </w:r>
      <w:r w:rsidR="0026241B" w:rsidRPr="00B01F31">
        <w:rPr>
          <w:szCs w:val="24"/>
        </w:rPr>
        <w:t>“</w:t>
      </w:r>
      <w:r w:rsidR="006E000E" w:rsidRPr="00B01F31">
        <w:rPr>
          <w:bCs/>
          <w:color w:val="000000"/>
          <w:szCs w:val="24"/>
        </w:rPr>
        <w:t>ILO Convention 169</w:t>
      </w:r>
      <w:r w:rsidR="0026241B" w:rsidRPr="00B01F31">
        <w:rPr>
          <w:bCs/>
          <w:color w:val="000000"/>
          <w:szCs w:val="24"/>
        </w:rPr>
        <w:t>”)</w:t>
      </w:r>
      <w:r w:rsidR="0069258D" w:rsidRPr="00B01F31">
        <w:rPr>
          <w:szCs w:val="24"/>
        </w:rPr>
        <w:t>, the</w:t>
      </w:r>
      <w:r w:rsidR="004E6FE7" w:rsidRPr="00B01F31">
        <w:rPr>
          <w:szCs w:val="24"/>
        </w:rPr>
        <w:t xml:space="preserve"> respondent</w:t>
      </w:r>
      <w:r w:rsidR="0069258D" w:rsidRPr="00B01F31">
        <w:rPr>
          <w:szCs w:val="24"/>
        </w:rPr>
        <w:t xml:space="preserve"> State</w:t>
      </w:r>
      <w:r w:rsidR="001028DF" w:rsidRPr="00B01F31">
        <w:rPr>
          <w:szCs w:val="24"/>
        </w:rPr>
        <w:t xml:space="preserve"> </w:t>
      </w:r>
      <w:r w:rsidR="00605974" w:rsidRPr="00B01F31">
        <w:rPr>
          <w:szCs w:val="24"/>
        </w:rPr>
        <w:t xml:space="preserve">also </w:t>
      </w:r>
      <w:r w:rsidR="001028DF" w:rsidRPr="00B01F31">
        <w:rPr>
          <w:szCs w:val="24"/>
        </w:rPr>
        <w:t>consulted</w:t>
      </w:r>
      <w:r w:rsidR="0069258D" w:rsidRPr="00B01F31">
        <w:rPr>
          <w:szCs w:val="24"/>
        </w:rPr>
        <w:t xml:space="preserve"> the Madrugan author</w:t>
      </w:r>
      <w:r w:rsidR="001C656E" w:rsidRPr="00B01F31">
        <w:rPr>
          <w:szCs w:val="24"/>
        </w:rPr>
        <w:t>ities</w:t>
      </w:r>
      <w:r w:rsidR="0069258D" w:rsidRPr="00B01F31">
        <w:rPr>
          <w:szCs w:val="24"/>
        </w:rPr>
        <w:t>.</w:t>
      </w:r>
      <w:r w:rsidR="0069258D" w:rsidRPr="00B01F31">
        <w:rPr>
          <w:szCs w:val="24"/>
          <w:vertAlign w:val="superscript"/>
        </w:rPr>
        <w:footnoteReference w:id="9"/>
      </w:r>
      <w:r w:rsidR="0069258D" w:rsidRPr="00B01F31">
        <w:rPr>
          <w:szCs w:val="24"/>
        </w:rPr>
        <w:t xml:space="preserve"> </w:t>
      </w:r>
      <w:r w:rsidR="00323895" w:rsidRPr="00B01F31">
        <w:rPr>
          <w:szCs w:val="24"/>
        </w:rPr>
        <w:t>In February 2011, the company Silverfield S.A. obtained the license to begin exploration activities.</w:t>
      </w:r>
      <w:r w:rsidR="00323895" w:rsidRPr="00B01F31">
        <w:rPr>
          <w:szCs w:val="24"/>
          <w:vertAlign w:val="superscript"/>
        </w:rPr>
        <w:footnoteReference w:id="10"/>
      </w:r>
      <w:r w:rsidR="00323895" w:rsidRPr="00B01F31">
        <w:rPr>
          <w:szCs w:val="24"/>
        </w:rPr>
        <w:t xml:space="preserve"> </w:t>
      </w:r>
      <w:r w:rsidR="0069258D" w:rsidRPr="00B01F31">
        <w:rPr>
          <w:szCs w:val="24"/>
        </w:rPr>
        <w:t>Followi</w:t>
      </w:r>
      <w:r w:rsidR="003F376A" w:rsidRPr="00B01F31">
        <w:rPr>
          <w:szCs w:val="24"/>
        </w:rPr>
        <w:t xml:space="preserve">ng the rupture of a small </w:t>
      </w:r>
      <w:r w:rsidR="00D172AE" w:rsidRPr="00B01F31">
        <w:rPr>
          <w:szCs w:val="24"/>
        </w:rPr>
        <w:t xml:space="preserve">containment </w:t>
      </w:r>
      <w:r w:rsidR="003F376A" w:rsidRPr="00B01F31">
        <w:rPr>
          <w:szCs w:val="24"/>
        </w:rPr>
        <w:t xml:space="preserve">dam </w:t>
      </w:r>
      <w:r w:rsidR="00956020" w:rsidRPr="00B01F31">
        <w:rPr>
          <w:szCs w:val="24"/>
        </w:rPr>
        <w:t>in May</w:t>
      </w:r>
      <w:r w:rsidR="0069258D" w:rsidRPr="00B01F31">
        <w:rPr>
          <w:szCs w:val="24"/>
        </w:rPr>
        <w:t xml:space="preserve"> 2011, the respondent State rapidly decontaminated the affected Pampulla Lagoon</w:t>
      </w:r>
      <w:r w:rsidR="00605974" w:rsidRPr="00B01F31">
        <w:rPr>
          <w:szCs w:val="24"/>
        </w:rPr>
        <w:t xml:space="preserve">. </w:t>
      </w:r>
      <w:r w:rsidR="0069258D" w:rsidRPr="00B01F31">
        <w:rPr>
          <w:szCs w:val="24"/>
        </w:rPr>
        <w:t>During a very brief period and in order to ensure water supply for the Pichicha people, the respondent State collected water from the streams located in the area</w:t>
      </w:r>
      <w:r w:rsidR="00F96159" w:rsidRPr="00B01F31">
        <w:rPr>
          <w:szCs w:val="24"/>
        </w:rPr>
        <w:t>, including the Mandí Stream</w:t>
      </w:r>
      <w:r w:rsidR="0069258D" w:rsidRPr="00B01F31">
        <w:rPr>
          <w:szCs w:val="24"/>
        </w:rPr>
        <w:t>.</w:t>
      </w:r>
      <w:r w:rsidR="0069258D" w:rsidRPr="00B01F31">
        <w:rPr>
          <w:szCs w:val="24"/>
          <w:vertAlign w:val="superscript"/>
        </w:rPr>
        <w:footnoteReference w:id="11"/>
      </w:r>
      <w:r w:rsidR="0069258D" w:rsidRPr="00B01F31">
        <w:rPr>
          <w:szCs w:val="24"/>
        </w:rPr>
        <w:t xml:space="preserve"> </w:t>
      </w:r>
      <w:r w:rsidR="008179EE" w:rsidRPr="00B01F31">
        <w:rPr>
          <w:szCs w:val="24"/>
        </w:rPr>
        <w:t>As a result</w:t>
      </w:r>
      <w:r w:rsidR="0077289C" w:rsidRPr="00B01F31">
        <w:rPr>
          <w:szCs w:val="24"/>
        </w:rPr>
        <w:t xml:space="preserve"> of the measures </w:t>
      </w:r>
      <w:r w:rsidR="00323895" w:rsidRPr="00B01F31">
        <w:rPr>
          <w:szCs w:val="24"/>
        </w:rPr>
        <w:t>taken by the respondent State</w:t>
      </w:r>
      <w:r w:rsidR="006D3F99" w:rsidRPr="00B01F31">
        <w:rPr>
          <w:szCs w:val="24"/>
        </w:rPr>
        <w:t>, all</w:t>
      </w:r>
      <w:r w:rsidR="008179EE" w:rsidRPr="00B01F31">
        <w:rPr>
          <w:szCs w:val="24"/>
        </w:rPr>
        <w:t xml:space="preserve"> member</w:t>
      </w:r>
      <w:r w:rsidR="006D3F99" w:rsidRPr="00B01F31">
        <w:rPr>
          <w:szCs w:val="24"/>
        </w:rPr>
        <w:t>s</w:t>
      </w:r>
      <w:r w:rsidR="008179EE" w:rsidRPr="00B01F31">
        <w:rPr>
          <w:szCs w:val="24"/>
        </w:rPr>
        <w:t xml:space="preserve"> of t</w:t>
      </w:r>
      <w:r w:rsidR="006D3F99" w:rsidRPr="00B01F31">
        <w:rPr>
          <w:szCs w:val="24"/>
        </w:rPr>
        <w:t>he indigenous Pichicha people and</w:t>
      </w:r>
      <w:r w:rsidR="008179EE" w:rsidRPr="00B01F31">
        <w:rPr>
          <w:szCs w:val="24"/>
        </w:rPr>
        <w:t xml:space="preserve"> the </w:t>
      </w:r>
      <w:r w:rsidR="002C3CC1" w:rsidRPr="00B01F31">
        <w:rPr>
          <w:szCs w:val="24"/>
        </w:rPr>
        <w:t>commu</w:t>
      </w:r>
      <w:r w:rsidR="006D3F99" w:rsidRPr="00B01F31">
        <w:rPr>
          <w:szCs w:val="24"/>
        </w:rPr>
        <w:t>nities</w:t>
      </w:r>
      <w:r w:rsidR="008179EE" w:rsidRPr="00B01F31">
        <w:rPr>
          <w:szCs w:val="24"/>
        </w:rPr>
        <w:t xml:space="preserve"> </w:t>
      </w:r>
      <w:r w:rsidR="002C3CC1" w:rsidRPr="00B01F31">
        <w:rPr>
          <w:szCs w:val="24"/>
        </w:rPr>
        <w:t>surrounding</w:t>
      </w:r>
      <w:r w:rsidR="008E37B4" w:rsidRPr="00B01F31">
        <w:rPr>
          <w:szCs w:val="24"/>
        </w:rPr>
        <w:t xml:space="preserve"> the Pampulla Lagoon</w:t>
      </w:r>
      <w:r w:rsidR="008179EE" w:rsidRPr="00B01F31">
        <w:rPr>
          <w:szCs w:val="24"/>
        </w:rPr>
        <w:t xml:space="preserve"> </w:t>
      </w:r>
      <w:r w:rsidR="00B51F98" w:rsidRPr="00B01F31">
        <w:rPr>
          <w:szCs w:val="24"/>
        </w:rPr>
        <w:t xml:space="preserve">were supplied with </w:t>
      </w:r>
      <w:r w:rsidR="00903D54" w:rsidRPr="00B01F31">
        <w:rPr>
          <w:szCs w:val="24"/>
        </w:rPr>
        <w:t>potable</w:t>
      </w:r>
      <w:r w:rsidR="006D3F99" w:rsidRPr="00B01F31">
        <w:rPr>
          <w:szCs w:val="24"/>
        </w:rPr>
        <w:t xml:space="preserve"> water </w:t>
      </w:r>
      <w:r w:rsidR="00B51F98" w:rsidRPr="00B01F31">
        <w:rPr>
          <w:szCs w:val="24"/>
        </w:rPr>
        <w:t xml:space="preserve">throughout the </w:t>
      </w:r>
      <w:r w:rsidR="00D172AE" w:rsidRPr="00B01F31">
        <w:rPr>
          <w:szCs w:val="24"/>
        </w:rPr>
        <w:t>decontamination process</w:t>
      </w:r>
      <w:r w:rsidR="008179EE" w:rsidRPr="00B01F31">
        <w:rPr>
          <w:szCs w:val="24"/>
        </w:rPr>
        <w:t>.</w:t>
      </w:r>
      <w:r w:rsidR="008179EE" w:rsidRPr="00B01F31">
        <w:rPr>
          <w:rStyle w:val="FootnoteReference"/>
          <w:szCs w:val="24"/>
        </w:rPr>
        <w:footnoteReference w:id="12"/>
      </w:r>
      <w:r w:rsidR="008179EE" w:rsidRPr="00B01F31">
        <w:rPr>
          <w:szCs w:val="24"/>
        </w:rPr>
        <w:t xml:space="preserve"> </w:t>
      </w:r>
      <w:r w:rsidR="00EA3246" w:rsidRPr="00B01F31">
        <w:rPr>
          <w:szCs w:val="24"/>
        </w:rPr>
        <w:t>In spite of the respondent State</w:t>
      </w:r>
      <w:r w:rsidR="00B51F98" w:rsidRPr="00B01F31">
        <w:rPr>
          <w:szCs w:val="24"/>
        </w:rPr>
        <w:t xml:space="preserve">’s fast response, </w:t>
      </w:r>
      <w:r w:rsidRPr="00B01F31">
        <w:rPr>
          <w:szCs w:val="24"/>
        </w:rPr>
        <w:t xml:space="preserve">Mr. Ricardo </w:t>
      </w:r>
      <w:r w:rsidR="00E313DD" w:rsidRPr="00B01F31">
        <w:rPr>
          <w:szCs w:val="24"/>
        </w:rPr>
        <w:t>Manuín</w:t>
      </w:r>
      <w:r w:rsidRPr="00B01F31">
        <w:rPr>
          <w:szCs w:val="24"/>
        </w:rPr>
        <w:t xml:space="preserve"> filed a petition with the Commission </w:t>
      </w:r>
      <w:r w:rsidR="008179EE" w:rsidRPr="00B01F31">
        <w:rPr>
          <w:szCs w:val="24"/>
        </w:rPr>
        <w:t>on behalf of the Pichicha people</w:t>
      </w:r>
      <w:r w:rsidR="006D3F99" w:rsidRPr="00B01F31">
        <w:rPr>
          <w:szCs w:val="24"/>
        </w:rPr>
        <w:t>.</w:t>
      </w:r>
      <w:r w:rsidR="00D058E7" w:rsidRPr="00B01F31">
        <w:rPr>
          <w:rStyle w:val="FootnoteReference"/>
          <w:szCs w:val="24"/>
        </w:rPr>
        <w:footnoteReference w:id="13"/>
      </w:r>
      <w:r w:rsidR="006D3F99" w:rsidRPr="00B01F31">
        <w:rPr>
          <w:szCs w:val="24"/>
        </w:rPr>
        <w:t xml:space="preserve"> T</w:t>
      </w:r>
      <w:r w:rsidR="008179EE" w:rsidRPr="00B01F31">
        <w:rPr>
          <w:szCs w:val="24"/>
        </w:rPr>
        <w:t>he Human Rights Clinic of the University of Toronga (</w:t>
      </w:r>
      <w:r w:rsidR="006D3F99" w:rsidRPr="00B01F31">
        <w:rPr>
          <w:szCs w:val="24"/>
        </w:rPr>
        <w:t xml:space="preserve">hereinafter “the </w:t>
      </w:r>
      <w:r w:rsidR="00D172AE" w:rsidRPr="00B01F31">
        <w:rPr>
          <w:bCs/>
          <w:szCs w:val="24"/>
        </w:rPr>
        <w:t>Applicant</w:t>
      </w:r>
      <w:r w:rsidR="006D3F99" w:rsidRPr="00B01F31">
        <w:rPr>
          <w:bCs/>
          <w:szCs w:val="24"/>
        </w:rPr>
        <w:t>”</w:t>
      </w:r>
      <w:r w:rsidR="008179EE" w:rsidRPr="00B01F31">
        <w:rPr>
          <w:bCs/>
          <w:szCs w:val="24"/>
        </w:rPr>
        <w:t xml:space="preserve">) </w:t>
      </w:r>
      <w:r w:rsidR="006D3F99" w:rsidRPr="00B01F31">
        <w:rPr>
          <w:bCs/>
          <w:szCs w:val="24"/>
        </w:rPr>
        <w:t xml:space="preserve">filed another petition with the Commission on behalf of the Orífuna people </w:t>
      </w:r>
      <w:r w:rsidR="00323895" w:rsidRPr="00B01F31">
        <w:rPr>
          <w:bCs/>
          <w:szCs w:val="24"/>
        </w:rPr>
        <w:t>of Madruga</w:t>
      </w:r>
      <w:r w:rsidR="000366AD" w:rsidRPr="00B01F31">
        <w:rPr>
          <w:bCs/>
          <w:szCs w:val="24"/>
        </w:rPr>
        <w:t>,</w:t>
      </w:r>
      <w:r w:rsidR="00323895" w:rsidRPr="00B01F31">
        <w:rPr>
          <w:bCs/>
          <w:szCs w:val="24"/>
        </w:rPr>
        <w:t xml:space="preserve"> alleging that</w:t>
      </w:r>
      <w:r w:rsidR="006D3F99" w:rsidRPr="00B01F31">
        <w:rPr>
          <w:bCs/>
          <w:szCs w:val="24"/>
        </w:rPr>
        <w:t xml:space="preserve"> the </w:t>
      </w:r>
      <w:r w:rsidR="004E6FE7" w:rsidRPr="00B01F31">
        <w:rPr>
          <w:bCs/>
          <w:szCs w:val="24"/>
        </w:rPr>
        <w:t>respondent State</w:t>
      </w:r>
      <w:r w:rsidR="006D3F99" w:rsidRPr="00B01F31">
        <w:rPr>
          <w:bCs/>
          <w:szCs w:val="24"/>
        </w:rPr>
        <w:t xml:space="preserve"> </w:t>
      </w:r>
      <w:r w:rsidR="00323895" w:rsidRPr="00B01F31">
        <w:rPr>
          <w:bCs/>
          <w:szCs w:val="24"/>
        </w:rPr>
        <w:t>did not comply with its</w:t>
      </w:r>
      <w:r w:rsidR="00A33F34" w:rsidRPr="00B01F31">
        <w:rPr>
          <w:bCs/>
          <w:szCs w:val="24"/>
        </w:rPr>
        <w:t xml:space="preserve"> obligation to engage in prior consultation with the political authorities of the Orífuna people.</w:t>
      </w:r>
      <w:r w:rsidR="008179EE" w:rsidRPr="00B01F31">
        <w:rPr>
          <w:rStyle w:val="FootnoteReference"/>
          <w:bCs/>
          <w:szCs w:val="24"/>
        </w:rPr>
        <w:footnoteReference w:id="14"/>
      </w:r>
      <w:r w:rsidR="008179EE" w:rsidRPr="00B01F31">
        <w:rPr>
          <w:szCs w:val="24"/>
        </w:rPr>
        <w:t xml:space="preserve"> On </w:t>
      </w:r>
      <w:r w:rsidRPr="00B01F31">
        <w:rPr>
          <w:szCs w:val="24"/>
        </w:rPr>
        <w:t>December 5, 2015</w:t>
      </w:r>
      <w:r w:rsidR="002C3CC1" w:rsidRPr="00B01F31">
        <w:rPr>
          <w:szCs w:val="24"/>
        </w:rPr>
        <w:t>,</w:t>
      </w:r>
      <w:r w:rsidRPr="00B01F31">
        <w:rPr>
          <w:szCs w:val="24"/>
        </w:rPr>
        <w:t xml:space="preserve"> the Commission </w:t>
      </w:r>
      <w:r w:rsidR="00042749" w:rsidRPr="00B01F31">
        <w:rPr>
          <w:szCs w:val="24"/>
        </w:rPr>
        <w:t>referred the matter to</w:t>
      </w:r>
      <w:r w:rsidRPr="00B01F31">
        <w:rPr>
          <w:szCs w:val="24"/>
        </w:rPr>
        <w:t xml:space="preserve"> the Inter-</w:t>
      </w:r>
      <w:r w:rsidRPr="00B01F31">
        <w:rPr>
          <w:szCs w:val="24"/>
        </w:rPr>
        <w:lastRenderedPageBreak/>
        <w:t>American Court</w:t>
      </w:r>
      <w:r w:rsidR="005E0968" w:rsidRPr="00B01F31">
        <w:rPr>
          <w:szCs w:val="24"/>
        </w:rPr>
        <w:t xml:space="preserve"> of Human Rights</w:t>
      </w:r>
      <w:r w:rsidRPr="00B01F31">
        <w:rPr>
          <w:szCs w:val="24"/>
        </w:rPr>
        <w:t xml:space="preserve"> (</w:t>
      </w:r>
      <w:r w:rsidR="00B74488" w:rsidRPr="00B01F31">
        <w:rPr>
          <w:szCs w:val="24"/>
        </w:rPr>
        <w:t xml:space="preserve">hereinafter </w:t>
      </w:r>
      <w:r w:rsidRPr="00B01F31">
        <w:rPr>
          <w:szCs w:val="24"/>
        </w:rPr>
        <w:t xml:space="preserve">“the Court”), previously naming the </w:t>
      </w:r>
      <w:r w:rsidR="00D172AE" w:rsidRPr="00B01F31">
        <w:rPr>
          <w:bCs/>
          <w:szCs w:val="24"/>
        </w:rPr>
        <w:t>Applicant</w:t>
      </w:r>
      <w:r w:rsidR="008E37B4" w:rsidRPr="00B01F31">
        <w:rPr>
          <w:szCs w:val="24"/>
        </w:rPr>
        <w:t xml:space="preserve"> </w:t>
      </w:r>
      <w:r w:rsidR="005E0968" w:rsidRPr="00B01F31">
        <w:rPr>
          <w:szCs w:val="24"/>
        </w:rPr>
        <w:t>the</w:t>
      </w:r>
      <w:r w:rsidRPr="00B01F31">
        <w:rPr>
          <w:szCs w:val="24"/>
        </w:rPr>
        <w:t xml:space="preserve"> joint petitioner on behalf of </w:t>
      </w:r>
      <w:r w:rsidR="00323895" w:rsidRPr="00B01F31">
        <w:rPr>
          <w:szCs w:val="24"/>
        </w:rPr>
        <w:t xml:space="preserve">the </w:t>
      </w:r>
      <w:r w:rsidRPr="00B01F31">
        <w:rPr>
          <w:szCs w:val="24"/>
        </w:rPr>
        <w:t>alleged victims</w:t>
      </w:r>
      <w:r w:rsidR="00323895" w:rsidRPr="00B01F31">
        <w:rPr>
          <w:szCs w:val="24"/>
        </w:rPr>
        <w:t xml:space="preserve"> of the three mentioned petitions</w:t>
      </w:r>
      <w:r w:rsidRPr="00B01F31">
        <w:rPr>
          <w:szCs w:val="24"/>
        </w:rPr>
        <w:t>.</w:t>
      </w:r>
      <w:r w:rsidRPr="00B01F31">
        <w:rPr>
          <w:rStyle w:val="FootnoteReference"/>
          <w:szCs w:val="24"/>
        </w:rPr>
        <w:footnoteReference w:id="15"/>
      </w:r>
    </w:p>
    <w:p w:rsidR="00487EE9" w:rsidRPr="00B01F31" w:rsidRDefault="001C613B" w:rsidP="00B01F31">
      <w:pPr>
        <w:pStyle w:val="Heading1"/>
        <w:widowControl/>
        <w:spacing w:before="0" w:line="480" w:lineRule="auto"/>
        <w:ind w:left="709" w:hanging="709"/>
        <w:jc w:val="both"/>
        <w:rPr>
          <w:b/>
          <w:bCs/>
          <w:sz w:val="24"/>
          <w:szCs w:val="24"/>
        </w:rPr>
      </w:pPr>
      <w:bookmarkStart w:id="6" w:name="_Toc317977726"/>
      <w:r w:rsidRPr="00B01F31">
        <w:rPr>
          <w:b/>
          <w:bCs/>
          <w:sz w:val="24"/>
          <w:szCs w:val="24"/>
        </w:rPr>
        <w:tab/>
      </w:r>
      <w:bookmarkStart w:id="7" w:name="_Toc320823089"/>
      <w:r w:rsidRPr="00B01F31">
        <w:rPr>
          <w:b/>
          <w:bCs/>
          <w:sz w:val="24"/>
          <w:szCs w:val="24"/>
        </w:rPr>
        <w:t>L</w:t>
      </w:r>
      <w:r w:rsidR="00487EE9" w:rsidRPr="00B01F31">
        <w:rPr>
          <w:b/>
          <w:bCs/>
          <w:sz w:val="24"/>
          <w:szCs w:val="24"/>
        </w:rPr>
        <w:t xml:space="preserve">egal </w:t>
      </w:r>
      <w:r w:rsidR="00ED59E5" w:rsidRPr="00B01F31">
        <w:rPr>
          <w:b/>
          <w:bCs/>
          <w:sz w:val="24"/>
          <w:szCs w:val="24"/>
        </w:rPr>
        <w:t>A</w:t>
      </w:r>
      <w:r w:rsidR="00487EE9" w:rsidRPr="00B01F31">
        <w:rPr>
          <w:b/>
          <w:bCs/>
          <w:sz w:val="24"/>
          <w:szCs w:val="24"/>
        </w:rPr>
        <w:t>nalysis</w:t>
      </w:r>
      <w:bookmarkEnd w:id="6"/>
      <w:bookmarkEnd w:id="7"/>
    </w:p>
    <w:p w:rsidR="00B87EF6" w:rsidRPr="00B01F31" w:rsidRDefault="00323895" w:rsidP="00B01F31">
      <w:pPr>
        <w:pStyle w:val="Heading2"/>
        <w:widowControl/>
        <w:tabs>
          <w:tab w:val="clear" w:pos="576"/>
          <w:tab w:val="num" w:pos="0"/>
        </w:tabs>
        <w:spacing w:before="0" w:after="0" w:line="480" w:lineRule="auto"/>
        <w:ind w:left="0" w:hanging="9"/>
        <w:rPr>
          <w:b/>
          <w:bCs/>
          <w:sz w:val="24"/>
          <w:szCs w:val="24"/>
        </w:rPr>
      </w:pPr>
      <w:bookmarkStart w:id="8" w:name="_Toc320823090"/>
      <w:r w:rsidRPr="00B01F31">
        <w:rPr>
          <w:b/>
          <w:bCs/>
          <w:sz w:val="24"/>
          <w:szCs w:val="24"/>
        </w:rPr>
        <w:t>Preliminary Objections</w:t>
      </w:r>
      <w:bookmarkEnd w:id="8"/>
    </w:p>
    <w:p w:rsidR="008F70CB" w:rsidRPr="00B01F31" w:rsidRDefault="00CB75C2" w:rsidP="00B01F31">
      <w:pPr>
        <w:pStyle w:val="Heading3"/>
        <w:widowControl/>
        <w:spacing w:before="0" w:line="480" w:lineRule="auto"/>
        <w:rPr>
          <w:b/>
          <w:bCs/>
          <w:sz w:val="24"/>
          <w:szCs w:val="24"/>
        </w:rPr>
      </w:pPr>
      <w:bookmarkStart w:id="9" w:name="_Toc320823091"/>
      <w:r w:rsidRPr="00B01F31">
        <w:rPr>
          <w:b/>
          <w:bCs/>
          <w:sz w:val="24"/>
          <w:szCs w:val="24"/>
        </w:rPr>
        <w:t>Consolidation of the p</w:t>
      </w:r>
      <w:r w:rsidR="008F70CB" w:rsidRPr="00B01F31">
        <w:rPr>
          <w:b/>
          <w:bCs/>
          <w:sz w:val="24"/>
          <w:szCs w:val="24"/>
        </w:rPr>
        <w:t>etitions</w:t>
      </w:r>
      <w:bookmarkEnd w:id="9"/>
    </w:p>
    <w:p w:rsidR="00DE2FFF" w:rsidRPr="00B01F31" w:rsidRDefault="00605974" w:rsidP="00B01F31">
      <w:pPr>
        <w:rPr>
          <w:bCs/>
          <w:szCs w:val="24"/>
        </w:rPr>
      </w:pPr>
      <w:r w:rsidRPr="00B01F31">
        <w:rPr>
          <w:szCs w:val="24"/>
        </w:rPr>
        <w:t>In its</w:t>
      </w:r>
      <w:r w:rsidR="008F70CB" w:rsidRPr="00B01F31">
        <w:rPr>
          <w:szCs w:val="24"/>
        </w:rPr>
        <w:t xml:space="preserve"> Admissibility Report No. 20/14, the Commission consolidated all three petitions naming one single joint petitioner on behalf of </w:t>
      </w:r>
      <w:r w:rsidR="00CB75C2" w:rsidRPr="00B01F31">
        <w:rPr>
          <w:szCs w:val="24"/>
        </w:rPr>
        <w:t xml:space="preserve">all </w:t>
      </w:r>
      <w:r w:rsidR="008F70CB" w:rsidRPr="00B01F31">
        <w:rPr>
          <w:szCs w:val="24"/>
        </w:rPr>
        <w:t>alleged victims.</w:t>
      </w:r>
      <w:r w:rsidR="008F70CB" w:rsidRPr="00B01F31">
        <w:rPr>
          <w:rStyle w:val="FootnoteReference"/>
          <w:szCs w:val="24"/>
        </w:rPr>
        <w:footnoteReference w:id="16"/>
      </w:r>
      <w:r w:rsidR="00E03AC7" w:rsidRPr="00B01F31">
        <w:rPr>
          <w:szCs w:val="24"/>
        </w:rPr>
        <w:t xml:space="preserve"> Pursuant </w:t>
      </w:r>
      <w:r w:rsidR="00EF4CED" w:rsidRPr="00B01F31">
        <w:rPr>
          <w:szCs w:val="24"/>
        </w:rPr>
        <w:t>to Art. 29(5) </w:t>
      </w:r>
      <w:r w:rsidR="008F70CB" w:rsidRPr="00B01F31">
        <w:rPr>
          <w:szCs w:val="24"/>
        </w:rPr>
        <w:t>Rules of Procedure of the Commission</w:t>
      </w:r>
      <w:r w:rsidR="00DE2FFF" w:rsidRPr="00B01F31">
        <w:rPr>
          <w:szCs w:val="24"/>
        </w:rPr>
        <w:t>,</w:t>
      </w:r>
      <w:r w:rsidR="00E03AC7" w:rsidRPr="00B01F31">
        <w:rPr>
          <w:szCs w:val="24"/>
        </w:rPr>
        <w:t xml:space="preserve"> th</w:t>
      </w:r>
      <w:r w:rsidR="005E0968" w:rsidRPr="00B01F31">
        <w:rPr>
          <w:szCs w:val="24"/>
        </w:rPr>
        <w:t>is</w:t>
      </w:r>
      <w:r w:rsidR="00E03AC7" w:rsidRPr="00B01F31">
        <w:rPr>
          <w:szCs w:val="24"/>
        </w:rPr>
        <w:t xml:space="preserve"> consolidation is invalid</w:t>
      </w:r>
      <w:r w:rsidR="008F70CB" w:rsidRPr="00B01F31">
        <w:rPr>
          <w:szCs w:val="24"/>
        </w:rPr>
        <w:t xml:space="preserve"> since </w:t>
      </w:r>
      <w:r w:rsidR="008F70CB" w:rsidRPr="00B01F31">
        <w:rPr>
          <w:bCs/>
          <w:szCs w:val="24"/>
        </w:rPr>
        <w:t>the three petitions do not address similar fact</w:t>
      </w:r>
      <w:r w:rsidR="002C09DD" w:rsidRPr="00B01F31">
        <w:rPr>
          <w:bCs/>
          <w:szCs w:val="24"/>
        </w:rPr>
        <w:t>s</w:t>
      </w:r>
      <w:r w:rsidR="008C00E8" w:rsidRPr="00B01F31">
        <w:rPr>
          <w:bCs/>
          <w:szCs w:val="24"/>
        </w:rPr>
        <w:t xml:space="preserve">, </w:t>
      </w:r>
      <w:r w:rsidR="008F70CB" w:rsidRPr="00B01F31">
        <w:rPr>
          <w:bCs/>
          <w:szCs w:val="24"/>
        </w:rPr>
        <w:t>involve the same persons or reveal the same pattern of conduct.</w:t>
      </w:r>
      <w:r w:rsidR="008F70CB" w:rsidRPr="00B01F31">
        <w:rPr>
          <w:rStyle w:val="FootnoteReference"/>
          <w:bCs/>
          <w:szCs w:val="24"/>
        </w:rPr>
        <w:footnoteReference w:id="17"/>
      </w:r>
      <w:r w:rsidR="008F70CB" w:rsidRPr="00B01F31">
        <w:rPr>
          <w:bCs/>
          <w:szCs w:val="24"/>
        </w:rPr>
        <w:t xml:space="preserve"> </w:t>
      </w:r>
      <w:r w:rsidR="00CB75C2" w:rsidRPr="00B01F31">
        <w:rPr>
          <w:bCs/>
          <w:szCs w:val="24"/>
        </w:rPr>
        <w:t xml:space="preserve">The </w:t>
      </w:r>
      <w:r w:rsidR="005E0968" w:rsidRPr="00B01F31">
        <w:rPr>
          <w:bCs/>
          <w:szCs w:val="24"/>
        </w:rPr>
        <w:t xml:space="preserve">erroneous </w:t>
      </w:r>
      <w:r w:rsidR="00CB75C2" w:rsidRPr="00B01F31">
        <w:rPr>
          <w:bCs/>
          <w:szCs w:val="24"/>
        </w:rPr>
        <w:t>consolidation</w:t>
      </w:r>
      <w:r w:rsidR="00F32043" w:rsidRPr="00B01F31">
        <w:rPr>
          <w:bCs/>
          <w:szCs w:val="24"/>
        </w:rPr>
        <w:t xml:space="preserve"> </w:t>
      </w:r>
      <w:r w:rsidR="00C9339A" w:rsidRPr="00B01F31">
        <w:rPr>
          <w:bCs/>
          <w:szCs w:val="24"/>
        </w:rPr>
        <w:t>disadvantages the respondent State</w:t>
      </w:r>
      <w:r w:rsidR="006B27BD" w:rsidRPr="00B01F31">
        <w:rPr>
          <w:bCs/>
          <w:szCs w:val="24"/>
        </w:rPr>
        <w:t xml:space="preserve">, </w:t>
      </w:r>
      <w:r w:rsidR="00C9339A" w:rsidRPr="00B01F31">
        <w:rPr>
          <w:bCs/>
          <w:szCs w:val="24"/>
        </w:rPr>
        <w:t>and</w:t>
      </w:r>
      <w:r w:rsidR="005E0968" w:rsidRPr="00B01F31">
        <w:rPr>
          <w:bCs/>
          <w:szCs w:val="24"/>
        </w:rPr>
        <w:t>,</w:t>
      </w:r>
      <w:r w:rsidR="00C9339A" w:rsidRPr="00B01F31">
        <w:rPr>
          <w:bCs/>
          <w:szCs w:val="24"/>
        </w:rPr>
        <w:t xml:space="preserve"> </w:t>
      </w:r>
      <w:r w:rsidR="001B3F0C" w:rsidRPr="00B01F31">
        <w:rPr>
          <w:bCs/>
          <w:szCs w:val="24"/>
        </w:rPr>
        <w:t xml:space="preserve">therefore, </w:t>
      </w:r>
      <w:r w:rsidR="00C9339A" w:rsidRPr="00B01F31">
        <w:rPr>
          <w:bCs/>
          <w:szCs w:val="24"/>
        </w:rPr>
        <w:t xml:space="preserve">hinders the </w:t>
      </w:r>
      <w:r w:rsidR="004E6FE7" w:rsidRPr="00B01F31">
        <w:rPr>
          <w:bCs/>
          <w:szCs w:val="24"/>
        </w:rPr>
        <w:t xml:space="preserve">respondent </w:t>
      </w:r>
      <w:r w:rsidR="00C9339A" w:rsidRPr="00B01F31">
        <w:rPr>
          <w:bCs/>
          <w:szCs w:val="24"/>
        </w:rPr>
        <w:t xml:space="preserve">State’s right </w:t>
      </w:r>
      <w:r w:rsidR="006B27BD" w:rsidRPr="00B01F31">
        <w:rPr>
          <w:bCs/>
          <w:szCs w:val="24"/>
        </w:rPr>
        <w:t>to respond to the petition</w:t>
      </w:r>
      <w:r w:rsidR="005E0968" w:rsidRPr="00B01F31">
        <w:rPr>
          <w:bCs/>
          <w:szCs w:val="24"/>
        </w:rPr>
        <w:t>s</w:t>
      </w:r>
      <w:r w:rsidR="00E03AC7" w:rsidRPr="00B01F31">
        <w:rPr>
          <w:bCs/>
          <w:szCs w:val="24"/>
        </w:rPr>
        <w:t xml:space="preserve"> appropriately</w:t>
      </w:r>
      <w:r w:rsidR="00C9339A" w:rsidRPr="00B01F31">
        <w:rPr>
          <w:bCs/>
          <w:szCs w:val="24"/>
        </w:rPr>
        <w:t>.</w:t>
      </w:r>
      <w:r w:rsidR="00E542D7" w:rsidRPr="00B01F31">
        <w:rPr>
          <w:rStyle w:val="FootnoteReference"/>
          <w:bCs/>
          <w:szCs w:val="24"/>
        </w:rPr>
        <w:footnoteReference w:id="18"/>
      </w:r>
      <w:r w:rsidR="00E03AC7" w:rsidRPr="00B01F31">
        <w:rPr>
          <w:bCs/>
          <w:szCs w:val="24"/>
        </w:rPr>
        <w:t xml:space="preserve"> </w:t>
      </w:r>
    </w:p>
    <w:p w:rsidR="008F70CB" w:rsidRPr="00B01F31" w:rsidRDefault="00A87AC1" w:rsidP="00B01F31">
      <w:pPr>
        <w:rPr>
          <w:bCs/>
          <w:szCs w:val="24"/>
        </w:rPr>
      </w:pPr>
      <w:r w:rsidRPr="00B01F31">
        <w:rPr>
          <w:bCs/>
          <w:szCs w:val="24"/>
        </w:rPr>
        <w:t>Consequently, the respondent State moves the Court no</w:t>
      </w:r>
      <w:r w:rsidR="005E0968" w:rsidRPr="00B01F31">
        <w:rPr>
          <w:bCs/>
          <w:szCs w:val="24"/>
        </w:rPr>
        <w:t>t</w:t>
      </w:r>
      <w:r w:rsidRPr="00B01F31">
        <w:rPr>
          <w:bCs/>
          <w:szCs w:val="24"/>
        </w:rPr>
        <w:t xml:space="preserve"> to hear the present case and </w:t>
      </w:r>
      <w:r w:rsidR="00217213" w:rsidRPr="00B01F31">
        <w:rPr>
          <w:bCs/>
          <w:szCs w:val="24"/>
        </w:rPr>
        <w:t xml:space="preserve">to </w:t>
      </w:r>
      <w:r w:rsidRPr="00B01F31">
        <w:rPr>
          <w:bCs/>
          <w:szCs w:val="24"/>
        </w:rPr>
        <w:t>refer it back to the Commission for procedural and substantive review of the erroneously consolidated petitions.</w:t>
      </w:r>
    </w:p>
    <w:p w:rsidR="00A629C5" w:rsidRPr="00B01F31" w:rsidRDefault="00A629C5" w:rsidP="00B01F31">
      <w:pPr>
        <w:pStyle w:val="Heading3"/>
        <w:widowControl/>
        <w:spacing w:before="0" w:line="480" w:lineRule="auto"/>
        <w:rPr>
          <w:b/>
          <w:bCs/>
          <w:sz w:val="24"/>
          <w:szCs w:val="24"/>
        </w:rPr>
      </w:pPr>
      <w:bookmarkStart w:id="10" w:name="_Toc320823092"/>
      <w:r w:rsidRPr="00B01F31">
        <w:rPr>
          <w:b/>
          <w:bCs/>
          <w:sz w:val="24"/>
          <w:szCs w:val="24"/>
        </w:rPr>
        <w:t>Jurisdiction</w:t>
      </w:r>
      <w:bookmarkEnd w:id="10"/>
    </w:p>
    <w:p w:rsidR="002246F3" w:rsidRPr="00B01F31" w:rsidRDefault="00CB75C2" w:rsidP="00B01F31">
      <w:pPr>
        <w:autoSpaceDE w:val="0"/>
        <w:autoSpaceDN w:val="0"/>
        <w:adjustRightInd w:val="0"/>
        <w:rPr>
          <w:szCs w:val="24"/>
        </w:rPr>
      </w:pPr>
      <w:bookmarkStart w:id="11" w:name="_Toc317977728"/>
      <w:r w:rsidRPr="00B01F31">
        <w:rPr>
          <w:szCs w:val="24"/>
        </w:rPr>
        <w:t>The</w:t>
      </w:r>
      <w:r w:rsidR="00A629C5" w:rsidRPr="00B01F31">
        <w:rPr>
          <w:szCs w:val="24"/>
        </w:rPr>
        <w:t xml:space="preserve"> Court </w:t>
      </w:r>
      <w:r w:rsidRPr="00B01F31">
        <w:rPr>
          <w:szCs w:val="24"/>
        </w:rPr>
        <w:t>lacks</w:t>
      </w:r>
      <w:r w:rsidR="00A629C5" w:rsidRPr="00B01F31">
        <w:rPr>
          <w:szCs w:val="24"/>
        </w:rPr>
        <w:t xml:space="preserve"> jurisdic</w:t>
      </w:r>
      <w:r w:rsidRPr="00B01F31">
        <w:rPr>
          <w:szCs w:val="24"/>
        </w:rPr>
        <w:t>tion for the following reasons.</w:t>
      </w:r>
    </w:p>
    <w:p w:rsidR="0051334E" w:rsidRPr="00B01F31" w:rsidRDefault="0051334E" w:rsidP="00B01F31">
      <w:pPr>
        <w:autoSpaceDE w:val="0"/>
        <w:autoSpaceDN w:val="0"/>
        <w:adjustRightInd w:val="0"/>
        <w:rPr>
          <w:szCs w:val="24"/>
        </w:rPr>
      </w:pPr>
      <w:r w:rsidRPr="00B01F31">
        <w:rPr>
          <w:szCs w:val="24"/>
        </w:rPr>
        <w:t xml:space="preserve">Firstly, the Court lacks territorial jurisdiction over the petition since both </w:t>
      </w:r>
      <w:r w:rsidR="006F6F16" w:rsidRPr="00B01F31">
        <w:rPr>
          <w:szCs w:val="24"/>
        </w:rPr>
        <w:t xml:space="preserve">the </w:t>
      </w:r>
      <w:r w:rsidRPr="00B01F31">
        <w:rPr>
          <w:szCs w:val="24"/>
        </w:rPr>
        <w:t xml:space="preserve">events concerning </w:t>
      </w:r>
      <w:r w:rsidRPr="00B01F31">
        <w:rPr>
          <w:bCs/>
          <w:szCs w:val="24"/>
        </w:rPr>
        <w:t xml:space="preserve">the Camana Osorio family and the Orífuna people </w:t>
      </w:r>
      <w:r w:rsidRPr="00B01F31">
        <w:rPr>
          <w:szCs w:val="24"/>
        </w:rPr>
        <w:t xml:space="preserve">took place in Madruga, a foreign state. </w:t>
      </w:r>
    </w:p>
    <w:p w:rsidR="00DB02CC" w:rsidRPr="009C4804" w:rsidRDefault="00CB75C2" w:rsidP="00B01F31">
      <w:pPr>
        <w:autoSpaceDE w:val="0"/>
        <w:autoSpaceDN w:val="0"/>
        <w:adjustRightInd w:val="0"/>
        <w:rPr>
          <w:bCs/>
          <w:szCs w:val="24"/>
        </w:rPr>
      </w:pPr>
      <w:r w:rsidRPr="00B01F31">
        <w:rPr>
          <w:szCs w:val="24"/>
        </w:rPr>
        <w:lastRenderedPageBreak/>
        <w:t>The</w:t>
      </w:r>
      <w:r w:rsidR="00D2539F" w:rsidRPr="00B01F31">
        <w:rPr>
          <w:szCs w:val="24"/>
        </w:rPr>
        <w:t xml:space="preserve"> </w:t>
      </w:r>
      <w:r w:rsidR="002C09DD" w:rsidRPr="00B01F31">
        <w:rPr>
          <w:bCs/>
          <w:szCs w:val="24"/>
        </w:rPr>
        <w:t>jurisdiction of a state is primarily territorial.</w:t>
      </w:r>
      <w:r w:rsidR="00B2409E" w:rsidRPr="00B01F31">
        <w:rPr>
          <w:bCs/>
          <w:szCs w:val="24"/>
        </w:rPr>
        <w:t xml:space="preserve"> </w:t>
      </w:r>
      <w:r w:rsidRPr="00B01F31">
        <w:rPr>
          <w:bCs/>
          <w:szCs w:val="24"/>
        </w:rPr>
        <w:t>Any possible extra-territorial</w:t>
      </w:r>
      <w:r w:rsidR="002C09DD" w:rsidRPr="00B01F31">
        <w:rPr>
          <w:bCs/>
          <w:szCs w:val="24"/>
        </w:rPr>
        <w:t xml:space="preserve"> jurisdiction is lim</w:t>
      </w:r>
      <w:r w:rsidR="006F6F16" w:rsidRPr="00B01F31">
        <w:rPr>
          <w:bCs/>
          <w:szCs w:val="24"/>
        </w:rPr>
        <w:t xml:space="preserve">ited by the sovereign </w:t>
      </w:r>
      <w:r w:rsidR="002C09DD" w:rsidRPr="00B01F31">
        <w:rPr>
          <w:bCs/>
          <w:szCs w:val="24"/>
        </w:rPr>
        <w:t>rights of other states.</w:t>
      </w:r>
      <w:r w:rsidR="00DE7EA0" w:rsidRPr="00B01F31">
        <w:rPr>
          <w:rStyle w:val="FootnoteReference"/>
          <w:bCs/>
          <w:szCs w:val="24"/>
        </w:rPr>
        <w:footnoteReference w:id="19"/>
      </w:r>
      <w:r w:rsidR="002C09DD" w:rsidRPr="00B01F31">
        <w:rPr>
          <w:bCs/>
          <w:szCs w:val="24"/>
        </w:rPr>
        <w:t xml:space="preserve"> The exercise of extra-territorial jurisdiction by a state is exceptional, and may occur through the effective control over foreign territory as a consequence of military occupation, consent, invitation or acquiescence of another govern</w:t>
      </w:r>
      <w:r w:rsidR="0051334E" w:rsidRPr="00B01F31">
        <w:rPr>
          <w:bCs/>
          <w:szCs w:val="24"/>
        </w:rPr>
        <w:t>ment</w:t>
      </w:r>
      <w:r w:rsidR="00DE7EA0" w:rsidRPr="00B01F31">
        <w:rPr>
          <w:bCs/>
          <w:szCs w:val="24"/>
        </w:rPr>
        <w:t>.</w:t>
      </w:r>
      <w:r w:rsidR="00DE7EA0" w:rsidRPr="00B01F31">
        <w:rPr>
          <w:rStyle w:val="FootnoteReference"/>
          <w:bCs/>
          <w:szCs w:val="24"/>
        </w:rPr>
        <w:footnoteReference w:id="20"/>
      </w:r>
      <w:r w:rsidR="00CF3334" w:rsidRPr="00B01F31">
        <w:rPr>
          <w:bCs/>
          <w:szCs w:val="24"/>
        </w:rPr>
        <w:t xml:space="preserve"> In </w:t>
      </w:r>
      <w:r w:rsidR="00CF3334" w:rsidRPr="00B01F31">
        <w:rPr>
          <w:bCs/>
          <w:i/>
          <w:iCs/>
          <w:szCs w:val="24"/>
          <w:lang w:eastAsia="en-US"/>
        </w:rPr>
        <w:t>Coard et al. v. United States</w:t>
      </w:r>
      <w:r w:rsidR="00CF3334" w:rsidRPr="00B01F31">
        <w:rPr>
          <w:bCs/>
          <w:iCs/>
          <w:szCs w:val="24"/>
          <w:lang w:eastAsia="en-US"/>
        </w:rPr>
        <w:t>, the Co</w:t>
      </w:r>
      <w:r w:rsidR="002C09DD" w:rsidRPr="00B01F31">
        <w:rPr>
          <w:bCs/>
          <w:iCs/>
          <w:szCs w:val="24"/>
          <w:lang w:eastAsia="en-US"/>
        </w:rPr>
        <w:t xml:space="preserve">mmission </w:t>
      </w:r>
      <w:r w:rsidR="0093510A" w:rsidRPr="00B01F31">
        <w:rPr>
          <w:bCs/>
          <w:iCs/>
          <w:szCs w:val="24"/>
          <w:lang w:eastAsia="en-US"/>
        </w:rPr>
        <w:t xml:space="preserve">concluded </w:t>
      </w:r>
      <w:r w:rsidR="00EF4CED" w:rsidRPr="00B01F31">
        <w:rPr>
          <w:bCs/>
          <w:iCs/>
          <w:szCs w:val="24"/>
          <w:lang w:eastAsia="en-US"/>
        </w:rPr>
        <w:t>that while Art. 1 </w:t>
      </w:r>
      <w:r w:rsidR="00342763" w:rsidRPr="00B01F31">
        <w:rPr>
          <w:bCs/>
          <w:iCs/>
          <w:szCs w:val="24"/>
          <w:lang w:eastAsia="en-US"/>
        </w:rPr>
        <w:t xml:space="preserve">ACHR </w:t>
      </w:r>
      <w:r w:rsidR="00CF3334" w:rsidRPr="00B01F31">
        <w:rPr>
          <w:bCs/>
          <w:iCs/>
          <w:szCs w:val="24"/>
          <w:lang w:eastAsia="en-US"/>
        </w:rPr>
        <w:t xml:space="preserve">most commonly refers to persons within a state's territory, </w:t>
      </w:r>
      <w:r w:rsidR="00F1555A" w:rsidRPr="00B01F31">
        <w:rPr>
          <w:bCs/>
          <w:iCs/>
          <w:szCs w:val="24"/>
          <w:lang w:eastAsia="en-US"/>
        </w:rPr>
        <w:t xml:space="preserve">state parties can be </w:t>
      </w:r>
      <w:r w:rsidR="0073638D" w:rsidRPr="00B01F31">
        <w:rPr>
          <w:bCs/>
          <w:iCs/>
          <w:szCs w:val="24"/>
          <w:lang w:eastAsia="en-US"/>
        </w:rPr>
        <w:t xml:space="preserve">held </w:t>
      </w:r>
      <w:r w:rsidR="00F1555A" w:rsidRPr="00B01F31">
        <w:rPr>
          <w:bCs/>
          <w:iCs/>
          <w:szCs w:val="24"/>
          <w:lang w:eastAsia="en-US"/>
        </w:rPr>
        <w:t>liable for acts perpetrated in another country if committed by their agents in areas effectively controlled by the state in question</w:t>
      </w:r>
      <w:r w:rsidR="00B00534" w:rsidRPr="00B01F31">
        <w:rPr>
          <w:bCs/>
          <w:iCs/>
          <w:szCs w:val="24"/>
          <w:lang w:eastAsia="en-US"/>
        </w:rPr>
        <w:t>.</w:t>
      </w:r>
      <w:r w:rsidR="00CF3334" w:rsidRPr="00B01F31">
        <w:rPr>
          <w:rStyle w:val="FootnoteReference"/>
          <w:bCs/>
          <w:iCs/>
          <w:szCs w:val="24"/>
          <w:lang w:eastAsia="en-US"/>
        </w:rPr>
        <w:footnoteReference w:id="21"/>
      </w:r>
    </w:p>
    <w:p w:rsidR="003F0314" w:rsidRPr="00B01F31" w:rsidRDefault="0051334E" w:rsidP="00B01F31">
      <w:pPr>
        <w:autoSpaceDE w:val="0"/>
        <w:autoSpaceDN w:val="0"/>
        <w:adjustRightInd w:val="0"/>
        <w:rPr>
          <w:bCs/>
          <w:iCs/>
          <w:szCs w:val="24"/>
          <w:lang w:eastAsia="en-US"/>
        </w:rPr>
      </w:pPr>
      <w:r w:rsidRPr="00B01F31">
        <w:rPr>
          <w:szCs w:val="24"/>
        </w:rPr>
        <w:t>In the present case, t</w:t>
      </w:r>
      <w:r w:rsidR="00497AB4" w:rsidRPr="00B01F31">
        <w:rPr>
          <w:szCs w:val="24"/>
        </w:rPr>
        <w:t>here</w:t>
      </w:r>
      <w:r w:rsidR="00F1555A" w:rsidRPr="00B01F31">
        <w:rPr>
          <w:szCs w:val="24"/>
        </w:rPr>
        <w:t xml:space="preserve"> is no</w:t>
      </w:r>
      <w:r w:rsidR="002B6D3C" w:rsidRPr="00B01F31">
        <w:rPr>
          <w:szCs w:val="24"/>
        </w:rPr>
        <w:t xml:space="preserve"> connect</w:t>
      </w:r>
      <w:r w:rsidR="00965A8D" w:rsidRPr="00B01F31">
        <w:rPr>
          <w:szCs w:val="24"/>
        </w:rPr>
        <w:t>ion</w:t>
      </w:r>
      <w:r w:rsidR="00286171" w:rsidRPr="00B01F31">
        <w:rPr>
          <w:szCs w:val="24"/>
        </w:rPr>
        <w:t xml:space="preserve"> whatsoever</w:t>
      </w:r>
      <w:r w:rsidR="00965A8D" w:rsidRPr="00B01F31">
        <w:rPr>
          <w:szCs w:val="24"/>
        </w:rPr>
        <w:t xml:space="preserve"> </w:t>
      </w:r>
      <w:r w:rsidR="002B6D3C" w:rsidRPr="00B01F31">
        <w:rPr>
          <w:szCs w:val="24"/>
        </w:rPr>
        <w:t xml:space="preserve">to the respondent State for any </w:t>
      </w:r>
      <w:r w:rsidR="0093510A" w:rsidRPr="00B01F31">
        <w:rPr>
          <w:szCs w:val="24"/>
        </w:rPr>
        <w:t xml:space="preserve">possible </w:t>
      </w:r>
      <w:r w:rsidR="002B6D3C" w:rsidRPr="00B01F31">
        <w:rPr>
          <w:szCs w:val="24"/>
        </w:rPr>
        <w:t>viola</w:t>
      </w:r>
      <w:r w:rsidR="00F1555A" w:rsidRPr="00B01F31">
        <w:rPr>
          <w:szCs w:val="24"/>
        </w:rPr>
        <w:t xml:space="preserve">tion of the ACHR in </w:t>
      </w:r>
      <w:r w:rsidR="00E9547D" w:rsidRPr="00B01F31">
        <w:rPr>
          <w:szCs w:val="24"/>
        </w:rPr>
        <w:t>Madruga</w:t>
      </w:r>
      <w:r w:rsidR="00E2521E" w:rsidRPr="00B01F31">
        <w:rPr>
          <w:bCs/>
          <w:iCs/>
          <w:szCs w:val="24"/>
          <w:lang w:eastAsia="en-US"/>
        </w:rPr>
        <w:t xml:space="preserve">. Hence, </w:t>
      </w:r>
      <w:r w:rsidR="00E14D1E" w:rsidRPr="00B01F31">
        <w:rPr>
          <w:szCs w:val="24"/>
        </w:rPr>
        <w:t xml:space="preserve">the respondent State is not responsible for any violation alleged in the </w:t>
      </w:r>
      <w:r w:rsidR="00286171" w:rsidRPr="00B01F31">
        <w:rPr>
          <w:szCs w:val="24"/>
        </w:rPr>
        <w:t>two</w:t>
      </w:r>
      <w:r w:rsidR="00AA6771" w:rsidRPr="00B01F31">
        <w:rPr>
          <w:szCs w:val="24"/>
        </w:rPr>
        <w:t xml:space="preserve"> above-</w:t>
      </w:r>
      <w:r w:rsidR="00286171" w:rsidRPr="00B01F31">
        <w:rPr>
          <w:szCs w:val="24"/>
        </w:rPr>
        <w:t>mentioned</w:t>
      </w:r>
      <w:r w:rsidR="00E14D1E" w:rsidRPr="00B01F31">
        <w:rPr>
          <w:szCs w:val="24"/>
        </w:rPr>
        <w:t xml:space="preserve"> petitions</w:t>
      </w:r>
      <w:r w:rsidR="00C924AF" w:rsidRPr="00B01F31">
        <w:rPr>
          <w:szCs w:val="24"/>
        </w:rPr>
        <w:t xml:space="preserve">. </w:t>
      </w:r>
      <w:r w:rsidR="00CE76AC" w:rsidRPr="00B01F31">
        <w:rPr>
          <w:szCs w:val="24"/>
        </w:rPr>
        <w:t>Furthermore, the respondent State objected to the alleged territorial jurisdiction at the earliest opportunity</w:t>
      </w:r>
      <w:r w:rsidR="0093510A" w:rsidRPr="00B01F31">
        <w:rPr>
          <w:szCs w:val="24"/>
        </w:rPr>
        <w:t xml:space="preserve">. </w:t>
      </w:r>
      <w:r w:rsidR="0073638D" w:rsidRPr="00B01F31">
        <w:rPr>
          <w:szCs w:val="24"/>
        </w:rPr>
        <w:t>T</w:t>
      </w:r>
      <w:r w:rsidR="00CE76AC" w:rsidRPr="00B01F31">
        <w:rPr>
          <w:szCs w:val="24"/>
        </w:rPr>
        <w:t xml:space="preserve">herefore, </w:t>
      </w:r>
      <w:r w:rsidR="0073638D" w:rsidRPr="00B01F31">
        <w:rPr>
          <w:szCs w:val="24"/>
        </w:rPr>
        <w:t xml:space="preserve">it </w:t>
      </w:r>
      <w:r w:rsidR="00605974" w:rsidRPr="00B01F31">
        <w:rPr>
          <w:szCs w:val="24"/>
        </w:rPr>
        <w:t xml:space="preserve">filed </w:t>
      </w:r>
      <w:r w:rsidR="0093510A" w:rsidRPr="00B01F31">
        <w:rPr>
          <w:szCs w:val="24"/>
        </w:rPr>
        <w:t>its objection</w:t>
      </w:r>
      <w:r w:rsidR="00CE76AC" w:rsidRPr="00B01F31">
        <w:rPr>
          <w:szCs w:val="24"/>
        </w:rPr>
        <w:t xml:space="preserve"> in due time</w:t>
      </w:r>
      <w:r w:rsidR="0093510A" w:rsidRPr="00B01F31">
        <w:rPr>
          <w:szCs w:val="24"/>
        </w:rPr>
        <w:t>,</w:t>
      </w:r>
      <w:r w:rsidR="00CE76AC" w:rsidRPr="00B01F31">
        <w:rPr>
          <w:szCs w:val="24"/>
        </w:rPr>
        <w:t xml:space="preserve"> </w:t>
      </w:r>
      <w:r w:rsidR="00AA6771" w:rsidRPr="00B01F31">
        <w:rPr>
          <w:szCs w:val="24"/>
        </w:rPr>
        <w:t xml:space="preserve">and moves the Court </w:t>
      </w:r>
      <w:r w:rsidR="00CB6013" w:rsidRPr="00B01F31">
        <w:rPr>
          <w:szCs w:val="24"/>
        </w:rPr>
        <w:t xml:space="preserve">to </w:t>
      </w:r>
      <w:r w:rsidR="00CE76AC" w:rsidRPr="00B01F31">
        <w:rPr>
          <w:szCs w:val="24"/>
        </w:rPr>
        <w:t>recognize its lack of jurisdiction</w:t>
      </w:r>
      <w:r w:rsidR="00BB1CF2" w:rsidRPr="00B01F31">
        <w:rPr>
          <w:szCs w:val="24"/>
        </w:rPr>
        <w:t>.</w:t>
      </w:r>
      <w:r w:rsidR="006F370E" w:rsidRPr="00B01F31">
        <w:rPr>
          <w:rStyle w:val="FootnoteReference"/>
          <w:szCs w:val="24"/>
        </w:rPr>
        <w:footnoteReference w:id="22"/>
      </w:r>
    </w:p>
    <w:p w:rsidR="006340F3" w:rsidRPr="00B01F31" w:rsidRDefault="00CB3A09" w:rsidP="00B01F31">
      <w:pPr>
        <w:rPr>
          <w:szCs w:val="24"/>
        </w:rPr>
      </w:pPr>
      <w:r w:rsidRPr="00B01F31">
        <w:rPr>
          <w:szCs w:val="24"/>
        </w:rPr>
        <w:t>Secondly,</w:t>
      </w:r>
      <w:r w:rsidR="00286629" w:rsidRPr="00B01F31">
        <w:rPr>
          <w:szCs w:val="24"/>
        </w:rPr>
        <w:t xml:space="preserve"> the Court is not a court</w:t>
      </w:r>
      <w:r w:rsidR="00E31606" w:rsidRPr="00B01F31">
        <w:rPr>
          <w:szCs w:val="24"/>
        </w:rPr>
        <w:t xml:space="preserve"> of</w:t>
      </w:r>
      <w:r w:rsidR="00286629" w:rsidRPr="00B01F31">
        <w:rPr>
          <w:iCs/>
          <w:szCs w:val="24"/>
        </w:rPr>
        <w:t xml:space="preserve"> “fourth instance” </w:t>
      </w:r>
      <w:r w:rsidR="00286629" w:rsidRPr="00B01F31">
        <w:rPr>
          <w:szCs w:val="24"/>
        </w:rPr>
        <w:t>empowered to overturn judgments handed down by the hig</w:t>
      </w:r>
      <w:r w:rsidR="007A35B7" w:rsidRPr="00B01F31">
        <w:rPr>
          <w:szCs w:val="24"/>
        </w:rPr>
        <w:t>hest court</w:t>
      </w:r>
      <w:r w:rsidR="0062659F" w:rsidRPr="00B01F31">
        <w:rPr>
          <w:szCs w:val="24"/>
        </w:rPr>
        <w:t>s</w:t>
      </w:r>
      <w:r w:rsidR="007A35B7" w:rsidRPr="00B01F31">
        <w:rPr>
          <w:szCs w:val="24"/>
        </w:rPr>
        <w:t xml:space="preserve"> of the state parties</w:t>
      </w:r>
      <w:r w:rsidR="0093510A" w:rsidRPr="00B01F31">
        <w:rPr>
          <w:szCs w:val="24"/>
        </w:rPr>
        <w:t xml:space="preserve"> to the ACHR</w:t>
      </w:r>
      <w:r w:rsidR="004C7E7C" w:rsidRPr="00B01F31">
        <w:rPr>
          <w:szCs w:val="24"/>
        </w:rPr>
        <w:t xml:space="preserve">, </w:t>
      </w:r>
      <w:r w:rsidR="007A35B7" w:rsidRPr="00B01F31">
        <w:rPr>
          <w:szCs w:val="24"/>
        </w:rPr>
        <w:t>unless there has been a violation of rights protected by the ACHR.</w:t>
      </w:r>
      <w:r w:rsidR="00286629" w:rsidRPr="00B01F31">
        <w:rPr>
          <w:szCs w:val="24"/>
          <w:vertAlign w:val="superscript"/>
        </w:rPr>
        <w:footnoteReference w:id="23"/>
      </w:r>
      <w:r w:rsidR="00DB08A3" w:rsidRPr="00B01F31">
        <w:rPr>
          <w:szCs w:val="24"/>
        </w:rPr>
        <w:t xml:space="preserve"> </w:t>
      </w:r>
      <w:r w:rsidR="00E2521E" w:rsidRPr="00B01F31">
        <w:rPr>
          <w:szCs w:val="24"/>
        </w:rPr>
        <w:t>The Court</w:t>
      </w:r>
      <w:r w:rsidR="00A176E4" w:rsidRPr="00B01F31">
        <w:rPr>
          <w:szCs w:val="24"/>
        </w:rPr>
        <w:t xml:space="preserve"> has established </w:t>
      </w:r>
      <w:r w:rsidR="00793D71" w:rsidRPr="00B01F31">
        <w:rPr>
          <w:szCs w:val="24"/>
        </w:rPr>
        <w:t xml:space="preserve">in </w:t>
      </w:r>
      <w:r w:rsidR="00793D71" w:rsidRPr="00B01F31">
        <w:rPr>
          <w:i/>
          <w:szCs w:val="24"/>
        </w:rPr>
        <w:t>Cabrera García and Montiel Flores v. Mexico</w:t>
      </w:r>
      <w:r w:rsidR="00793D71" w:rsidRPr="00B01F31">
        <w:rPr>
          <w:szCs w:val="24"/>
        </w:rPr>
        <w:t xml:space="preserve"> </w:t>
      </w:r>
      <w:r w:rsidR="00024080" w:rsidRPr="00B01F31">
        <w:rPr>
          <w:szCs w:val="24"/>
        </w:rPr>
        <w:t xml:space="preserve">that its </w:t>
      </w:r>
      <w:r w:rsidR="00A176E4" w:rsidRPr="00B01F31">
        <w:rPr>
          <w:szCs w:val="24"/>
        </w:rPr>
        <w:t>jurisdiction is of a subsidiary, reinforcing and complementary nature.</w:t>
      </w:r>
      <w:r w:rsidR="00A176E4" w:rsidRPr="00B01F31">
        <w:rPr>
          <w:rStyle w:val="FootnoteReference"/>
          <w:szCs w:val="24"/>
        </w:rPr>
        <w:footnoteReference w:id="24"/>
      </w:r>
    </w:p>
    <w:p w:rsidR="00522274" w:rsidRPr="00B01F31" w:rsidRDefault="00AF7B5B" w:rsidP="00B01F31">
      <w:pPr>
        <w:rPr>
          <w:szCs w:val="24"/>
        </w:rPr>
      </w:pPr>
      <w:r w:rsidRPr="00B01F31">
        <w:rPr>
          <w:color w:val="000000"/>
          <w:szCs w:val="24"/>
        </w:rPr>
        <w:lastRenderedPageBreak/>
        <w:t xml:space="preserve">Therefore, </w:t>
      </w:r>
      <w:r w:rsidR="00605974" w:rsidRPr="00B01F31">
        <w:rPr>
          <w:color w:val="000000"/>
          <w:szCs w:val="24"/>
        </w:rPr>
        <w:t>the i</w:t>
      </w:r>
      <w:r w:rsidRPr="00B01F31">
        <w:rPr>
          <w:color w:val="000000"/>
          <w:szCs w:val="24"/>
        </w:rPr>
        <w:t>nt</w:t>
      </w:r>
      <w:r w:rsidR="00C34E6C" w:rsidRPr="00B01F31">
        <w:rPr>
          <w:color w:val="000000"/>
          <w:szCs w:val="24"/>
        </w:rPr>
        <w:t>er-American supervisory organs d</w:t>
      </w:r>
      <w:r w:rsidRPr="00B01F31">
        <w:rPr>
          <w:color w:val="000000"/>
          <w:szCs w:val="24"/>
        </w:rPr>
        <w:t xml:space="preserve">o </w:t>
      </w:r>
      <w:r w:rsidR="00024080" w:rsidRPr="00B01F31">
        <w:rPr>
          <w:color w:val="000000"/>
          <w:szCs w:val="24"/>
        </w:rPr>
        <w:t xml:space="preserve">not </w:t>
      </w:r>
      <w:r w:rsidRPr="00B01F31">
        <w:rPr>
          <w:color w:val="000000"/>
          <w:szCs w:val="24"/>
        </w:rPr>
        <w:t>act as appellate bodies.</w:t>
      </w:r>
      <w:r w:rsidRPr="00B01F31">
        <w:rPr>
          <w:rStyle w:val="FootnoteReference"/>
          <w:color w:val="000000"/>
          <w:szCs w:val="24"/>
        </w:rPr>
        <w:footnoteReference w:id="25"/>
      </w:r>
      <w:r w:rsidRPr="00B01F31">
        <w:rPr>
          <w:color w:val="000000"/>
          <w:szCs w:val="24"/>
        </w:rPr>
        <w:t xml:space="preserve"> </w:t>
      </w:r>
      <w:r w:rsidR="00024080" w:rsidRPr="00B01F31">
        <w:rPr>
          <w:szCs w:val="24"/>
        </w:rPr>
        <w:t>A petition</w:t>
      </w:r>
      <w:r w:rsidRPr="00B01F31">
        <w:rPr>
          <w:szCs w:val="24"/>
        </w:rPr>
        <w:t xml:space="preserve"> must </w:t>
      </w:r>
      <w:r w:rsidR="00024080" w:rsidRPr="00B01F31">
        <w:rPr>
          <w:szCs w:val="24"/>
        </w:rPr>
        <w:t>state</w:t>
      </w:r>
      <w:r w:rsidRPr="00B01F31">
        <w:rPr>
          <w:szCs w:val="24"/>
        </w:rPr>
        <w:t xml:space="preserve"> facts that establish a violation of the rights guaranteed by the </w:t>
      </w:r>
      <w:r w:rsidR="003069D2" w:rsidRPr="00B01F31">
        <w:rPr>
          <w:szCs w:val="24"/>
        </w:rPr>
        <w:t>ACHR</w:t>
      </w:r>
      <w:r w:rsidRPr="00B01F31">
        <w:rPr>
          <w:szCs w:val="24"/>
        </w:rPr>
        <w:t>.</w:t>
      </w:r>
      <w:r w:rsidRPr="00B01F31">
        <w:rPr>
          <w:szCs w:val="24"/>
          <w:vertAlign w:val="superscript"/>
        </w:rPr>
        <w:footnoteReference w:id="26"/>
      </w:r>
      <w:r w:rsidRPr="00B01F31">
        <w:rPr>
          <w:szCs w:val="24"/>
        </w:rPr>
        <w:t xml:space="preserve"> If the petition only </w:t>
      </w:r>
      <w:r w:rsidR="00024080" w:rsidRPr="00B01F31">
        <w:rPr>
          <w:szCs w:val="24"/>
        </w:rPr>
        <w:t>alleges</w:t>
      </w:r>
      <w:r w:rsidRPr="00B01F31">
        <w:rPr>
          <w:szCs w:val="24"/>
        </w:rPr>
        <w:t xml:space="preserve"> </w:t>
      </w:r>
      <w:r w:rsidR="00024080" w:rsidRPr="00B01F31">
        <w:rPr>
          <w:szCs w:val="24"/>
        </w:rPr>
        <w:t xml:space="preserve">that </w:t>
      </w:r>
      <w:r w:rsidRPr="00B01F31">
        <w:rPr>
          <w:szCs w:val="24"/>
        </w:rPr>
        <w:t xml:space="preserve">the domestic court’s decision was erroneous, the Commission must apply the fourth instance formula and declare the petition inadmissible </w:t>
      </w:r>
      <w:r w:rsidRPr="00B01F31">
        <w:rPr>
          <w:i/>
          <w:szCs w:val="24"/>
        </w:rPr>
        <w:t>ratione materiae</w:t>
      </w:r>
      <w:r w:rsidRPr="00B01F31">
        <w:rPr>
          <w:szCs w:val="24"/>
        </w:rPr>
        <w:t>.</w:t>
      </w:r>
      <w:r w:rsidRPr="00B01F31">
        <w:rPr>
          <w:szCs w:val="24"/>
          <w:vertAlign w:val="superscript"/>
        </w:rPr>
        <w:footnoteReference w:id="27"/>
      </w:r>
      <w:r w:rsidR="00F74A58" w:rsidRPr="00B01F31">
        <w:rPr>
          <w:szCs w:val="24"/>
        </w:rPr>
        <w:t xml:space="preserve"> </w:t>
      </w:r>
    </w:p>
    <w:p w:rsidR="002B6D3C" w:rsidRPr="00B01F31" w:rsidRDefault="0062659F" w:rsidP="00B01F31">
      <w:pPr>
        <w:rPr>
          <w:color w:val="000000"/>
          <w:szCs w:val="24"/>
        </w:rPr>
      </w:pPr>
      <w:r w:rsidRPr="00B01F31">
        <w:rPr>
          <w:szCs w:val="24"/>
        </w:rPr>
        <w:t>“</w:t>
      </w:r>
      <w:r w:rsidR="00F74A58" w:rsidRPr="00B01F31">
        <w:rPr>
          <w:i/>
          <w:szCs w:val="24"/>
        </w:rPr>
        <w:t>Dissatisfied</w:t>
      </w:r>
      <w:r w:rsidRPr="00B01F31">
        <w:rPr>
          <w:szCs w:val="24"/>
        </w:rPr>
        <w:t>”</w:t>
      </w:r>
      <w:r w:rsidR="00F74A58" w:rsidRPr="00B01F31">
        <w:rPr>
          <w:szCs w:val="24"/>
        </w:rPr>
        <w:t xml:space="preserve"> with the inadmissibility r</w:t>
      </w:r>
      <w:r w:rsidR="008F3A41" w:rsidRPr="00B01F31">
        <w:rPr>
          <w:szCs w:val="24"/>
        </w:rPr>
        <w:t>uling of the respondent State of</w:t>
      </w:r>
      <w:r w:rsidR="00F74A58" w:rsidRPr="00B01F31">
        <w:rPr>
          <w:szCs w:val="24"/>
        </w:rPr>
        <w:t xml:space="preserve"> May 3, 2010</w:t>
      </w:r>
      <w:r w:rsidR="008F3A41" w:rsidRPr="00B01F31">
        <w:rPr>
          <w:szCs w:val="24"/>
        </w:rPr>
        <w:t>,</w:t>
      </w:r>
      <w:r w:rsidR="00F74A58" w:rsidRPr="00B01F31">
        <w:rPr>
          <w:szCs w:val="24"/>
        </w:rPr>
        <w:t xml:space="preserve"> </w:t>
      </w:r>
      <w:r w:rsidR="008F3A41" w:rsidRPr="00B01F31">
        <w:rPr>
          <w:szCs w:val="24"/>
        </w:rPr>
        <w:t>the Camana Osorio</w:t>
      </w:r>
      <w:r w:rsidR="00F61EDA" w:rsidRPr="00B01F31">
        <w:rPr>
          <w:szCs w:val="24"/>
        </w:rPr>
        <w:t xml:space="preserve">’s next of kin </w:t>
      </w:r>
      <w:r w:rsidR="00F74A58" w:rsidRPr="00B01F31">
        <w:rPr>
          <w:color w:val="000000"/>
          <w:szCs w:val="24"/>
        </w:rPr>
        <w:t xml:space="preserve">directly submitted </w:t>
      </w:r>
      <w:r w:rsidR="00F61EDA" w:rsidRPr="00B01F31">
        <w:rPr>
          <w:color w:val="000000"/>
          <w:szCs w:val="24"/>
        </w:rPr>
        <w:t>a petition</w:t>
      </w:r>
      <w:r w:rsidR="00F74A58" w:rsidRPr="00B01F31">
        <w:rPr>
          <w:color w:val="000000"/>
          <w:szCs w:val="24"/>
        </w:rPr>
        <w:t xml:space="preserve"> to the Commission without alleging any violation of the ACHR.</w:t>
      </w:r>
      <w:r w:rsidR="00F74A58" w:rsidRPr="00B01F31">
        <w:rPr>
          <w:rStyle w:val="FootnoteReference"/>
          <w:color w:val="000000"/>
          <w:szCs w:val="24"/>
        </w:rPr>
        <w:footnoteReference w:id="28"/>
      </w:r>
      <w:r w:rsidR="00F61EDA" w:rsidRPr="00B01F31">
        <w:rPr>
          <w:szCs w:val="24"/>
        </w:rPr>
        <w:t xml:space="preserve"> </w:t>
      </w:r>
      <w:r w:rsidR="00106866" w:rsidRPr="00B01F31">
        <w:rPr>
          <w:color w:val="000000"/>
          <w:szCs w:val="24"/>
        </w:rPr>
        <w:t xml:space="preserve">Hence, </w:t>
      </w:r>
      <w:r w:rsidR="00F74A58" w:rsidRPr="00B01F31">
        <w:rPr>
          <w:color w:val="000000"/>
          <w:szCs w:val="24"/>
        </w:rPr>
        <w:t>should the Court hear the aforementioned petition</w:t>
      </w:r>
      <w:r w:rsidR="00106866" w:rsidRPr="00B01F31">
        <w:rPr>
          <w:color w:val="000000"/>
          <w:szCs w:val="24"/>
        </w:rPr>
        <w:t>,</w:t>
      </w:r>
      <w:r w:rsidR="00F61EDA" w:rsidRPr="00B01F31">
        <w:rPr>
          <w:color w:val="000000"/>
          <w:szCs w:val="24"/>
        </w:rPr>
        <w:t xml:space="preserve"> </w:t>
      </w:r>
      <w:r w:rsidR="00DA05FA" w:rsidRPr="00B01F31">
        <w:rPr>
          <w:color w:val="000000"/>
          <w:szCs w:val="24"/>
        </w:rPr>
        <w:t>it would act as a court of fourth instance.</w:t>
      </w:r>
      <w:r w:rsidR="00DA05FA" w:rsidRPr="00B01F31">
        <w:rPr>
          <w:color w:val="000000"/>
          <w:szCs w:val="24"/>
          <w:vertAlign w:val="superscript"/>
        </w:rPr>
        <w:footnoteReference w:id="29"/>
      </w:r>
      <w:r w:rsidR="00911935" w:rsidRPr="00B01F31">
        <w:rPr>
          <w:color w:val="000000"/>
          <w:szCs w:val="24"/>
        </w:rPr>
        <w:t xml:space="preserve"> </w:t>
      </w:r>
      <w:r w:rsidR="002B6D3C" w:rsidRPr="00B01F31">
        <w:rPr>
          <w:szCs w:val="24"/>
          <w:lang w:eastAsia="en-US"/>
        </w:rPr>
        <w:t>Consequently, the</w:t>
      </w:r>
      <w:r w:rsidR="00C04FC6" w:rsidRPr="00B01F31">
        <w:rPr>
          <w:szCs w:val="24"/>
          <w:lang w:eastAsia="en-US"/>
        </w:rPr>
        <w:t xml:space="preserve"> respondent</w:t>
      </w:r>
      <w:r w:rsidR="002B6D3C" w:rsidRPr="00B01F31">
        <w:rPr>
          <w:szCs w:val="24"/>
          <w:lang w:eastAsia="en-US"/>
        </w:rPr>
        <w:t xml:space="preserve"> State </w:t>
      </w:r>
      <w:r w:rsidRPr="00B01F31">
        <w:rPr>
          <w:szCs w:val="24"/>
          <w:lang w:eastAsia="en-US"/>
        </w:rPr>
        <w:t xml:space="preserve">moves </w:t>
      </w:r>
      <w:r w:rsidR="002B6D3C" w:rsidRPr="00B01F31">
        <w:rPr>
          <w:szCs w:val="24"/>
          <w:lang w:eastAsia="en-US"/>
        </w:rPr>
        <w:t>the Court to rec</w:t>
      </w:r>
      <w:r w:rsidR="00E31606" w:rsidRPr="00B01F31">
        <w:rPr>
          <w:szCs w:val="24"/>
          <w:lang w:eastAsia="en-US"/>
        </w:rPr>
        <w:t>ognize its lack of jurisdiction</w:t>
      </w:r>
      <w:r w:rsidR="00C911B6" w:rsidRPr="00B01F31">
        <w:rPr>
          <w:szCs w:val="24"/>
          <w:lang w:eastAsia="en-US"/>
        </w:rPr>
        <w:t xml:space="preserve"> over</w:t>
      </w:r>
      <w:r w:rsidR="00E31606" w:rsidRPr="00B01F31">
        <w:rPr>
          <w:szCs w:val="24"/>
          <w:lang w:eastAsia="en-US"/>
        </w:rPr>
        <w:t xml:space="preserve"> the afore</w:t>
      </w:r>
      <w:r w:rsidR="004D3CBB" w:rsidRPr="00B01F31">
        <w:rPr>
          <w:szCs w:val="24"/>
          <w:lang w:eastAsia="en-US"/>
        </w:rPr>
        <w:t>men</w:t>
      </w:r>
      <w:r w:rsidR="00F61EDA" w:rsidRPr="00B01F31">
        <w:rPr>
          <w:szCs w:val="24"/>
          <w:lang w:eastAsia="en-US"/>
        </w:rPr>
        <w:t>tioned petition.</w:t>
      </w:r>
    </w:p>
    <w:p w:rsidR="00A64B57" w:rsidRPr="00B01F31" w:rsidRDefault="00361779" w:rsidP="00B01F31">
      <w:pPr>
        <w:pStyle w:val="Heading3"/>
        <w:widowControl/>
        <w:spacing w:before="0" w:line="480" w:lineRule="auto"/>
        <w:rPr>
          <w:b/>
          <w:bCs/>
          <w:sz w:val="24"/>
          <w:szCs w:val="24"/>
        </w:rPr>
      </w:pPr>
      <w:bookmarkStart w:id="12" w:name="_Toc317977729"/>
      <w:bookmarkStart w:id="13" w:name="_Toc320823093"/>
      <w:bookmarkEnd w:id="11"/>
      <w:r w:rsidRPr="00B01F31">
        <w:rPr>
          <w:b/>
          <w:bCs/>
          <w:sz w:val="24"/>
          <w:szCs w:val="24"/>
        </w:rPr>
        <w:t xml:space="preserve">Mr. Ricardo </w:t>
      </w:r>
      <w:r w:rsidR="00270548" w:rsidRPr="00B01F31">
        <w:rPr>
          <w:b/>
          <w:bCs/>
          <w:sz w:val="24"/>
          <w:szCs w:val="24"/>
        </w:rPr>
        <w:t xml:space="preserve">Manuín </w:t>
      </w:r>
      <w:r w:rsidR="00CD5FA2" w:rsidRPr="00B01F31">
        <w:rPr>
          <w:b/>
          <w:bCs/>
          <w:sz w:val="24"/>
          <w:szCs w:val="24"/>
        </w:rPr>
        <w:t>did not exhaust</w:t>
      </w:r>
      <w:r w:rsidR="00262558" w:rsidRPr="00B01F31">
        <w:rPr>
          <w:b/>
          <w:bCs/>
          <w:sz w:val="24"/>
          <w:szCs w:val="24"/>
        </w:rPr>
        <w:t xml:space="preserve"> all available</w:t>
      </w:r>
      <w:r w:rsidR="00CD5FA2" w:rsidRPr="00B01F31">
        <w:rPr>
          <w:b/>
          <w:bCs/>
          <w:sz w:val="24"/>
          <w:szCs w:val="24"/>
        </w:rPr>
        <w:t xml:space="preserve"> </w:t>
      </w:r>
      <w:r w:rsidR="00A64B57" w:rsidRPr="00B01F31">
        <w:rPr>
          <w:b/>
          <w:bCs/>
          <w:sz w:val="24"/>
          <w:szCs w:val="24"/>
        </w:rPr>
        <w:t>domestic remedies</w:t>
      </w:r>
      <w:r w:rsidR="007A1441" w:rsidRPr="00B01F31">
        <w:rPr>
          <w:b/>
          <w:bCs/>
          <w:sz w:val="24"/>
          <w:szCs w:val="24"/>
        </w:rPr>
        <w:t xml:space="preserve"> </w:t>
      </w:r>
      <w:r w:rsidR="00200553" w:rsidRPr="00B01F31">
        <w:rPr>
          <w:b/>
          <w:bCs/>
          <w:sz w:val="24"/>
          <w:szCs w:val="24"/>
        </w:rPr>
        <w:t xml:space="preserve">according to </w:t>
      </w:r>
      <w:r w:rsidR="00EF4CED" w:rsidRPr="00B01F31">
        <w:rPr>
          <w:b/>
          <w:bCs/>
          <w:sz w:val="24"/>
          <w:szCs w:val="24"/>
        </w:rPr>
        <w:t>Art. </w:t>
      </w:r>
      <w:r w:rsidR="00F61EDA" w:rsidRPr="00B01F31">
        <w:rPr>
          <w:b/>
          <w:bCs/>
          <w:sz w:val="24"/>
          <w:szCs w:val="24"/>
        </w:rPr>
        <w:t xml:space="preserve">46(1)(a), </w:t>
      </w:r>
      <w:r w:rsidR="007B0AB5" w:rsidRPr="00B01F31">
        <w:rPr>
          <w:b/>
          <w:bCs/>
          <w:sz w:val="24"/>
          <w:szCs w:val="24"/>
        </w:rPr>
        <w:t xml:space="preserve">Art. </w:t>
      </w:r>
      <w:r w:rsidR="003F45E1" w:rsidRPr="00B01F31">
        <w:rPr>
          <w:b/>
          <w:bCs/>
          <w:sz w:val="24"/>
          <w:szCs w:val="24"/>
        </w:rPr>
        <w:t>46(2)</w:t>
      </w:r>
      <w:r w:rsidR="00DC1FE1" w:rsidRPr="00B01F31">
        <w:rPr>
          <w:b/>
          <w:bCs/>
          <w:sz w:val="24"/>
          <w:szCs w:val="24"/>
        </w:rPr>
        <w:t xml:space="preserve"> and</w:t>
      </w:r>
      <w:r w:rsidR="007B0AB5" w:rsidRPr="00B01F31">
        <w:rPr>
          <w:b/>
          <w:bCs/>
          <w:sz w:val="24"/>
          <w:szCs w:val="24"/>
        </w:rPr>
        <w:t xml:space="preserve"> Art.</w:t>
      </w:r>
      <w:r w:rsidR="00EF4CED" w:rsidRPr="00B01F31">
        <w:rPr>
          <w:b/>
          <w:bCs/>
          <w:sz w:val="24"/>
          <w:szCs w:val="24"/>
        </w:rPr>
        <w:t xml:space="preserve"> 47(a) </w:t>
      </w:r>
      <w:r w:rsidR="003F45E1" w:rsidRPr="00B01F31">
        <w:rPr>
          <w:b/>
          <w:bCs/>
          <w:sz w:val="24"/>
          <w:szCs w:val="24"/>
        </w:rPr>
        <w:t>ACHR</w:t>
      </w:r>
      <w:bookmarkEnd w:id="12"/>
      <w:bookmarkEnd w:id="13"/>
    </w:p>
    <w:p w:rsidR="00E313DD" w:rsidRPr="00B01F31" w:rsidRDefault="00B313B8" w:rsidP="00B01F31">
      <w:pPr>
        <w:autoSpaceDE w:val="0"/>
        <w:autoSpaceDN w:val="0"/>
        <w:adjustRightInd w:val="0"/>
        <w:rPr>
          <w:szCs w:val="24"/>
        </w:rPr>
      </w:pPr>
      <w:r w:rsidRPr="00B01F31">
        <w:rPr>
          <w:bCs/>
          <w:szCs w:val="24"/>
        </w:rPr>
        <w:t>Mr. Manuín</w:t>
      </w:r>
      <w:r w:rsidR="005C6167" w:rsidRPr="00B01F31">
        <w:rPr>
          <w:bCs/>
          <w:szCs w:val="24"/>
        </w:rPr>
        <w:t xml:space="preserve"> </w:t>
      </w:r>
      <w:r w:rsidR="00CB3A09" w:rsidRPr="00B01F31">
        <w:rPr>
          <w:szCs w:val="24"/>
        </w:rPr>
        <w:t>directly filed</w:t>
      </w:r>
      <w:r w:rsidR="0061786B" w:rsidRPr="00B01F31">
        <w:rPr>
          <w:szCs w:val="24"/>
        </w:rPr>
        <w:t xml:space="preserve"> </w:t>
      </w:r>
      <w:r w:rsidR="00B915E5" w:rsidRPr="00B01F31">
        <w:rPr>
          <w:szCs w:val="24"/>
        </w:rPr>
        <w:t xml:space="preserve">a petition with the Commission </w:t>
      </w:r>
      <w:r w:rsidR="0061786B" w:rsidRPr="00B01F31">
        <w:rPr>
          <w:szCs w:val="24"/>
        </w:rPr>
        <w:t>on the grounds that the respondent State ruled his amparo action not to be a suitable mechanism for asserting compensatory claims</w:t>
      </w:r>
      <w:r w:rsidR="00023042" w:rsidRPr="00B01F31">
        <w:rPr>
          <w:szCs w:val="24"/>
        </w:rPr>
        <w:t>.</w:t>
      </w:r>
      <w:r w:rsidR="00012E72" w:rsidRPr="00B01F31">
        <w:rPr>
          <w:rStyle w:val="FootnoteReference"/>
          <w:szCs w:val="24"/>
        </w:rPr>
        <w:footnoteReference w:id="30"/>
      </w:r>
      <w:r w:rsidR="00012E72" w:rsidRPr="00B01F31">
        <w:rPr>
          <w:szCs w:val="24"/>
        </w:rPr>
        <w:t xml:space="preserve"> </w:t>
      </w:r>
    </w:p>
    <w:p w:rsidR="0029498C" w:rsidRPr="00B01F31" w:rsidRDefault="00EF4CED" w:rsidP="00B01F31">
      <w:pPr>
        <w:rPr>
          <w:szCs w:val="24"/>
        </w:rPr>
      </w:pPr>
      <w:r w:rsidRPr="00B01F31">
        <w:rPr>
          <w:szCs w:val="24"/>
        </w:rPr>
        <w:t>Art. </w:t>
      </w:r>
      <w:r w:rsidR="00E313DD" w:rsidRPr="00B01F31">
        <w:rPr>
          <w:szCs w:val="24"/>
        </w:rPr>
        <w:t>46(1)(a)</w:t>
      </w:r>
      <w:r w:rsidRPr="00B01F31">
        <w:rPr>
          <w:szCs w:val="24"/>
        </w:rPr>
        <w:t> </w:t>
      </w:r>
      <w:r w:rsidR="00CB3A09" w:rsidRPr="00B01F31">
        <w:rPr>
          <w:szCs w:val="24"/>
        </w:rPr>
        <w:t>ACHR</w:t>
      </w:r>
      <w:r w:rsidR="00E313DD" w:rsidRPr="00B01F31">
        <w:rPr>
          <w:szCs w:val="24"/>
        </w:rPr>
        <w:t xml:space="preserve"> requires </w:t>
      </w:r>
      <w:r w:rsidR="00774C90" w:rsidRPr="00B01F31">
        <w:rPr>
          <w:szCs w:val="24"/>
        </w:rPr>
        <w:t>the</w:t>
      </w:r>
      <w:r w:rsidR="005F27AE" w:rsidRPr="00B01F31">
        <w:rPr>
          <w:szCs w:val="24"/>
        </w:rPr>
        <w:t xml:space="preserve"> </w:t>
      </w:r>
      <w:r w:rsidR="00605974" w:rsidRPr="00B01F31">
        <w:rPr>
          <w:szCs w:val="24"/>
        </w:rPr>
        <w:t xml:space="preserve">exhaustion </w:t>
      </w:r>
      <w:r w:rsidR="00E313DD" w:rsidRPr="00B01F31">
        <w:rPr>
          <w:szCs w:val="24"/>
        </w:rPr>
        <w:t>of</w:t>
      </w:r>
      <w:r w:rsidR="002C09DD" w:rsidRPr="00B01F31">
        <w:rPr>
          <w:szCs w:val="24"/>
        </w:rPr>
        <w:t xml:space="preserve"> </w:t>
      </w:r>
      <w:r w:rsidR="001B54BE" w:rsidRPr="00B01F31">
        <w:rPr>
          <w:szCs w:val="24"/>
        </w:rPr>
        <w:t>all</w:t>
      </w:r>
      <w:r w:rsidR="00E313DD" w:rsidRPr="00B01F31">
        <w:rPr>
          <w:szCs w:val="24"/>
        </w:rPr>
        <w:t xml:space="preserve"> domestic remedies.</w:t>
      </w:r>
      <w:r w:rsidR="00E313DD" w:rsidRPr="00B01F31">
        <w:rPr>
          <w:szCs w:val="24"/>
          <w:vertAlign w:val="superscript"/>
        </w:rPr>
        <w:footnoteReference w:id="31"/>
      </w:r>
      <w:r w:rsidR="001B54BE" w:rsidRPr="00B01F31">
        <w:rPr>
          <w:szCs w:val="24"/>
        </w:rPr>
        <w:t xml:space="preserve"> A remedy must be</w:t>
      </w:r>
      <w:r w:rsidR="00E313DD" w:rsidRPr="00B01F31">
        <w:rPr>
          <w:szCs w:val="24"/>
        </w:rPr>
        <w:t xml:space="preserve"> adequate</w:t>
      </w:r>
      <w:r w:rsidR="00605974" w:rsidRPr="00B01F31">
        <w:rPr>
          <w:szCs w:val="24"/>
        </w:rPr>
        <w:t xml:space="preserve"> and effective</w:t>
      </w:r>
      <w:r w:rsidR="00E24F01" w:rsidRPr="00B01F31">
        <w:rPr>
          <w:szCs w:val="24"/>
        </w:rPr>
        <w:t>,</w:t>
      </w:r>
      <w:r w:rsidR="001B54BE" w:rsidRPr="00B01F31">
        <w:rPr>
          <w:szCs w:val="24"/>
        </w:rPr>
        <w:t xml:space="preserve"> i.e.</w:t>
      </w:r>
      <w:r w:rsidR="00E313DD" w:rsidRPr="00B01F31">
        <w:rPr>
          <w:szCs w:val="24"/>
        </w:rPr>
        <w:t xml:space="preserve"> </w:t>
      </w:r>
      <w:r w:rsidR="001B54BE" w:rsidRPr="00B01F31">
        <w:rPr>
          <w:szCs w:val="24"/>
        </w:rPr>
        <w:t>it must be</w:t>
      </w:r>
      <w:r w:rsidR="00E313DD" w:rsidRPr="00B01F31">
        <w:rPr>
          <w:szCs w:val="24"/>
        </w:rPr>
        <w:t xml:space="preserve"> appropriate</w:t>
      </w:r>
      <w:r w:rsidR="00605974" w:rsidRPr="00B01F31">
        <w:rPr>
          <w:szCs w:val="24"/>
        </w:rPr>
        <w:t xml:space="preserve"> </w:t>
      </w:r>
      <w:r w:rsidR="00B915E5" w:rsidRPr="00B01F31">
        <w:rPr>
          <w:szCs w:val="24"/>
        </w:rPr>
        <w:t>to address the</w:t>
      </w:r>
      <w:r w:rsidR="00E313DD" w:rsidRPr="00B01F31">
        <w:rPr>
          <w:szCs w:val="24"/>
        </w:rPr>
        <w:t xml:space="preserve"> infringement of a legal right</w:t>
      </w:r>
      <w:r w:rsidR="002C09DD" w:rsidRPr="00B01F31">
        <w:rPr>
          <w:szCs w:val="24"/>
        </w:rPr>
        <w:t xml:space="preserve"> and</w:t>
      </w:r>
      <w:r w:rsidR="001B54BE" w:rsidRPr="00B01F31">
        <w:rPr>
          <w:szCs w:val="24"/>
        </w:rPr>
        <w:t xml:space="preserve"> </w:t>
      </w:r>
      <w:r w:rsidR="00FC747A" w:rsidRPr="00B01F31">
        <w:rPr>
          <w:szCs w:val="24"/>
        </w:rPr>
        <w:lastRenderedPageBreak/>
        <w:t xml:space="preserve">be </w:t>
      </w:r>
      <w:r w:rsidR="00E313DD" w:rsidRPr="00B01F31">
        <w:rPr>
          <w:szCs w:val="24"/>
        </w:rPr>
        <w:t>capable of producing the result for which it is designed.</w:t>
      </w:r>
      <w:r w:rsidR="00E313DD" w:rsidRPr="00B01F31">
        <w:rPr>
          <w:szCs w:val="24"/>
          <w:vertAlign w:val="superscript"/>
        </w:rPr>
        <w:footnoteReference w:id="32"/>
      </w:r>
      <w:r w:rsidR="00E313DD" w:rsidRPr="00B01F31">
        <w:rPr>
          <w:szCs w:val="24"/>
        </w:rPr>
        <w:t xml:space="preserve"> In </w:t>
      </w:r>
      <w:r w:rsidR="00E313DD" w:rsidRPr="00B01F31">
        <w:rPr>
          <w:i/>
          <w:szCs w:val="24"/>
        </w:rPr>
        <w:t>Judicial Guarante</w:t>
      </w:r>
      <w:r w:rsidRPr="00B01F31">
        <w:rPr>
          <w:i/>
          <w:szCs w:val="24"/>
        </w:rPr>
        <w:t>es in State of Emergency (Arts. 27(2), 25 and 8 </w:t>
      </w:r>
      <w:r w:rsidR="00E313DD" w:rsidRPr="00B01F31">
        <w:rPr>
          <w:i/>
          <w:szCs w:val="24"/>
        </w:rPr>
        <w:t>ACHR)</w:t>
      </w:r>
      <w:r w:rsidR="00E313DD" w:rsidRPr="00B01F31">
        <w:rPr>
          <w:szCs w:val="24"/>
        </w:rPr>
        <w:t>, the Court pointed out that</w:t>
      </w:r>
      <w:r w:rsidR="00E313DD" w:rsidRPr="00B01F31">
        <w:rPr>
          <w:i/>
          <w:szCs w:val="24"/>
        </w:rPr>
        <w:t xml:space="preserve"> </w:t>
      </w:r>
      <w:r w:rsidRPr="00B01F31">
        <w:rPr>
          <w:szCs w:val="24"/>
        </w:rPr>
        <w:t>Art. 25(1) </w:t>
      </w:r>
      <w:r w:rsidR="005C6167" w:rsidRPr="00B01F31">
        <w:rPr>
          <w:szCs w:val="24"/>
        </w:rPr>
        <w:t>ACHR</w:t>
      </w:r>
      <w:r w:rsidR="00E313DD" w:rsidRPr="00B01F31">
        <w:rPr>
          <w:szCs w:val="24"/>
        </w:rPr>
        <w:t xml:space="preserve"> </w:t>
      </w:r>
      <w:r w:rsidR="00180248" w:rsidRPr="00B01F31">
        <w:rPr>
          <w:szCs w:val="24"/>
        </w:rPr>
        <w:t>embod</w:t>
      </w:r>
      <w:r w:rsidR="00B915E5" w:rsidRPr="00B01F31">
        <w:rPr>
          <w:szCs w:val="24"/>
        </w:rPr>
        <w:t>ies the amparo action</w:t>
      </w:r>
      <w:r w:rsidR="00180248" w:rsidRPr="00B01F31">
        <w:rPr>
          <w:szCs w:val="24"/>
        </w:rPr>
        <w:t>, which offers a simple and prompt recourse designed for the pro</w:t>
      </w:r>
      <w:r w:rsidR="00B915E5" w:rsidRPr="00B01F31">
        <w:rPr>
          <w:szCs w:val="24"/>
        </w:rPr>
        <w:t>tection of all</w:t>
      </w:r>
      <w:r w:rsidR="00180248" w:rsidRPr="00B01F31">
        <w:rPr>
          <w:szCs w:val="24"/>
        </w:rPr>
        <w:t xml:space="preserve"> fundamental rights</w:t>
      </w:r>
      <w:r w:rsidR="00E313DD" w:rsidRPr="00B01F31">
        <w:rPr>
          <w:szCs w:val="24"/>
        </w:rPr>
        <w:t>.</w:t>
      </w:r>
      <w:r w:rsidR="00E313DD" w:rsidRPr="00B01F31">
        <w:rPr>
          <w:szCs w:val="24"/>
          <w:vertAlign w:val="superscript"/>
        </w:rPr>
        <w:footnoteReference w:id="33"/>
      </w:r>
      <w:r w:rsidR="002C1E95" w:rsidRPr="00B01F31">
        <w:rPr>
          <w:szCs w:val="24"/>
        </w:rPr>
        <w:t xml:space="preserve"> </w:t>
      </w:r>
      <w:r w:rsidR="00112318" w:rsidRPr="00B01F31">
        <w:rPr>
          <w:szCs w:val="24"/>
        </w:rPr>
        <w:t>The</w:t>
      </w:r>
      <w:r w:rsidR="002C1E95" w:rsidRPr="00B01F31">
        <w:rPr>
          <w:szCs w:val="24"/>
        </w:rPr>
        <w:t xml:space="preserve"> Commission</w:t>
      </w:r>
      <w:r w:rsidR="0029498C" w:rsidRPr="00B01F31">
        <w:rPr>
          <w:szCs w:val="24"/>
        </w:rPr>
        <w:t xml:space="preserve"> state</w:t>
      </w:r>
      <w:r w:rsidR="00623E69" w:rsidRPr="00B01F31">
        <w:rPr>
          <w:szCs w:val="24"/>
        </w:rPr>
        <w:t xml:space="preserve">d in </w:t>
      </w:r>
      <w:r w:rsidR="00623E69" w:rsidRPr="00B01F31">
        <w:rPr>
          <w:i/>
          <w:szCs w:val="24"/>
        </w:rPr>
        <w:t>Ricardo Urbano Poma</w:t>
      </w:r>
      <w:r w:rsidR="002912CC" w:rsidRPr="00B01F31">
        <w:rPr>
          <w:i/>
          <w:szCs w:val="24"/>
        </w:rPr>
        <w:t xml:space="preserve"> </w:t>
      </w:r>
      <w:r w:rsidR="00816B12" w:rsidRPr="00B01F31">
        <w:rPr>
          <w:i/>
          <w:szCs w:val="24"/>
        </w:rPr>
        <w:t>v. Pe</w:t>
      </w:r>
      <w:r w:rsidR="0029498C" w:rsidRPr="00B01F31">
        <w:rPr>
          <w:i/>
          <w:szCs w:val="24"/>
        </w:rPr>
        <w:t xml:space="preserve">ru </w:t>
      </w:r>
      <w:r w:rsidR="0029498C" w:rsidRPr="00B01F31">
        <w:rPr>
          <w:szCs w:val="24"/>
        </w:rPr>
        <w:t xml:space="preserve">that it is not up to it to analyze whether the amparo action is the appropriate legal </w:t>
      </w:r>
      <w:r w:rsidR="0017216D" w:rsidRPr="00B01F31">
        <w:rPr>
          <w:szCs w:val="24"/>
        </w:rPr>
        <w:t xml:space="preserve">means </w:t>
      </w:r>
      <w:r w:rsidR="0029498C" w:rsidRPr="00B01F31">
        <w:rPr>
          <w:szCs w:val="24"/>
        </w:rPr>
        <w:t>for claiming compensatory damages, and, therefore, found that the petition does not meet the admissibility requirement set forth in Art. 46(1)(a) ACHR.</w:t>
      </w:r>
      <w:r w:rsidR="002912CC" w:rsidRPr="00B01F31">
        <w:rPr>
          <w:rStyle w:val="FootnoteReference"/>
          <w:szCs w:val="24"/>
        </w:rPr>
        <w:footnoteReference w:id="34"/>
      </w:r>
      <w:r w:rsidR="002912CC" w:rsidRPr="00B01F31">
        <w:rPr>
          <w:szCs w:val="24"/>
        </w:rPr>
        <w:t xml:space="preserve"> </w:t>
      </w:r>
    </w:p>
    <w:p w:rsidR="00E633A3" w:rsidRPr="00B01F31" w:rsidRDefault="005C620D" w:rsidP="00B01F31">
      <w:pPr>
        <w:rPr>
          <w:szCs w:val="24"/>
        </w:rPr>
      </w:pPr>
      <w:r w:rsidRPr="00B01F31">
        <w:rPr>
          <w:szCs w:val="24"/>
        </w:rPr>
        <w:t>Af</w:t>
      </w:r>
      <w:r w:rsidR="005039D0" w:rsidRPr="00B01F31">
        <w:rPr>
          <w:szCs w:val="24"/>
        </w:rPr>
        <w:t>t</w:t>
      </w:r>
      <w:r w:rsidRPr="00B01F31">
        <w:rPr>
          <w:szCs w:val="24"/>
        </w:rPr>
        <w:t>er</w:t>
      </w:r>
      <w:r w:rsidR="00180248" w:rsidRPr="00B01F31">
        <w:rPr>
          <w:szCs w:val="24"/>
        </w:rPr>
        <w:t xml:space="preserve"> Mr. Manuín</w:t>
      </w:r>
      <w:r w:rsidR="001B51CB" w:rsidRPr="00B01F31">
        <w:rPr>
          <w:szCs w:val="24"/>
        </w:rPr>
        <w:t xml:space="preserve"> filed the </w:t>
      </w:r>
      <w:r w:rsidR="00862C5C" w:rsidRPr="00B01F31">
        <w:rPr>
          <w:szCs w:val="24"/>
        </w:rPr>
        <w:t>amparo action</w:t>
      </w:r>
      <w:r w:rsidR="002F73CE" w:rsidRPr="00B01F31">
        <w:rPr>
          <w:szCs w:val="24"/>
        </w:rPr>
        <w:t>, the First Federal Civil Court of Toronga</w:t>
      </w:r>
      <w:r w:rsidR="00042539" w:rsidRPr="00B01F31">
        <w:rPr>
          <w:szCs w:val="24"/>
        </w:rPr>
        <w:t xml:space="preserve"> </w:t>
      </w:r>
      <w:r w:rsidR="00E313DD" w:rsidRPr="00B01F31">
        <w:rPr>
          <w:szCs w:val="24"/>
        </w:rPr>
        <w:t>issued an injunction</w:t>
      </w:r>
      <w:r w:rsidRPr="00B01F31">
        <w:rPr>
          <w:szCs w:val="24"/>
        </w:rPr>
        <w:t xml:space="preserve"> eleven days later</w:t>
      </w:r>
      <w:r w:rsidR="00E313DD" w:rsidRPr="00B01F31">
        <w:rPr>
          <w:szCs w:val="24"/>
        </w:rPr>
        <w:t xml:space="preserve">, ordering the immediate evacuation of government personnel from the area </w:t>
      </w:r>
      <w:r w:rsidR="00816B12" w:rsidRPr="00B01F31">
        <w:rPr>
          <w:szCs w:val="24"/>
        </w:rPr>
        <w:t>surrounding</w:t>
      </w:r>
      <w:r w:rsidR="00E313DD" w:rsidRPr="00B01F31">
        <w:rPr>
          <w:szCs w:val="24"/>
        </w:rPr>
        <w:t xml:space="preserve"> the Mand</w:t>
      </w:r>
      <w:r w:rsidR="00A2386D" w:rsidRPr="00B01F31">
        <w:rPr>
          <w:szCs w:val="24"/>
        </w:rPr>
        <w:t xml:space="preserve">í </w:t>
      </w:r>
      <w:r w:rsidR="00803E42" w:rsidRPr="00B01F31">
        <w:rPr>
          <w:szCs w:val="24"/>
        </w:rPr>
        <w:t>Stream</w:t>
      </w:r>
      <w:r w:rsidR="00774C90" w:rsidRPr="00B01F31">
        <w:rPr>
          <w:szCs w:val="24"/>
        </w:rPr>
        <w:t>.</w:t>
      </w:r>
      <w:r w:rsidR="00E313DD" w:rsidRPr="00B01F31">
        <w:rPr>
          <w:szCs w:val="24"/>
          <w:vertAlign w:val="superscript"/>
        </w:rPr>
        <w:footnoteReference w:id="35"/>
      </w:r>
      <w:r w:rsidR="00E313DD" w:rsidRPr="00B01F31">
        <w:rPr>
          <w:szCs w:val="24"/>
        </w:rPr>
        <w:t xml:space="preserve"> </w:t>
      </w:r>
      <w:r w:rsidR="00EA6D24" w:rsidRPr="00B01F31">
        <w:rPr>
          <w:szCs w:val="24"/>
        </w:rPr>
        <w:t>Despite</w:t>
      </w:r>
      <w:r w:rsidR="00E313DD" w:rsidRPr="00B01F31">
        <w:rPr>
          <w:szCs w:val="24"/>
        </w:rPr>
        <w:t xml:space="preserve"> having obtained </w:t>
      </w:r>
      <w:r w:rsidR="00180248" w:rsidRPr="00B01F31">
        <w:rPr>
          <w:szCs w:val="24"/>
        </w:rPr>
        <w:t xml:space="preserve">all necessary judicial protection, </w:t>
      </w:r>
      <w:r w:rsidR="00E313DD" w:rsidRPr="00B01F31">
        <w:rPr>
          <w:szCs w:val="24"/>
        </w:rPr>
        <w:t xml:space="preserve">Mr. Manuín then filed a constitutional appeal before the Supreme Court of </w:t>
      </w:r>
      <w:r w:rsidR="00D96E65" w:rsidRPr="00B01F31">
        <w:rPr>
          <w:szCs w:val="24"/>
        </w:rPr>
        <w:t>the respondent State</w:t>
      </w:r>
      <w:r w:rsidR="00816B12" w:rsidRPr="00B01F31">
        <w:rPr>
          <w:szCs w:val="24"/>
        </w:rPr>
        <w:t xml:space="preserve">, alleging </w:t>
      </w:r>
      <w:r w:rsidR="00A2386D" w:rsidRPr="00B01F31">
        <w:rPr>
          <w:szCs w:val="24"/>
        </w:rPr>
        <w:t xml:space="preserve">error </w:t>
      </w:r>
      <w:r w:rsidR="00D96E65" w:rsidRPr="00B01F31">
        <w:rPr>
          <w:szCs w:val="24"/>
        </w:rPr>
        <w:t xml:space="preserve">of the lower court and </w:t>
      </w:r>
      <w:r w:rsidR="00816B12" w:rsidRPr="00B01F31">
        <w:rPr>
          <w:szCs w:val="24"/>
        </w:rPr>
        <w:t>claiming</w:t>
      </w:r>
      <w:r w:rsidR="00803E42" w:rsidRPr="00B01F31">
        <w:rPr>
          <w:szCs w:val="24"/>
        </w:rPr>
        <w:t xml:space="preserve"> compensatory dam</w:t>
      </w:r>
      <w:r w:rsidR="00816B12" w:rsidRPr="00B01F31">
        <w:rPr>
          <w:szCs w:val="24"/>
        </w:rPr>
        <w:t xml:space="preserve">ages. </w:t>
      </w:r>
      <w:r w:rsidR="00E313DD" w:rsidRPr="00B01F31">
        <w:rPr>
          <w:szCs w:val="24"/>
        </w:rPr>
        <w:t>The appeal was ruled inadmissible on the grounds that the amparo action serves the sole purpose of re</w:t>
      </w:r>
      <w:r w:rsidR="00EE5F2C" w:rsidRPr="00B01F31">
        <w:rPr>
          <w:szCs w:val="24"/>
        </w:rPr>
        <w:t xml:space="preserve">storing </w:t>
      </w:r>
      <w:r w:rsidR="00E313DD" w:rsidRPr="00B01F31">
        <w:rPr>
          <w:szCs w:val="24"/>
        </w:rPr>
        <w:t>fundamental right</w:t>
      </w:r>
      <w:r w:rsidR="00EE5F2C" w:rsidRPr="00B01F31">
        <w:rPr>
          <w:szCs w:val="24"/>
        </w:rPr>
        <w:t>s</w:t>
      </w:r>
      <w:r w:rsidR="00E313DD" w:rsidRPr="00B01F31">
        <w:rPr>
          <w:szCs w:val="24"/>
        </w:rPr>
        <w:t xml:space="preserve"> and not asserting compensatory claims.</w:t>
      </w:r>
      <w:r w:rsidR="00E313DD" w:rsidRPr="00B01F31">
        <w:rPr>
          <w:szCs w:val="24"/>
          <w:vertAlign w:val="superscript"/>
        </w:rPr>
        <w:footnoteReference w:id="36"/>
      </w:r>
      <w:r w:rsidR="00E313DD" w:rsidRPr="00B01F31">
        <w:rPr>
          <w:szCs w:val="24"/>
        </w:rPr>
        <w:t xml:space="preserve"> According to the laws of the respondent State, the suitable mechanism for filing compensatory claims against the gov</w:t>
      </w:r>
      <w:r w:rsidR="00E10F98" w:rsidRPr="00B01F31">
        <w:rPr>
          <w:szCs w:val="24"/>
        </w:rPr>
        <w:t xml:space="preserve">ernment is </w:t>
      </w:r>
      <w:r w:rsidR="00E313DD" w:rsidRPr="00B01F31">
        <w:rPr>
          <w:szCs w:val="24"/>
        </w:rPr>
        <w:t>adversarial administrative lit</w:t>
      </w:r>
      <w:r w:rsidR="00B172A9" w:rsidRPr="00B01F31">
        <w:rPr>
          <w:szCs w:val="24"/>
        </w:rPr>
        <w:t>igation</w:t>
      </w:r>
      <w:r w:rsidR="00E313DD" w:rsidRPr="00B01F31">
        <w:rPr>
          <w:szCs w:val="24"/>
        </w:rPr>
        <w:t>.</w:t>
      </w:r>
      <w:r w:rsidR="00E313DD" w:rsidRPr="00B01F31">
        <w:rPr>
          <w:szCs w:val="24"/>
          <w:vertAlign w:val="superscript"/>
        </w:rPr>
        <w:footnoteReference w:id="37"/>
      </w:r>
      <w:r w:rsidR="001B54BE" w:rsidRPr="00B01F31">
        <w:rPr>
          <w:szCs w:val="24"/>
        </w:rPr>
        <w:t xml:space="preserve"> </w:t>
      </w:r>
      <w:r w:rsidR="00EA6D24" w:rsidRPr="00B01F31">
        <w:rPr>
          <w:szCs w:val="24"/>
        </w:rPr>
        <w:t xml:space="preserve">Furthermore, </w:t>
      </w:r>
      <w:r w:rsidR="0021563A" w:rsidRPr="00B01F31">
        <w:rPr>
          <w:szCs w:val="24"/>
        </w:rPr>
        <w:t>even t</w:t>
      </w:r>
      <w:r w:rsidR="00803E42" w:rsidRPr="00B01F31">
        <w:rPr>
          <w:szCs w:val="24"/>
        </w:rPr>
        <w:t>hough</w:t>
      </w:r>
      <w:r w:rsidRPr="00B01F31">
        <w:rPr>
          <w:szCs w:val="24"/>
        </w:rPr>
        <w:t xml:space="preserve"> the </w:t>
      </w:r>
      <w:r w:rsidR="00DD1F35" w:rsidRPr="00B01F31">
        <w:rPr>
          <w:szCs w:val="24"/>
        </w:rPr>
        <w:t xml:space="preserve">respondent </w:t>
      </w:r>
      <w:r w:rsidRPr="00B01F31">
        <w:rPr>
          <w:color w:val="000000"/>
          <w:szCs w:val="24"/>
        </w:rPr>
        <w:t xml:space="preserve">State </w:t>
      </w:r>
      <w:r w:rsidR="005A7B28" w:rsidRPr="00B01F31">
        <w:rPr>
          <w:color w:val="000000"/>
          <w:szCs w:val="24"/>
        </w:rPr>
        <w:t>pointed out to</w:t>
      </w:r>
      <w:r w:rsidRPr="00B01F31">
        <w:rPr>
          <w:color w:val="000000"/>
          <w:szCs w:val="24"/>
        </w:rPr>
        <w:t xml:space="preserve"> Mr. </w:t>
      </w:r>
      <w:r w:rsidRPr="00B01F31">
        <w:rPr>
          <w:szCs w:val="24"/>
        </w:rPr>
        <w:t>Manuín</w:t>
      </w:r>
      <w:r w:rsidRPr="00B01F31">
        <w:rPr>
          <w:color w:val="000000"/>
          <w:szCs w:val="24"/>
        </w:rPr>
        <w:t xml:space="preserve"> </w:t>
      </w:r>
      <w:r w:rsidR="005A7B28" w:rsidRPr="00B01F31">
        <w:rPr>
          <w:color w:val="000000"/>
          <w:szCs w:val="24"/>
        </w:rPr>
        <w:t xml:space="preserve">that he </w:t>
      </w:r>
      <w:r w:rsidRPr="00B01F31">
        <w:rPr>
          <w:color w:val="000000"/>
          <w:szCs w:val="24"/>
        </w:rPr>
        <w:t>was using the wrong domestic remedy</w:t>
      </w:r>
      <w:r w:rsidR="00B172A9" w:rsidRPr="00B01F31">
        <w:rPr>
          <w:szCs w:val="24"/>
        </w:rPr>
        <w:t xml:space="preserve">, </w:t>
      </w:r>
      <w:r w:rsidR="005A7B28" w:rsidRPr="00B01F31">
        <w:rPr>
          <w:szCs w:val="24"/>
        </w:rPr>
        <w:t>the latter</w:t>
      </w:r>
      <w:r w:rsidR="00B172A9" w:rsidRPr="00B01F31">
        <w:rPr>
          <w:szCs w:val="24"/>
        </w:rPr>
        <w:t xml:space="preserve"> willingly chose</w:t>
      </w:r>
      <w:r w:rsidR="00E10F98" w:rsidRPr="00B01F31">
        <w:rPr>
          <w:szCs w:val="24"/>
        </w:rPr>
        <w:t xml:space="preserve"> to</w:t>
      </w:r>
      <w:r w:rsidR="00803E42" w:rsidRPr="00B01F31">
        <w:rPr>
          <w:szCs w:val="24"/>
        </w:rPr>
        <w:t xml:space="preserve"> </w:t>
      </w:r>
      <w:r w:rsidR="009C4788" w:rsidRPr="00B01F31">
        <w:rPr>
          <w:szCs w:val="24"/>
        </w:rPr>
        <w:t>disregard</w:t>
      </w:r>
      <w:r w:rsidR="00803E42" w:rsidRPr="00B01F31">
        <w:rPr>
          <w:szCs w:val="24"/>
        </w:rPr>
        <w:t xml:space="preserve"> the</w:t>
      </w:r>
      <w:r w:rsidR="00B172A9" w:rsidRPr="00B01F31">
        <w:rPr>
          <w:szCs w:val="24"/>
        </w:rPr>
        <w:t xml:space="preserve"> available </w:t>
      </w:r>
      <w:r w:rsidR="00803E42" w:rsidRPr="00B01F31">
        <w:rPr>
          <w:szCs w:val="24"/>
        </w:rPr>
        <w:t>legal ven</w:t>
      </w:r>
      <w:r w:rsidR="001B51CB" w:rsidRPr="00B01F31">
        <w:rPr>
          <w:szCs w:val="24"/>
        </w:rPr>
        <w:t>ues and</w:t>
      </w:r>
      <w:r w:rsidR="00803E42" w:rsidRPr="00B01F31">
        <w:rPr>
          <w:szCs w:val="24"/>
        </w:rPr>
        <w:t xml:space="preserve"> </w:t>
      </w:r>
      <w:r w:rsidR="00B172A9" w:rsidRPr="00B01F31">
        <w:rPr>
          <w:szCs w:val="24"/>
        </w:rPr>
        <w:t>fil</w:t>
      </w:r>
      <w:r w:rsidR="001B51CB" w:rsidRPr="00B01F31">
        <w:rPr>
          <w:szCs w:val="24"/>
        </w:rPr>
        <w:t>ed</w:t>
      </w:r>
      <w:r w:rsidR="00B172A9" w:rsidRPr="00B01F31">
        <w:rPr>
          <w:szCs w:val="24"/>
        </w:rPr>
        <w:t xml:space="preserve"> a petition wi</w:t>
      </w:r>
      <w:r w:rsidR="005A7B28" w:rsidRPr="00B01F31">
        <w:rPr>
          <w:szCs w:val="24"/>
        </w:rPr>
        <w:t>th the Commission</w:t>
      </w:r>
      <w:r w:rsidR="001B51CB" w:rsidRPr="00B01F31">
        <w:rPr>
          <w:szCs w:val="24"/>
        </w:rPr>
        <w:t xml:space="preserve"> instead</w:t>
      </w:r>
      <w:r w:rsidR="0039352B" w:rsidRPr="00B01F31">
        <w:rPr>
          <w:szCs w:val="24"/>
        </w:rPr>
        <w:t xml:space="preserve">. </w:t>
      </w:r>
      <w:r w:rsidR="00973ED9" w:rsidRPr="00B01F31">
        <w:rPr>
          <w:szCs w:val="24"/>
        </w:rPr>
        <w:t>Additionally</w:t>
      </w:r>
      <w:r w:rsidR="00E633A3" w:rsidRPr="00B01F31">
        <w:rPr>
          <w:szCs w:val="24"/>
        </w:rPr>
        <w:t xml:space="preserve">, as </w:t>
      </w:r>
      <w:r w:rsidR="00DE59A2" w:rsidRPr="00B01F31">
        <w:rPr>
          <w:szCs w:val="24"/>
        </w:rPr>
        <w:t xml:space="preserve">stated in </w:t>
      </w:r>
      <w:r w:rsidR="00E633A3" w:rsidRPr="00B01F31">
        <w:rPr>
          <w:i/>
          <w:iCs/>
          <w:szCs w:val="24"/>
        </w:rPr>
        <w:t>Saramaka People v</w:t>
      </w:r>
      <w:r w:rsidR="0017216D" w:rsidRPr="00B01F31">
        <w:rPr>
          <w:i/>
          <w:iCs/>
          <w:szCs w:val="24"/>
        </w:rPr>
        <w:t>.</w:t>
      </w:r>
      <w:r w:rsidR="00E633A3" w:rsidRPr="00B01F31">
        <w:rPr>
          <w:i/>
          <w:iCs/>
          <w:szCs w:val="24"/>
        </w:rPr>
        <w:t xml:space="preserve"> Suriname</w:t>
      </w:r>
      <w:r w:rsidR="00E633A3" w:rsidRPr="00B01F31">
        <w:rPr>
          <w:bCs/>
          <w:szCs w:val="24"/>
        </w:rPr>
        <w:t>,</w:t>
      </w:r>
      <w:r w:rsidR="00E633A3" w:rsidRPr="00B01F31">
        <w:rPr>
          <w:szCs w:val="24"/>
        </w:rPr>
        <w:t xml:space="preserve"> the fact that the petition lodged </w:t>
      </w:r>
      <w:r w:rsidR="00E633A3" w:rsidRPr="00B01F31">
        <w:rPr>
          <w:szCs w:val="24"/>
        </w:rPr>
        <w:lastRenderedPageBreak/>
        <w:t xml:space="preserve">by </w:t>
      </w:r>
      <w:r w:rsidR="00E633A3" w:rsidRPr="00B01F31">
        <w:rPr>
          <w:bCs/>
          <w:szCs w:val="24"/>
        </w:rPr>
        <w:t>Mr. Manuín</w:t>
      </w:r>
      <w:r w:rsidR="00E633A3" w:rsidRPr="00B01F31">
        <w:rPr>
          <w:szCs w:val="24"/>
        </w:rPr>
        <w:t xml:space="preserve"> did not h</w:t>
      </w:r>
      <w:r w:rsidR="0090797B" w:rsidRPr="00B01F31">
        <w:rPr>
          <w:szCs w:val="24"/>
        </w:rPr>
        <w:t>ave a favorable outcome for him</w:t>
      </w:r>
      <w:r w:rsidR="00E633A3" w:rsidRPr="00B01F31">
        <w:rPr>
          <w:szCs w:val="24"/>
        </w:rPr>
        <w:t xml:space="preserve"> does not </w:t>
      </w:r>
      <w:r w:rsidR="004871BF" w:rsidRPr="00B01F31">
        <w:rPr>
          <w:szCs w:val="24"/>
        </w:rPr>
        <w:t xml:space="preserve">in and of itself denote either </w:t>
      </w:r>
      <w:r w:rsidR="00E5768B">
        <w:rPr>
          <w:szCs w:val="24"/>
        </w:rPr>
        <w:t xml:space="preserve">lack of domestic remedies or an </w:t>
      </w:r>
      <w:r w:rsidR="00E5768B" w:rsidRPr="00B01F31">
        <w:rPr>
          <w:szCs w:val="24"/>
        </w:rPr>
        <w:t>exhaustion</w:t>
      </w:r>
      <w:r w:rsidR="00E633A3" w:rsidRPr="00B01F31">
        <w:rPr>
          <w:szCs w:val="24"/>
        </w:rPr>
        <w:t xml:space="preserve"> thereof.</w:t>
      </w:r>
      <w:r w:rsidR="00E633A3" w:rsidRPr="00B01F31">
        <w:rPr>
          <w:szCs w:val="24"/>
          <w:vertAlign w:val="superscript"/>
        </w:rPr>
        <w:footnoteReference w:id="38"/>
      </w:r>
      <w:r w:rsidR="005F27AE" w:rsidRPr="00B01F31">
        <w:rPr>
          <w:szCs w:val="24"/>
        </w:rPr>
        <w:t xml:space="preserve"> </w:t>
      </w:r>
    </w:p>
    <w:p w:rsidR="00E633A3" w:rsidRPr="00B01F31" w:rsidRDefault="00E633A3" w:rsidP="00B01F31">
      <w:pPr>
        <w:rPr>
          <w:szCs w:val="24"/>
        </w:rPr>
      </w:pPr>
      <w:bookmarkStart w:id="14" w:name="_Toc318191306"/>
      <w:bookmarkStart w:id="15" w:name="_Toc317977742"/>
      <w:bookmarkStart w:id="16" w:name="_Toc317977743"/>
      <w:r w:rsidRPr="00B01F31">
        <w:rPr>
          <w:szCs w:val="24"/>
        </w:rPr>
        <w:t xml:space="preserve">Only under </w:t>
      </w:r>
      <w:r w:rsidR="00D01F52" w:rsidRPr="00B01F31">
        <w:rPr>
          <w:szCs w:val="24"/>
        </w:rPr>
        <w:t xml:space="preserve">the exceptional circumstances </w:t>
      </w:r>
      <w:r w:rsidR="00973ED9" w:rsidRPr="00B01F31">
        <w:rPr>
          <w:szCs w:val="24"/>
        </w:rPr>
        <w:t>of</w:t>
      </w:r>
      <w:r w:rsidR="00EF4CED" w:rsidRPr="00B01F31">
        <w:rPr>
          <w:iCs/>
          <w:szCs w:val="24"/>
        </w:rPr>
        <w:t xml:space="preserve"> Art. 46(2) </w:t>
      </w:r>
      <w:r w:rsidR="00075D8B" w:rsidRPr="00B01F31">
        <w:rPr>
          <w:iCs/>
          <w:szCs w:val="24"/>
        </w:rPr>
        <w:t xml:space="preserve">ACHR, </w:t>
      </w:r>
      <w:r w:rsidR="00736350" w:rsidRPr="00B01F31">
        <w:rPr>
          <w:iCs/>
          <w:szCs w:val="24"/>
        </w:rPr>
        <w:t>a</w:t>
      </w:r>
      <w:r w:rsidRPr="00B01F31">
        <w:rPr>
          <w:iCs/>
          <w:szCs w:val="24"/>
        </w:rPr>
        <w:t>pplicants</w:t>
      </w:r>
      <w:r w:rsidR="00075D8B" w:rsidRPr="00B01F31">
        <w:rPr>
          <w:iCs/>
          <w:szCs w:val="24"/>
        </w:rPr>
        <w:t xml:space="preserve"> are</w:t>
      </w:r>
      <w:r w:rsidRPr="00B01F31">
        <w:rPr>
          <w:iCs/>
          <w:szCs w:val="24"/>
        </w:rPr>
        <w:t xml:space="preserve"> allowed not to exhaust all domestic remedies.</w:t>
      </w:r>
      <w:r w:rsidRPr="00B01F31">
        <w:rPr>
          <w:szCs w:val="24"/>
          <w:vertAlign w:val="superscript"/>
        </w:rPr>
        <w:footnoteReference w:id="39"/>
      </w:r>
      <w:r w:rsidRPr="00B01F31">
        <w:rPr>
          <w:iCs/>
          <w:szCs w:val="24"/>
        </w:rPr>
        <w:t xml:space="preserve"> </w:t>
      </w:r>
      <w:r w:rsidR="00973ED9" w:rsidRPr="00B01F31">
        <w:rPr>
          <w:iCs/>
          <w:szCs w:val="24"/>
        </w:rPr>
        <w:t xml:space="preserve">In the instant case, the respondent State’s domestic legislation afforded </w:t>
      </w:r>
      <w:r w:rsidR="00973ED9" w:rsidRPr="00B01F31">
        <w:rPr>
          <w:bCs/>
          <w:iCs/>
          <w:szCs w:val="24"/>
        </w:rPr>
        <w:t>Mr. Manuín</w:t>
      </w:r>
      <w:r w:rsidR="00973ED9" w:rsidRPr="00B01F31">
        <w:rPr>
          <w:iCs/>
          <w:szCs w:val="24"/>
        </w:rPr>
        <w:t xml:space="preserve"> all means to file an amparo action and </w:t>
      </w:r>
      <w:r w:rsidR="0039352B" w:rsidRPr="00B01F31">
        <w:rPr>
          <w:iCs/>
          <w:szCs w:val="24"/>
        </w:rPr>
        <w:t xml:space="preserve">an </w:t>
      </w:r>
      <w:r w:rsidR="00973ED9" w:rsidRPr="00B01F31">
        <w:rPr>
          <w:iCs/>
          <w:szCs w:val="24"/>
        </w:rPr>
        <w:t>adversarial administrative litigation, and, therefore, the exceptional circumstances of Art. 46(2) ACHR do not apply</w:t>
      </w:r>
      <w:r w:rsidR="00AD4B32" w:rsidRPr="00B01F31">
        <w:rPr>
          <w:iCs/>
          <w:szCs w:val="24"/>
        </w:rPr>
        <w:t>.</w:t>
      </w:r>
      <w:r w:rsidR="00443CFB" w:rsidRPr="00B01F31">
        <w:rPr>
          <w:rStyle w:val="FootnoteReference"/>
          <w:szCs w:val="24"/>
        </w:rPr>
        <w:footnoteReference w:id="40"/>
      </w:r>
    </w:p>
    <w:p w:rsidR="00E633A3" w:rsidRPr="00B01F31" w:rsidRDefault="00C12147" w:rsidP="00B01F31">
      <w:pPr>
        <w:rPr>
          <w:iCs/>
          <w:szCs w:val="24"/>
        </w:rPr>
      </w:pPr>
      <w:r w:rsidRPr="00B01F31">
        <w:rPr>
          <w:iCs/>
          <w:szCs w:val="24"/>
        </w:rPr>
        <w:t>Consequently,</w:t>
      </w:r>
      <w:r w:rsidR="00E633A3" w:rsidRPr="00B01F31">
        <w:rPr>
          <w:iCs/>
          <w:szCs w:val="24"/>
        </w:rPr>
        <w:t xml:space="preserve"> the </w:t>
      </w:r>
      <w:r w:rsidR="00973ED9" w:rsidRPr="00B01F31">
        <w:rPr>
          <w:iCs/>
          <w:szCs w:val="24"/>
        </w:rPr>
        <w:t xml:space="preserve">respondent </w:t>
      </w:r>
      <w:r w:rsidR="00E633A3" w:rsidRPr="00B01F31">
        <w:rPr>
          <w:iCs/>
          <w:szCs w:val="24"/>
        </w:rPr>
        <w:t xml:space="preserve">State requests the Court to declare </w:t>
      </w:r>
      <w:r w:rsidR="00E633A3" w:rsidRPr="00B01F31">
        <w:rPr>
          <w:bCs/>
          <w:iCs/>
          <w:szCs w:val="24"/>
        </w:rPr>
        <w:t>Mr. Manuín</w:t>
      </w:r>
      <w:r w:rsidR="00E633A3" w:rsidRPr="00B01F31">
        <w:rPr>
          <w:iCs/>
          <w:szCs w:val="24"/>
        </w:rPr>
        <w:t xml:space="preserve">’s claim inadmissible since he did not exhaust all </w:t>
      </w:r>
      <w:r w:rsidR="0051739F" w:rsidRPr="00B01F31">
        <w:rPr>
          <w:iCs/>
          <w:szCs w:val="24"/>
        </w:rPr>
        <w:t xml:space="preserve">available </w:t>
      </w:r>
      <w:r w:rsidR="00803E42" w:rsidRPr="00B01F31">
        <w:rPr>
          <w:iCs/>
          <w:szCs w:val="24"/>
        </w:rPr>
        <w:t>domestic remedies provided by the respondent State.</w:t>
      </w:r>
    </w:p>
    <w:p w:rsidR="00CC44D9" w:rsidRPr="00B01F31" w:rsidRDefault="00CC44D9" w:rsidP="00B01F31">
      <w:pPr>
        <w:pStyle w:val="Heading2"/>
        <w:widowControl/>
        <w:tabs>
          <w:tab w:val="clear" w:pos="576"/>
          <w:tab w:val="num" w:pos="0"/>
        </w:tabs>
        <w:spacing w:before="0" w:line="480" w:lineRule="auto"/>
        <w:ind w:left="0" w:firstLine="0"/>
        <w:rPr>
          <w:b/>
          <w:bCs/>
          <w:sz w:val="24"/>
          <w:szCs w:val="24"/>
        </w:rPr>
      </w:pPr>
      <w:bookmarkStart w:id="17" w:name="_Toc318851433"/>
      <w:bookmarkStart w:id="18" w:name="_Toc320527164"/>
      <w:bookmarkStart w:id="19" w:name="_Toc320535466"/>
      <w:bookmarkStart w:id="20" w:name="_Toc320823094"/>
      <w:bookmarkEnd w:id="14"/>
      <w:r w:rsidRPr="00B01F31">
        <w:rPr>
          <w:b/>
          <w:bCs/>
          <w:sz w:val="24"/>
          <w:szCs w:val="24"/>
        </w:rPr>
        <w:t>Alleged Violations</w:t>
      </w:r>
      <w:bookmarkEnd w:id="17"/>
      <w:bookmarkEnd w:id="18"/>
      <w:bookmarkEnd w:id="19"/>
      <w:bookmarkEnd w:id="20"/>
      <w:r w:rsidRPr="00B01F31">
        <w:rPr>
          <w:b/>
          <w:bCs/>
          <w:sz w:val="24"/>
          <w:szCs w:val="24"/>
        </w:rPr>
        <w:t xml:space="preserve"> </w:t>
      </w:r>
    </w:p>
    <w:p w:rsidR="00CC44D9" w:rsidRPr="00B01F31" w:rsidRDefault="00CC44D9" w:rsidP="00B01F31">
      <w:pPr>
        <w:pStyle w:val="Heading3"/>
        <w:widowControl/>
        <w:spacing w:before="0" w:line="480" w:lineRule="auto"/>
        <w:rPr>
          <w:b/>
          <w:sz w:val="24"/>
          <w:szCs w:val="24"/>
        </w:rPr>
      </w:pPr>
      <w:bookmarkStart w:id="21" w:name="_Toc320823095"/>
      <w:bookmarkStart w:id="22" w:name="_Toc320527165"/>
      <w:bookmarkStart w:id="23" w:name="_Toc320535467"/>
      <w:bookmarkStart w:id="24" w:name="_Toc317887464"/>
      <w:bookmarkStart w:id="25" w:name="_Toc318191307"/>
      <w:bookmarkStart w:id="26" w:name="_Toc318851434"/>
      <w:r w:rsidRPr="00B01F31">
        <w:rPr>
          <w:b/>
          <w:sz w:val="24"/>
          <w:szCs w:val="24"/>
        </w:rPr>
        <w:t>The respondent State fulfilled all its legal obligations with regard to</w:t>
      </w:r>
      <w:r w:rsidRPr="00B01F31">
        <w:rPr>
          <w:b/>
          <w:bCs/>
          <w:sz w:val="24"/>
          <w:szCs w:val="24"/>
        </w:rPr>
        <w:t xml:space="preserve"> Edmundo Ca</w:t>
      </w:r>
      <w:r w:rsidR="00C1545E" w:rsidRPr="00B01F31">
        <w:rPr>
          <w:b/>
          <w:bCs/>
          <w:sz w:val="24"/>
          <w:szCs w:val="24"/>
        </w:rPr>
        <w:t>mana</w:t>
      </w:r>
      <w:r w:rsidR="00415EE9" w:rsidRPr="00B01F31">
        <w:rPr>
          <w:b/>
          <w:bCs/>
          <w:sz w:val="24"/>
          <w:szCs w:val="24"/>
        </w:rPr>
        <w:t>,</w:t>
      </w:r>
      <w:r w:rsidR="00C1545E" w:rsidRPr="00B01F31">
        <w:rPr>
          <w:b/>
          <w:bCs/>
          <w:sz w:val="24"/>
          <w:szCs w:val="24"/>
        </w:rPr>
        <w:t xml:space="preserve"> his family </w:t>
      </w:r>
      <w:r w:rsidRPr="00B01F31">
        <w:rPr>
          <w:b/>
          <w:bCs/>
          <w:sz w:val="24"/>
          <w:szCs w:val="24"/>
        </w:rPr>
        <w:t>and Lucía Camana Osorio</w:t>
      </w:r>
      <w:bookmarkEnd w:id="21"/>
      <w:r w:rsidRPr="00B01F31">
        <w:rPr>
          <w:b/>
          <w:bCs/>
          <w:sz w:val="24"/>
          <w:szCs w:val="24"/>
        </w:rPr>
        <w:t xml:space="preserve"> </w:t>
      </w:r>
      <w:bookmarkEnd w:id="22"/>
      <w:bookmarkEnd w:id="23"/>
    </w:p>
    <w:p w:rsidR="00CC44D9" w:rsidRPr="00B01F31" w:rsidRDefault="00CC44D9" w:rsidP="00B01F31">
      <w:pPr>
        <w:pStyle w:val="Heading4"/>
        <w:tabs>
          <w:tab w:val="clear" w:pos="864"/>
          <w:tab w:val="num" w:pos="709"/>
        </w:tabs>
        <w:spacing w:line="480" w:lineRule="auto"/>
        <w:ind w:left="709" w:hanging="709"/>
        <w:rPr>
          <w:b/>
          <w:sz w:val="24"/>
          <w:szCs w:val="24"/>
        </w:rPr>
      </w:pPr>
      <w:bookmarkStart w:id="27" w:name="_Toc320535468"/>
      <w:bookmarkStart w:id="28" w:name="_Toc320823096"/>
      <w:r w:rsidRPr="00B01F31">
        <w:rPr>
          <w:b/>
          <w:sz w:val="24"/>
          <w:szCs w:val="24"/>
        </w:rPr>
        <w:t>The respondent State fulfilled all its legal obligations with regard to the right to a fair trial in accordance with Art. 8,</w:t>
      </w:r>
      <w:bookmarkEnd w:id="24"/>
      <w:bookmarkEnd w:id="25"/>
      <w:bookmarkEnd w:id="26"/>
      <w:r w:rsidRPr="00B01F31">
        <w:rPr>
          <w:b/>
          <w:sz w:val="24"/>
          <w:szCs w:val="24"/>
        </w:rPr>
        <w:t xml:space="preserve"> Art. 1(1) and </w:t>
      </w:r>
      <w:r w:rsidR="00415EE9" w:rsidRPr="00B01F31">
        <w:rPr>
          <w:b/>
          <w:sz w:val="24"/>
          <w:szCs w:val="24"/>
        </w:rPr>
        <w:t xml:space="preserve">Art. </w:t>
      </w:r>
      <w:r w:rsidRPr="00B01F31">
        <w:rPr>
          <w:b/>
          <w:sz w:val="24"/>
          <w:szCs w:val="24"/>
        </w:rPr>
        <w:t>2 ACHR</w:t>
      </w:r>
      <w:bookmarkEnd w:id="27"/>
      <w:bookmarkEnd w:id="28"/>
    </w:p>
    <w:p w:rsidR="00CC44D9" w:rsidRPr="00B01F31" w:rsidRDefault="00CC44D9" w:rsidP="00B01F31">
      <w:pPr>
        <w:rPr>
          <w:color w:val="000000"/>
          <w:szCs w:val="24"/>
        </w:rPr>
      </w:pPr>
      <w:bookmarkStart w:id="29" w:name="_Toc318191310"/>
      <w:bookmarkStart w:id="30" w:name="_Toc318851435"/>
      <w:bookmarkStart w:id="31" w:name="_Toc317781822"/>
      <w:r w:rsidRPr="00B01F31">
        <w:rPr>
          <w:color w:val="000000"/>
          <w:szCs w:val="24"/>
        </w:rPr>
        <w:t xml:space="preserve">The respondent State respected the Applicant’s right to a fair trial under Art. 8, Art. 1(1) and Art. 2 ACHR by ensuring effective access to justice and the right to present its case without obstacles. </w:t>
      </w:r>
    </w:p>
    <w:p w:rsidR="00CC44D9" w:rsidRPr="00B01F31" w:rsidRDefault="00CC44D9" w:rsidP="00B01F31">
      <w:pPr>
        <w:rPr>
          <w:color w:val="000000"/>
          <w:szCs w:val="24"/>
        </w:rPr>
      </w:pPr>
      <w:r w:rsidRPr="00B01F31">
        <w:rPr>
          <w:color w:val="000000"/>
          <w:szCs w:val="24"/>
        </w:rPr>
        <w:t>Art. 8 ACHR requires a fair hearing for everyone</w:t>
      </w:r>
      <w:r w:rsidR="00946B8C" w:rsidRPr="00B01F31">
        <w:rPr>
          <w:color w:val="000000"/>
          <w:szCs w:val="24"/>
        </w:rPr>
        <w:t xml:space="preserve"> </w:t>
      </w:r>
      <w:r w:rsidRPr="00B01F31">
        <w:rPr>
          <w:color w:val="000000"/>
          <w:szCs w:val="24"/>
        </w:rPr>
        <w:t xml:space="preserve">by a competent, independent, and impartial tribunal, previously established by law. </w:t>
      </w:r>
      <w:r w:rsidR="00946B8C" w:rsidRPr="00B01F31">
        <w:rPr>
          <w:color w:val="000000"/>
          <w:szCs w:val="24"/>
        </w:rPr>
        <w:t xml:space="preserve">Such hearing must be in compliance with due guarantees and proceed in a timely manner. </w:t>
      </w:r>
      <w:r w:rsidRPr="00B01F31">
        <w:rPr>
          <w:color w:val="000000"/>
          <w:szCs w:val="24"/>
        </w:rPr>
        <w:t>Further, Art</w:t>
      </w:r>
      <w:r w:rsidR="00946B8C" w:rsidRPr="00B01F31">
        <w:rPr>
          <w:color w:val="000000"/>
          <w:szCs w:val="24"/>
        </w:rPr>
        <w:t>. 8 ACHR</w:t>
      </w:r>
      <w:r w:rsidRPr="00B01F31">
        <w:rPr>
          <w:color w:val="000000"/>
          <w:szCs w:val="24"/>
        </w:rPr>
        <w:t xml:space="preserve"> obliges states to create agencies and </w:t>
      </w:r>
      <w:r w:rsidRPr="00B01F31">
        <w:rPr>
          <w:color w:val="000000"/>
          <w:szCs w:val="24"/>
        </w:rPr>
        <w:lastRenderedPageBreak/>
        <w:t xml:space="preserve">proceedings </w:t>
      </w:r>
      <w:r w:rsidR="00946B8C" w:rsidRPr="00B01F31">
        <w:rPr>
          <w:color w:val="000000"/>
          <w:szCs w:val="24"/>
        </w:rPr>
        <w:t>respecting the</w:t>
      </w:r>
      <w:r w:rsidRPr="00B01F31">
        <w:rPr>
          <w:color w:val="000000"/>
          <w:szCs w:val="24"/>
        </w:rPr>
        <w:t xml:space="preserve"> due process</w:t>
      </w:r>
      <w:r w:rsidR="00946B8C" w:rsidRPr="00B01F31">
        <w:rPr>
          <w:color w:val="000000"/>
          <w:szCs w:val="24"/>
        </w:rPr>
        <w:t xml:space="preserve"> requirements</w:t>
      </w:r>
      <w:r w:rsidRPr="00B01F31">
        <w:rPr>
          <w:color w:val="000000"/>
          <w:szCs w:val="24"/>
        </w:rPr>
        <w:t xml:space="preserve">, as well as to provide individuals with the opportunity of accessing </w:t>
      </w:r>
      <w:r w:rsidR="00946B8C" w:rsidRPr="00B01F31">
        <w:rPr>
          <w:color w:val="000000"/>
          <w:szCs w:val="24"/>
        </w:rPr>
        <w:t>these agencies and proceedings</w:t>
      </w:r>
      <w:r w:rsidRPr="00B01F31">
        <w:rPr>
          <w:color w:val="000000"/>
          <w:szCs w:val="24"/>
        </w:rPr>
        <w:t xml:space="preserve">. </w:t>
      </w:r>
      <w:r w:rsidR="000E63BC" w:rsidRPr="00B01F31">
        <w:rPr>
          <w:color w:val="000000"/>
          <w:szCs w:val="24"/>
        </w:rPr>
        <w:t>A</w:t>
      </w:r>
      <w:r w:rsidRPr="00B01F31">
        <w:rPr>
          <w:color w:val="000000"/>
          <w:szCs w:val="24"/>
        </w:rPr>
        <w:t xml:space="preserve"> court must have a real opportunity to exercise the judicial authority assigned to it.</w:t>
      </w:r>
      <w:r w:rsidRPr="00B01F31">
        <w:rPr>
          <w:color w:val="000000"/>
          <w:szCs w:val="24"/>
          <w:vertAlign w:val="superscript"/>
        </w:rPr>
        <w:footnoteReference w:id="41"/>
      </w:r>
      <w:r w:rsidRPr="00B01F31">
        <w:rPr>
          <w:color w:val="000000"/>
          <w:szCs w:val="24"/>
        </w:rPr>
        <w:t xml:space="preserve"> The right to a hearing requires that </w:t>
      </w:r>
      <w:r w:rsidR="00946B8C" w:rsidRPr="00B01F31">
        <w:rPr>
          <w:color w:val="000000"/>
          <w:szCs w:val="24"/>
        </w:rPr>
        <w:t xml:space="preserve">judicial decisions are issued by </w:t>
      </w:r>
      <w:r w:rsidRPr="00B01F31">
        <w:rPr>
          <w:color w:val="000000"/>
          <w:szCs w:val="24"/>
        </w:rPr>
        <w:t>a competent, independent and impartial court.</w:t>
      </w:r>
      <w:r w:rsidRPr="00B01F31">
        <w:rPr>
          <w:color w:val="000000"/>
          <w:szCs w:val="24"/>
          <w:vertAlign w:val="superscript"/>
        </w:rPr>
        <w:footnoteReference w:id="42"/>
      </w:r>
      <w:r w:rsidRPr="00B01F31">
        <w:rPr>
          <w:color w:val="000000"/>
          <w:szCs w:val="24"/>
        </w:rPr>
        <w:t xml:space="preserve"> Parties must </w:t>
      </w:r>
      <w:r w:rsidR="00946B8C" w:rsidRPr="00B01F31">
        <w:rPr>
          <w:color w:val="000000"/>
          <w:szCs w:val="24"/>
        </w:rPr>
        <w:t xml:space="preserve">be able to pursue </w:t>
      </w:r>
      <w:r w:rsidRPr="00B01F31">
        <w:rPr>
          <w:color w:val="000000"/>
          <w:szCs w:val="24"/>
        </w:rPr>
        <w:t>their cases without obstacles.</w:t>
      </w:r>
      <w:r w:rsidRPr="00B01F31">
        <w:rPr>
          <w:color w:val="000000"/>
          <w:szCs w:val="24"/>
          <w:vertAlign w:val="superscript"/>
        </w:rPr>
        <w:footnoteReference w:id="43"/>
      </w:r>
      <w:r w:rsidRPr="00B01F31">
        <w:rPr>
          <w:color w:val="000000"/>
          <w:szCs w:val="24"/>
        </w:rPr>
        <w:t xml:space="preserve"> Therefore, states are obliged to launch an impartial investigation into</w:t>
      </w:r>
      <w:r w:rsidRPr="00B01F31">
        <w:rPr>
          <w:i/>
          <w:color w:val="000000"/>
          <w:szCs w:val="24"/>
        </w:rPr>
        <w:t xml:space="preserve"> </w:t>
      </w:r>
      <w:r w:rsidRPr="00B01F31">
        <w:rPr>
          <w:color w:val="000000"/>
          <w:szCs w:val="24"/>
        </w:rPr>
        <w:t xml:space="preserve">alleged violations as soon as </w:t>
      </w:r>
      <w:r w:rsidR="00A372EC" w:rsidRPr="00B01F31">
        <w:rPr>
          <w:color w:val="000000"/>
          <w:szCs w:val="24"/>
        </w:rPr>
        <w:t>states know thereof</w:t>
      </w:r>
      <w:r w:rsidRPr="00B01F31">
        <w:rPr>
          <w:color w:val="000000"/>
          <w:szCs w:val="24"/>
        </w:rPr>
        <w:t>.</w:t>
      </w:r>
      <w:r w:rsidRPr="00B01F31">
        <w:rPr>
          <w:color w:val="000000"/>
          <w:szCs w:val="24"/>
          <w:vertAlign w:val="superscript"/>
        </w:rPr>
        <w:footnoteReference w:id="44"/>
      </w:r>
      <w:r w:rsidRPr="00B01F31">
        <w:rPr>
          <w:color w:val="000000"/>
          <w:szCs w:val="24"/>
        </w:rPr>
        <w:t xml:space="preserve"> The main question </w:t>
      </w:r>
      <w:r w:rsidR="00946B8C" w:rsidRPr="00B01F31">
        <w:rPr>
          <w:color w:val="000000"/>
          <w:szCs w:val="24"/>
        </w:rPr>
        <w:t xml:space="preserve">is </w:t>
      </w:r>
      <w:r w:rsidRPr="00B01F31">
        <w:rPr>
          <w:color w:val="000000"/>
          <w:szCs w:val="24"/>
        </w:rPr>
        <w:t>whether the decision of the domestic courts complies with the principles of due process of law.</w:t>
      </w:r>
      <w:r w:rsidRPr="00B01F31">
        <w:rPr>
          <w:color w:val="000000"/>
          <w:szCs w:val="24"/>
          <w:vertAlign w:val="superscript"/>
        </w:rPr>
        <w:footnoteReference w:id="45"/>
      </w:r>
    </w:p>
    <w:p w:rsidR="00C81F6F" w:rsidRDefault="00CC44D9" w:rsidP="00B01F31">
      <w:pPr>
        <w:rPr>
          <w:color w:val="000000"/>
          <w:szCs w:val="24"/>
        </w:rPr>
      </w:pPr>
      <w:r w:rsidRPr="00B01F31">
        <w:rPr>
          <w:color w:val="000000"/>
          <w:szCs w:val="24"/>
        </w:rPr>
        <w:t>In the present case, the Camana Osorio’s next of kin had full and unadulterated access to the respondent State’s Federal Courts and Civil divisions.</w:t>
      </w:r>
      <w:r w:rsidRPr="00B01F31">
        <w:rPr>
          <w:rStyle w:val="FootnoteReference"/>
          <w:color w:val="000000"/>
          <w:szCs w:val="24"/>
        </w:rPr>
        <w:footnoteReference w:id="46"/>
      </w:r>
      <w:r w:rsidRPr="00B01F31">
        <w:rPr>
          <w:color w:val="000000"/>
          <w:szCs w:val="24"/>
        </w:rPr>
        <w:t xml:space="preserve"> There is no evidence that the courts of the respondent State caused difficulties for the Applicant to advance </w:t>
      </w:r>
      <w:r w:rsidR="007665CF" w:rsidRPr="00B01F31">
        <w:rPr>
          <w:color w:val="000000"/>
          <w:szCs w:val="24"/>
        </w:rPr>
        <w:t xml:space="preserve">its </w:t>
      </w:r>
      <w:r w:rsidRPr="00B01F31">
        <w:rPr>
          <w:color w:val="000000"/>
          <w:szCs w:val="24"/>
        </w:rPr>
        <w:t xml:space="preserve">claims. </w:t>
      </w:r>
      <w:r w:rsidR="007665CF" w:rsidRPr="00B01F31">
        <w:rPr>
          <w:color w:val="000000"/>
          <w:szCs w:val="24"/>
        </w:rPr>
        <w:t>On May 3, 2010, the respondent State’s Supreme Court ruled the criminal charges inadmissible, while at the same time reversing the decision in the civil matter and ruling in favor of the Applicant. The Applicant pursued its criminal complaint and civil actions</w:t>
      </w:r>
      <w:r w:rsidR="000E63BC" w:rsidRPr="00B01F31">
        <w:rPr>
          <w:color w:val="000000"/>
          <w:szCs w:val="24"/>
        </w:rPr>
        <w:t>,</w:t>
      </w:r>
      <w:r w:rsidR="007665CF" w:rsidRPr="00B01F31">
        <w:rPr>
          <w:color w:val="000000"/>
          <w:szCs w:val="24"/>
        </w:rPr>
        <w:t xml:space="preserve"> </w:t>
      </w:r>
      <w:r w:rsidR="000E63BC" w:rsidRPr="00B01F31">
        <w:rPr>
          <w:color w:val="000000"/>
          <w:szCs w:val="24"/>
        </w:rPr>
        <w:t xml:space="preserve">without any restrictions or obstructions, </w:t>
      </w:r>
      <w:r w:rsidR="007665CF" w:rsidRPr="00B01F31">
        <w:rPr>
          <w:color w:val="000000"/>
          <w:szCs w:val="24"/>
        </w:rPr>
        <w:t xml:space="preserve">in impartial and independent tribunals </w:t>
      </w:r>
      <w:r w:rsidR="000E63BC" w:rsidRPr="00B01F31">
        <w:rPr>
          <w:color w:val="000000"/>
          <w:szCs w:val="24"/>
        </w:rPr>
        <w:t>duly established by law</w:t>
      </w:r>
      <w:r w:rsidR="007665CF" w:rsidRPr="00B01F31">
        <w:rPr>
          <w:color w:val="000000"/>
          <w:szCs w:val="24"/>
        </w:rPr>
        <w:t>.</w:t>
      </w:r>
      <w:r w:rsidR="007665CF" w:rsidRPr="00B01F31">
        <w:rPr>
          <w:rStyle w:val="FootnoteReference"/>
          <w:color w:val="000000"/>
          <w:szCs w:val="24"/>
        </w:rPr>
        <w:footnoteReference w:id="47"/>
      </w:r>
      <w:r w:rsidR="007665CF" w:rsidRPr="00B01F31">
        <w:rPr>
          <w:color w:val="000000"/>
          <w:szCs w:val="24"/>
        </w:rPr>
        <w:t xml:space="preserve"> Additionally, m</w:t>
      </w:r>
      <w:r w:rsidRPr="00B01F31">
        <w:rPr>
          <w:color w:val="000000"/>
          <w:szCs w:val="24"/>
        </w:rPr>
        <w:t xml:space="preserve">ultiple levels of the national judiciary reviewed the cases impartially. </w:t>
      </w:r>
    </w:p>
    <w:p w:rsidR="00CC44D9" w:rsidRPr="00B01F31" w:rsidRDefault="00CC44D9" w:rsidP="00B01F31">
      <w:pPr>
        <w:rPr>
          <w:color w:val="000000"/>
          <w:szCs w:val="24"/>
        </w:rPr>
      </w:pPr>
      <w:r w:rsidRPr="00B01F31">
        <w:rPr>
          <w:szCs w:val="24"/>
        </w:rPr>
        <w:t xml:space="preserve">Therefore, since </w:t>
      </w:r>
      <w:r w:rsidRPr="00B01F31">
        <w:rPr>
          <w:color w:val="000000"/>
          <w:szCs w:val="24"/>
        </w:rPr>
        <w:t xml:space="preserve">the Applicant had </w:t>
      </w:r>
      <w:r w:rsidR="007665CF" w:rsidRPr="00B01F31">
        <w:rPr>
          <w:color w:val="000000"/>
          <w:szCs w:val="24"/>
        </w:rPr>
        <w:t>full access to the domestic courts of the respondent State</w:t>
      </w:r>
      <w:r w:rsidRPr="00B01F31">
        <w:rPr>
          <w:color w:val="000000"/>
          <w:szCs w:val="24"/>
        </w:rPr>
        <w:t xml:space="preserve"> and</w:t>
      </w:r>
      <w:r w:rsidR="007665CF" w:rsidRPr="00B01F31">
        <w:rPr>
          <w:color w:val="000000"/>
          <w:szCs w:val="24"/>
        </w:rPr>
        <w:t xml:space="preserve"> could</w:t>
      </w:r>
      <w:r w:rsidRPr="00B01F31">
        <w:rPr>
          <w:color w:val="000000"/>
          <w:szCs w:val="24"/>
        </w:rPr>
        <w:t xml:space="preserve"> present </w:t>
      </w:r>
      <w:r w:rsidR="007665CF" w:rsidRPr="00B01F31">
        <w:rPr>
          <w:color w:val="000000"/>
          <w:szCs w:val="24"/>
        </w:rPr>
        <w:t xml:space="preserve">its </w:t>
      </w:r>
      <w:r w:rsidRPr="00B01F31">
        <w:rPr>
          <w:color w:val="000000"/>
          <w:szCs w:val="24"/>
        </w:rPr>
        <w:t xml:space="preserve">cases without obstacles, </w:t>
      </w:r>
      <w:r w:rsidRPr="00B01F31">
        <w:rPr>
          <w:szCs w:val="24"/>
        </w:rPr>
        <w:t>the respondent State</w:t>
      </w:r>
      <w:r w:rsidRPr="00B01F31">
        <w:rPr>
          <w:color w:val="000000"/>
          <w:szCs w:val="24"/>
        </w:rPr>
        <w:t xml:space="preserve"> protected </w:t>
      </w:r>
      <w:r w:rsidRPr="00B01F31">
        <w:rPr>
          <w:szCs w:val="24"/>
        </w:rPr>
        <w:t>the Applicant’s right to a fair trial pursuant to Art. 8, Art. 1(1) and</w:t>
      </w:r>
      <w:r w:rsidR="007665CF" w:rsidRPr="00B01F31">
        <w:rPr>
          <w:szCs w:val="24"/>
        </w:rPr>
        <w:t xml:space="preserve"> Art.</w:t>
      </w:r>
      <w:r w:rsidRPr="00B01F31">
        <w:rPr>
          <w:szCs w:val="24"/>
        </w:rPr>
        <w:t xml:space="preserve"> 2 ACHR. </w:t>
      </w:r>
    </w:p>
    <w:p w:rsidR="00CC44D9" w:rsidRPr="00B01F31" w:rsidRDefault="00CC44D9" w:rsidP="00B01F31">
      <w:pPr>
        <w:pStyle w:val="Heading4"/>
        <w:tabs>
          <w:tab w:val="clear" w:pos="864"/>
          <w:tab w:val="num" w:pos="709"/>
        </w:tabs>
        <w:spacing w:line="480" w:lineRule="auto"/>
        <w:ind w:left="709" w:hanging="709"/>
        <w:rPr>
          <w:b/>
          <w:sz w:val="24"/>
          <w:szCs w:val="24"/>
        </w:rPr>
      </w:pPr>
      <w:bookmarkStart w:id="32" w:name="_Toc320535469"/>
      <w:bookmarkStart w:id="33" w:name="_Toc320823097"/>
      <w:r w:rsidRPr="00B01F31">
        <w:rPr>
          <w:b/>
          <w:sz w:val="24"/>
          <w:szCs w:val="24"/>
        </w:rPr>
        <w:lastRenderedPageBreak/>
        <w:t xml:space="preserve">The respondent State fulfilled all its legal obligations with regard to the right </w:t>
      </w:r>
      <w:r w:rsidR="000E63BC" w:rsidRPr="00B01F31">
        <w:rPr>
          <w:b/>
          <w:sz w:val="24"/>
          <w:szCs w:val="24"/>
        </w:rPr>
        <w:t xml:space="preserve">to </w:t>
      </w:r>
      <w:r w:rsidRPr="00B01F31">
        <w:rPr>
          <w:b/>
          <w:sz w:val="24"/>
          <w:szCs w:val="24"/>
        </w:rPr>
        <w:t xml:space="preserve">judicial protection in accordance with Art. 25, </w:t>
      </w:r>
      <w:bookmarkEnd w:id="29"/>
      <w:bookmarkEnd w:id="30"/>
      <w:r w:rsidRPr="00B01F31">
        <w:rPr>
          <w:b/>
          <w:sz w:val="24"/>
          <w:szCs w:val="24"/>
        </w:rPr>
        <w:t>Art. 1(1) and Art. 2 ACHR</w:t>
      </w:r>
      <w:bookmarkEnd w:id="32"/>
      <w:bookmarkEnd w:id="33"/>
    </w:p>
    <w:p w:rsidR="00CC44D9" w:rsidRPr="00B01F31" w:rsidRDefault="00CC44D9" w:rsidP="00B01F31">
      <w:pPr>
        <w:rPr>
          <w:szCs w:val="24"/>
        </w:rPr>
      </w:pPr>
      <w:bookmarkStart w:id="34" w:name="_Toc317887466"/>
      <w:bookmarkStart w:id="35" w:name="_Toc318191311"/>
      <w:bookmarkStart w:id="36" w:name="_Toc318851436"/>
      <w:r w:rsidRPr="00B01F31">
        <w:rPr>
          <w:szCs w:val="24"/>
        </w:rPr>
        <w:t>The State respected the Applicant’s right to simple and prompt recourse in accordance with Art. 25, Art. 1(1) and Art. 2 ACHR by guaranteeing an effective remedy capable of producing the result for which it was designed.</w:t>
      </w:r>
      <w:r w:rsidRPr="00B01F31">
        <w:rPr>
          <w:rStyle w:val="FootnoteReference"/>
          <w:szCs w:val="24"/>
        </w:rPr>
        <w:footnoteReference w:id="48"/>
      </w:r>
      <w:r w:rsidRPr="00B01F31">
        <w:rPr>
          <w:szCs w:val="24"/>
        </w:rPr>
        <w:t xml:space="preserve"> </w:t>
      </w:r>
    </w:p>
    <w:p w:rsidR="00CC44D9" w:rsidRPr="00B01F31" w:rsidRDefault="00CC44D9" w:rsidP="00B01F31">
      <w:pPr>
        <w:rPr>
          <w:szCs w:val="24"/>
        </w:rPr>
      </w:pPr>
      <w:r w:rsidRPr="00B01F31">
        <w:rPr>
          <w:szCs w:val="24"/>
        </w:rPr>
        <w:t xml:space="preserve">The Court emphasized in </w:t>
      </w:r>
      <w:r w:rsidRPr="00B01F31">
        <w:rPr>
          <w:i/>
          <w:szCs w:val="24"/>
        </w:rPr>
        <w:t>Herrera Ulloa v. Costa Rica</w:t>
      </w:r>
      <w:r w:rsidRPr="00B01F31">
        <w:rPr>
          <w:szCs w:val="24"/>
        </w:rPr>
        <w:t xml:space="preserve"> that the aim of the right to appeal a judgment is to protect the right of defense by establishing a remedy to avoid an improper ruling from becoming final.</w:t>
      </w:r>
      <w:r w:rsidRPr="00B01F31">
        <w:rPr>
          <w:rStyle w:val="FootnoteReference"/>
          <w:szCs w:val="24"/>
        </w:rPr>
        <w:footnoteReference w:id="49"/>
      </w:r>
      <w:r w:rsidRPr="00B01F31">
        <w:rPr>
          <w:szCs w:val="24"/>
        </w:rPr>
        <w:t xml:space="preserve"> The mere formal existence of a remedy is not enough.</w:t>
      </w:r>
      <w:r w:rsidRPr="00B01F31">
        <w:rPr>
          <w:rStyle w:val="FootnoteReference"/>
          <w:szCs w:val="24"/>
        </w:rPr>
        <w:footnoteReference w:id="50"/>
      </w:r>
      <w:r w:rsidRPr="00B01F31">
        <w:rPr>
          <w:szCs w:val="24"/>
        </w:rPr>
        <w:t xml:space="preserve"> Rather, the remedies must be effective and materially able to redress the alleged violations.</w:t>
      </w:r>
      <w:r w:rsidRPr="00B01F31">
        <w:rPr>
          <w:rStyle w:val="FootnoteReference"/>
          <w:szCs w:val="24"/>
        </w:rPr>
        <w:footnoteReference w:id="51"/>
      </w:r>
      <w:r w:rsidRPr="00B01F31">
        <w:rPr>
          <w:szCs w:val="24"/>
        </w:rPr>
        <w:t xml:space="preserve"> A remedy is considered adequate if it is able to address the claims in an effective manner</w:t>
      </w:r>
      <w:r w:rsidR="007665CF" w:rsidRPr="00B01F31">
        <w:rPr>
          <w:szCs w:val="24"/>
        </w:rPr>
        <w:t>,</w:t>
      </w:r>
      <w:r w:rsidRPr="00B01F31">
        <w:rPr>
          <w:szCs w:val="24"/>
        </w:rPr>
        <w:t xml:space="preserve"> and produces the result for which it was designed.</w:t>
      </w:r>
      <w:r w:rsidRPr="00B01F31">
        <w:rPr>
          <w:rStyle w:val="FootnoteReference"/>
          <w:szCs w:val="24"/>
        </w:rPr>
        <w:footnoteReference w:id="52"/>
      </w:r>
      <w:r w:rsidRPr="00B01F31">
        <w:rPr>
          <w:szCs w:val="24"/>
        </w:rPr>
        <w:t xml:space="preserve"> An unsuccessfully pursued domestic remedy can be in compliance with the word “effective”, therefore a remedy must not necessarily result in a favorable decision for the Applicant.</w:t>
      </w:r>
      <w:r w:rsidRPr="00B01F31">
        <w:rPr>
          <w:rStyle w:val="FootnoteReference"/>
          <w:szCs w:val="24"/>
        </w:rPr>
        <w:footnoteReference w:id="53"/>
      </w:r>
    </w:p>
    <w:p w:rsidR="00CC44D9" w:rsidRPr="00B01F31" w:rsidRDefault="00CC44D9" w:rsidP="00B01F31">
      <w:pPr>
        <w:rPr>
          <w:szCs w:val="24"/>
        </w:rPr>
      </w:pPr>
      <w:r w:rsidRPr="00B01F31">
        <w:rPr>
          <w:color w:val="000000"/>
          <w:szCs w:val="24"/>
        </w:rPr>
        <w:t>In the instant case, the Applicant filed a criminal action and civil complaints before the Federal Courts and Civil Divisions of the respondent State.</w:t>
      </w:r>
      <w:r w:rsidRPr="00B01F31">
        <w:rPr>
          <w:rStyle w:val="FootnoteReference"/>
          <w:color w:val="000000"/>
          <w:szCs w:val="24"/>
        </w:rPr>
        <w:footnoteReference w:id="54"/>
      </w:r>
      <w:r w:rsidRPr="00B01F31">
        <w:rPr>
          <w:color w:val="000000"/>
          <w:szCs w:val="24"/>
        </w:rPr>
        <w:t xml:space="preserve"> These remedies were not decided in favor of the Applicant. The Applicant then appealed to the Supreme Court of the respondent State, which reviewed all claims, declared the criminal complaint inadmissible</w:t>
      </w:r>
      <w:r w:rsidR="005D5A2F" w:rsidRPr="00B01F31">
        <w:rPr>
          <w:color w:val="000000"/>
          <w:szCs w:val="24"/>
        </w:rPr>
        <w:t>,</w:t>
      </w:r>
      <w:r w:rsidRPr="00B01F31">
        <w:rPr>
          <w:color w:val="000000"/>
          <w:szCs w:val="24"/>
        </w:rPr>
        <w:t xml:space="preserve"> reversed the ruling in </w:t>
      </w:r>
      <w:r w:rsidRPr="00B01F31">
        <w:rPr>
          <w:color w:val="000000"/>
          <w:szCs w:val="24"/>
        </w:rPr>
        <w:lastRenderedPageBreak/>
        <w:t>the civil matter and ordered the Third Federal Civil Court to adjudicate the civil claim for damages.</w:t>
      </w:r>
    </w:p>
    <w:p w:rsidR="00CC44D9" w:rsidRPr="00B01F31" w:rsidRDefault="00CC44D9" w:rsidP="00B01F31">
      <w:pPr>
        <w:rPr>
          <w:szCs w:val="24"/>
        </w:rPr>
      </w:pPr>
      <w:r w:rsidRPr="00B01F31">
        <w:rPr>
          <w:szCs w:val="24"/>
        </w:rPr>
        <w:t>Consequently, the remedies were adequate and effective despite the fact that they did not produce an entirely favorable result for the Applicant.</w:t>
      </w:r>
      <w:r w:rsidRPr="00B01F31">
        <w:rPr>
          <w:rStyle w:val="FootnoteReference"/>
          <w:szCs w:val="24"/>
        </w:rPr>
        <w:footnoteReference w:id="55"/>
      </w:r>
      <w:r w:rsidRPr="00B01F31">
        <w:rPr>
          <w:szCs w:val="24"/>
        </w:rPr>
        <w:t xml:space="preserve"> Therefore, the </w:t>
      </w:r>
      <w:r w:rsidR="005D5A2F" w:rsidRPr="00B01F31">
        <w:rPr>
          <w:szCs w:val="24"/>
        </w:rPr>
        <w:t xml:space="preserve">respondent </w:t>
      </w:r>
      <w:r w:rsidRPr="00B01F31">
        <w:rPr>
          <w:szCs w:val="24"/>
        </w:rPr>
        <w:t>State granted the Applicant adequate and effective remedies in accordance with Art. 25, Art. 1(1) and Art 2 ACHR.</w:t>
      </w:r>
    </w:p>
    <w:p w:rsidR="00CC44D9" w:rsidRPr="00B01F31" w:rsidRDefault="00CC44D9" w:rsidP="00B01F31">
      <w:pPr>
        <w:pStyle w:val="Heading4"/>
        <w:tabs>
          <w:tab w:val="clear" w:pos="864"/>
          <w:tab w:val="num" w:pos="709"/>
        </w:tabs>
        <w:spacing w:line="480" w:lineRule="auto"/>
        <w:ind w:left="709" w:hanging="709"/>
        <w:rPr>
          <w:b/>
          <w:color w:val="000000"/>
          <w:sz w:val="24"/>
          <w:szCs w:val="24"/>
        </w:rPr>
      </w:pPr>
      <w:bookmarkStart w:id="37" w:name="_Toc320535470"/>
      <w:bookmarkStart w:id="38" w:name="_Toc320823098"/>
      <w:r w:rsidRPr="00B01F31">
        <w:rPr>
          <w:b/>
          <w:sz w:val="24"/>
          <w:szCs w:val="24"/>
        </w:rPr>
        <w:t xml:space="preserve">The respondent State </w:t>
      </w:r>
      <w:bookmarkEnd w:id="31"/>
      <w:r w:rsidRPr="00B01F31">
        <w:rPr>
          <w:b/>
          <w:sz w:val="24"/>
          <w:szCs w:val="24"/>
        </w:rPr>
        <w:t>fulfilled all legal obligations with regard to the right to life in accordance with Art. 4(1) ACHR</w:t>
      </w:r>
      <w:bookmarkEnd w:id="34"/>
      <w:bookmarkEnd w:id="35"/>
      <w:bookmarkEnd w:id="36"/>
      <w:bookmarkEnd w:id="37"/>
      <w:bookmarkEnd w:id="38"/>
    </w:p>
    <w:p w:rsidR="00CC44D9" w:rsidRPr="00B01F31" w:rsidRDefault="00CC44D9" w:rsidP="00B01F31">
      <w:pPr>
        <w:rPr>
          <w:szCs w:val="24"/>
        </w:rPr>
      </w:pPr>
      <w:r w:rsidRPr="00B01F31">
        <w:rPr>
          <w:szCs w:val="24"/>
        </w:rPr>
        <w:t xml:space="preserve">The </w:t>
      </w:r>
      <w:r w:rsidR="005D5A2F" w:rsidRPr="00B01F31">
        <w:rPr>
          <w:szCs w:val="24"/>
        </w:rPr>
        <w:t xml:space="preserve">respondent </w:t>
      </w:r>
      <w:r w:rsidRPr="00B01F31">
        <w:rPr>
          <w:szCs w:val="24"/>
        </w:rPr>
        <w:t xml:space="preserve">State respected the Applicant’s right to life in accordance with Art. 4 ACHR and was not involved in any way in the incidents, which took place in Madruga. </w:t>
      </w:r>
    </w:p>
    <w:p w:rsidR="00CC44D9" w:rsidRPr="00B01F31" w:rsidRDefault="00CC44D9" w:rsidP="00B01F31">
      <w:pPr>
        <w:rPr>
          <w:szCs w:val="24"/>
        </w:rPr>
      </w:pPr>
      <w:r w:rsidRPr="00B01F31">
        <w:rPr>
          <w:szCs w:val="24"/>
        </w:rPr>
        <w:t xml:space="preserve">Art. 4(1) ACHR establishes that no person can have his or her life taken arbitrarily. </w:t>
      </w:r>
      <w:r w:rsidRPr="00B01F31">
        <w:rPr>
          <w:bCs/>
          <w:szCs w:val="24"/>
        </w:rPr>
        <w:t xml:space="preserve">Both Edmundo Camana and his family and later </w:t>
      </w:r>
      <w:r w:rsidRPr="00B01F31">
        <w:rPr>
          <w:szCs w:val="24"/>
        </w:rPr>
        <w:t>Lucía</w:t>
      </w:r>
      <w:r w:rsidRPr="00B01F31">
        <w:rPr>
          <w:bCs/>
          <w:szCs w:val="24"/>
        </w:rPr>
        <w:t xml:space="preserve"> Camana Osorio were killed in Madruga.</w:t>
      </w:r>
      <w:r w:rsidRPr="00B01F31">
        <w:rPr>
          <w:rStyle w:val="FootnoteReference"/>
          <w:bCs/>
          <w:szCs w:val="24"/>
        </w:rPr>
        <w:footnoteReference w:id="56"/>
      </w:r>
      <w:r w:rsidRPr="00B01F31">
        <w:rPr>
          <w:bCs/>
          <w:szCs w:val="24"/>
        </w:rPr>
        <w:t xml:space="preserve"> In June 1999, the judiciary of Madruga shelved the criminal proceedings in the matter of Edmundo Camana and his family, following the death of the alleged perpetrators.</w:t>
      </w:r>
      <w:r w:rsidRPr="00B01F31">
        <w:rPr>
          <w:rStyle w:val="FootnoteReference"/>
          <w:bCs/>
          <w:szCs w:val="24"/>
        </w:rPr>
        <w:footnoteReference w:id="57"/>
      </w:r>
      <w:r w:rsidRPr="00B01F31">
        <w:rPr>
          <w:bCs/>
          <w:szCs w:val="24"/>
        </w:rPr>
        <w:t xml:space="preserve"> The respondent State had no connection to Edmundo Camana and his family until granting asylum to </w:t>
      </w:r>
      <w:r w:rsidRPr="00B01F31">
        <w:rPr>
          <w:szCs w:val="24"/>
        </w:rPr>
        <w:t>Lucía</w:t>
      </w:r>
      <w:r w:rsidRPr="00B01F31">
        <w:rPr>
          <w:bCs/>
          <w:szCs w:val="24"/>
        </w:rPr>
        <w:t xml:space="preserve"> Camana Osorio in 1994.</w:t>
      </w:r>
      <w:r w:rsidRPr="00B01F31">
        <w:rPr>
          <w:rStyle w:val="FootnoteReference"/>
          <w:bCs/>
          <w:szCs w:val="24"/>
        </w:rPr>
        <w:footnoteReference w:id="58"/>
      </w:r>
      <w:r w:rsidRPr="00B01F31">
        <w:rPr>
          <w:bCs/>
          <w:szCs w:val="24"/>
        </w:rPr>
        <w:t xml:space="preserve"> Both killings</w:t>
      </w:r>
      <w:r w:rsidR="005D5A2F" w:rsidRPr="00B01F31">
        <w:rPr>
          <w:bCs/>
          <w:szCs w:val="24"/>
        </w:rPr>
        <w:t xml:space="preserve"> of</w:t>
      </w:r>
      <w:r w:rsidRPr="00B01F31">
        <w:rPr>
          <w:bCs/>
          <w:szCs w:val="24"/>
        </w:rPr>
        <w:t xml:space="preserve"> Edmundo Camana and his family and </w:t>
      </w:r>
      <w:r w:rsidR="005D5A2F" w:rsidRPr="00B01F31">
        <w:rPr>
          <w:bCs/>
          <w:szCs w:val="24"/>
        </w:rPr>
        <w:t xml:space="preserve">then </w:t>
      </w:r>
      <w:r w:rsidRPr="00B01F31">
        <w:rPr>
          <w:szCs w:val="24"/>
        </w:rPr>
        <w:t>Lucía Camana Osorio</w:t>
      </w:r>
      <w:r w:rsidRPr="00B01F31">
        <w:rPr>
          <w:bCs/>
          <w:szCs w:val="24"/>
        </w:rPr>
        <w:t xml:space="preserve">, however regrettable, took place outside the respondent State’s jurisdiction and were committed without its involvement, acquiescence or mere knowledge. The respondent State acknowledges the pain and suffering of the Applicant. Nevertheless, the instant case does not contain facts or evidence, which could connect the respondent State to the murders in Madruga. </w:t>
      </w:r>
      <w:r w:rsidRPr="00B01F31">
        <w:rPr>
          <w:bCs/>
          <w:szCs w:val="24"/>
        </w:rPr>
        <w:lastRenderedPageBreak/>
        <w:t>Therefore, the respondent State did not violate the Applicant’s right to life pursuant to Art. 4 ACHR.</w:t>
      </w:r>
    </w:p>
    <w:p w:rsidR="00CC44D9" w:rsidRPr="00B01F31" w:rsidRDefault="00CC44D9" w:rsidP="00B01F31">
      <w:pPr>
        <w:pStyle w:val="Heading4"/>
        <w:tabs>
          <w:tab w:val="clear" w:pos="864"/>
          <w:tab w:val="num" w:pos="709"/>
        </w:tabs>
        <w:spacing w:line="480" w:lineRule="auto"/>
        <w:ind w:left="709" w:hanging="709"/>
        <w:rPr>
          <w:b/>
          <w:sz w:val="24"/>
          <w:szCs w:val="24"/>
        </w:rPr>
      </w:pPr>
      <w:bookmarkStart w:id="39" w:name="_Toc317781825"/>
      <w:bookmarkStart w:id="40" w:name="_Toc317887469"/>
      <w:bookmarkStart w:id="41" w:name="_Toc318191314"/>
      <w:bookmarkStart w:id="42" w:name="_Toc318851437"/>
      <w:bookmarkStart w:id="43" w:name="_Toc320535471"/>
      <w:bookmarkStart w:id="44" w:name="_Toc320823099"/>
      <w:r w:rsidRPr="00B01F31">
        <w:rPr>
          <w:b/>
          <w:sz w:val="24"/>
          <w:szCs w:val="24"/>
        </w:rPr>
        <w:t>The respondent State fulfilled all its legal obligations with regard to the right to humane treatment in accordance with Art. 5,</w:t>
      </w:r>
      <w:bookmarkEnd w:id="39"/>
      <w:bookmarkEnd w:id="40"/>
      <w:bookmarkEnd w:id="41"/>
      <w:bookmarkEnd w:id="42"/>
      <w:r w:rsidRPr="00B01F31">
        <w:rPr>
          <w:b/>
          <w:sz w:val="24"/>
          <w:szCs w:val="24"/>
        </w:rPr>
        <w:t xml:space="preserve"> Art. 1(1) and Art. 2 ACHR</w:t>
      </w:r>
      <w:bookmarkEnd w:id="43"/>
      <w:bookmarkEnd w:id="44"/>
    </w:p>
    <w:p w:rsidR="00CC44D9" w:rsidRPr="00B01F31" w:rsidRDefault="00CC44D9" w:rsidP="00B01F31">
      <w:pPr>
        <w:rPr>
          <w:szCs w:val="24"/>
        </w:rPr>
      </w:pPr>
      <w:r w:rsidRPr="00B01F31">
        <w:rPr>
          <w:szCs w:val="24"/>
        </w:rPr>
        <w:t>The respondent State respected the right to humane treatment of Edmundo Camana</w:t>
      </w:r>
      <w:r w:rsidR="005D5A2F" w:rsidRPr="00B01F31">
        <w:rPr>
          <w:szCs w:val="24"/>
        </w:rPr>
        <w:t>,</w:t>
      </w:r>
      <w:r w:rsidRPr="00B01F31">
        <w:rPr>
          <w:szCs w:val="24"/>
        </w:rPr>
        <w:t xml:space="preserve"> his family and Lucía Camana Osorio under Art. 5, Art. 1(1) and Art. 2 ACHR.</w:t>
      </w:r>
    </w:p>
    <w:p w:rsidR="00CC44D9" w:rsidRPr="00B01F31" w:rsidRDefault="005D5A2F" w:rsidP="00B01F31">
      <w:pPr>
        <w:rPr>
          <w:szCs w:val="24"/>
        </w:rPr>
      </w:pPr>
      <w:r w:rsidRPr="00B01F31">
        <w:rPr>
          <w:szCs w:val="24"/>
        </w:rPr>
        <w:t>According to</w:t>
      </w:r>
      <w:r w:rsidR="00CC44D9" w:rsidRPr="00B01F31">
        <w:rPr>
          <w:szCs w:val="24"/>
        </w:rPr>
        <w:t xml:space="preserve"> Art. 5 ACHR, nobody should be subject to torture</w:t>
      </w:r>
      <w:r w:rsidR="0054164D" w:rsidRPr="00B01F31">
        <w:rPr>
          <w:szCs w:val="24"/>
        </w:rPr>
        <w:t>,</w:t>
      </w:r>
      <w:r w:rsidR="00CC44D9" w:rsidRPr="00B01F31">
        <w:rPr>
          <w:szCs w:val="24"/>
        </w:rPr>
        <w:t xml:space="preserve"> or to cruel, inhuman, or degrading punishment or treatment</w:t>
      </w:r>
      <w:r w:rsidR="0054164D" w:rsidRPr="00B01F31">
        <w:rPr>
          <w:szCs w:val="24"/>
        </w:rPr>
        <w:t xml:space="preserve">. This rule is particularly relevant </w:t>
      </w:r>
      <w:r w:rsidR="00F72C61" w:rsidRPr="00B01F31">
        <w:rPr>
          <w:szCs w:val="24"/>
        </w:rPr>
        <w:t xml:space="preserve">in case a person is </w:t>
      </w:r>
      <w:r w:rsidR="0054164D" w:rsidRPr="00B01F31">
        <w:rPr>
          <w:szCs w:val="24"/>
        </w:rPr>
        <w:t xml:space="preserve">deprived of </w:t>
      </w:r>
      <w:r w:rsidR="00F72C61" w:rsidRPr="00B01F31">
        <w:rPr>
          <w:szCs w:val="24"/>
        </w:rPr>
        <w:t>its</w:t>
      </w:r>
      <w:r w:rsidR="0054164D" w:rsidRPr="00B01F31">
        <w:rPr>
          <w:szCs w:val="24"/>
        </w:rPr>
        <w:t xml:space="preserve"> liberty</w:t>
      </w:r>
      <w:r w:rsidR="00F72C61" w:rsidRPr="00B01F31">
        <w:rPr>
          <w:szCs w:val="24"/>
        </w:rPr>
        <w:t xml:space="preserve"> and held in state custody</w:t>
      </w:r>
      <w:r w:rsidR="00CC44D9" w:rsidRPr="00B01F31">
        <w:rPr>
          <w:szCs w:val="24"/>
        </w:rPr>
        <w:t>.</w:t>
      </w:r>
      <w:r w:rsidR="00CC44D9" w:rsidRPr="00B01F31">
        <w:rPr>
          <w:rStyle w:val="FootnoteReference"/>
          <w:szCs w:val="24"/>
        </w:rPr>
        <w:footnoteReference w:id="59"/>
      </w:r>
      <w:r w:rsidR="00CC44D9" w:rsidRPr="00B01F31">
        <w:rPr>
          <w:szCs w:val="24"/>
        </w:rPr>
        <w:t xml:space="preserve"> </w:t>
      </w:r>
    </w:p>
    <w:p w:rsidR="00CC44D9" w:rsidRPr="00B01F31" w:rsidRDefault="00CC44D9" w:rsidP="00B01F31">
      <w:pPr>
        <w:rPr>
          <w:szCs w:val="24"/>
        </w:rPr>
      </w:pPr>
      <w:r w:rsidRPr="00B01F31">
        <w:rPr>
          <w:szCs w:val="24"/>
        </w:rPr>
        <w:t xml:space="preserve">In the present case, neither Edmundo Camana, his family </w:t>
      </w:r>
      <w:r w:rsidR="00F72C61" w:rsidRPr="00B01F31">
        <w:rPr>
          <w:szCs w:val="24"/>
        </w:rPr>
        <w:t xml:space="preserve">nor </w:t>
      </w:r>
      <w:r w:rsidRPr="00B01F31">
        <w:rPr>
          <w:szCs w:val="24"/>
        </w:rPr>
        <w:t>Lucía Camana Osorio were ever h</w:t>
      </w:r>
      <w:r w:rsidR="00F72C61" w:rsidRPr="00B01F31">
        <w:rPr>
          <w:szCs w:val="24"/>
        </w:rPr>
        <w:t>e</w:t>
      </w:r>
      <w:r w:rsidRPr="00B01F31">
        <w:rPr>
          <w:szCs w:val="24"/>
        </w:rPr>
        <w:t>ld in the respondent State’s custody</w:t>
      </w:r>
      <w:r w:rsidR="00F72C61" w:rsidRPr="00B01F31">
        <w:rPr>
          <w:szCs w:val="24"/>
        </w:rPr>
        <w:t xml:space="preserve"> or</w:t>
      </w:r>
      <w:r w:rsidR="00EE6DE9" w:rsidRPr="00B01F31">
        <w:rPr>
          <w:szCs w:val="24"/>
        </w:rPr>
        <w:t>,</w:t>
      </w:r>
      <w:r w:rsidR="00F72C61" w:rsidRPr="00B01F31">
        <w:rPr>
          <w:szCs w:val="24"/>
        </w:rPr>
        <w:t xml:space="preserve"> </w:t>
      </w:r>
      <w:r w:rsidR="00EE6DE9" w:rsidRPr="00B01F31">
        <w:rPr>
          <w:szCs w:val="24"/>
        </w:rPr>
        <w:t xml:space="preserve">in any other form, </w:t>
      </w:r>
      <w:r w:rsidR="00F72C61" w:rsidRPr="00B01F31">
        <w:rPr>
          <w:szCs w:val="24"/>
        </w:rPr>
        <w:t>subjected to cruel, inhuman, or degrading treatment by the respondent State.</w:t>
      </w:r>
      <w:r w:rsidRPr="00B01F31">
        <w:rPr>
          <w:szCs w:val="24"/>
        </w:rPr>
        <w:t xml:space="preserve"> </w:t>
      </w:r>
    </w:p>
    <w:p w:rsidR="00CC44D9" w:rsidRPr="00B01F31" w:rsidRDefault="00CC44D9" w:rsidP="00B01F31">
      <w:pPr>
        <w:rPr>
          <w:color w:val="000000"/>
          <w:szCs w:val="24"/>
        </w:rPr>
      </w:pPr>
      <w:r w:rsidRPr="00B01F31">
        <w:rPr>
          <w:color w:val="000000"/>
          <w:szCs w:val="24"/>
        </w:rPr>
        <w:t xml:space="preserve">Therefore, the respondent State did not violate the right to humane treatment pursuant to </w:t>
      </w:r>
      <w:r w:rsidRPr="00B01F31">
        <w:rPr>
          <w:szCs w:val="24"/>
        </w:rPr>
        <w:t>Art. 5, Art. 1(1) and Art. 2 ACHR.</w:t>
      </w:r>
    </w:p>
    <w:p w:rsidR="00CC44D9" w:rsidRPr="00B01F31" w:rsidRDefault="00CC44D9" w:rsidP="00B01F31">
      <w:pPr>
        <w:pStyle w:val="Heading4"/>
        <w:tabs>
          <w:tab w:val="clear" w:pos="864"/>
          <w:tab w:val="num" w:pos="709"/>
        </w:tabs>
        <w:spacing w:line="480" w:lineRule="auto"/>
        <w:ind w:left="709" w:hanging="709"/>
        <w:rPr>
          <w:b/>
          <w:sz w:val="24"/>
          <w:szCs w:val="24"/>
        </w:rPr>
      </w:pPr>
      <w:bookmarkStart w:id="45" w:name="_Toc317781828"/>
      <w:bookmarkStart w:id="46" w:name="_Toc317887473"/>
      <w:bookmarkStart w:id="47" w:name="_Toc318191317"/>
      <w:bookmarkStart w:id="48" w:name="_Toc318851438"/>
      <w:bookmarkStart w:id="49" w:name="_Toc320535472"/>
      <w:bookmarkStart w:id="50" w:name="_Toc320823100"/>
      <w:r w:rsidRPr="00B01F31">
        <w:rPr>
          <w:b/>
          <w:sz w:val="24"/>
          <w:szCs w:val="24"/>
        </w:rPr>
        <w:t>The respondent State fulfilled all its legal obligations with regard to the right of freedom of association in accordance with Art. 16 ACHR</w:t>
      </w:r>
      <w:bookmarkEnd w:id="45"/>
      <w:bookmarkEnd w:id="46"/>
      <w:bookmarkEnd w:id="47"/>
      <w:bookmarkEnd w:id="48"/>
      <w:bookmarkEnd w:id="49"/>
      <w:bookmarkEnd w:id="50"/>
    </w:p>
    <w:p w:rsidR="00CC44D9" w:rsidRPr="00B01F31" w:rsidRDefault="00CC44D9" w:rsidP="00B01F31">
      <w:pPr>
        <w:rPr>
          <w:szCs w:val="24"/>
        </w:rPr>
      </w:pPr>
      <w:r w:rsidRPr="00B01F31">
        <w:rPr>
          <w:szCs w:val="24"/>
        </w:rPr>
        <w:t xml:space="preserve">The respondent State respected the right of freedom of association according to Art. 16 ACHR. </w:t>
      </w:r>
    </w:p>
    <w:p w:rsidR="00CC44D9" w:rsidRPr="00B01F31" w:rsidRDefault="00CC44D9" w:rsidP="00B01F31">
      <w:pPr>
        <w:rPr>
          <w:szCs w:val="24"/>
        </w:rPr>
      </w:pPr>
      <w:r w:rsidRPr="00B01F31">
        <w:rPr>
          <w:szCs w:val="24"/>
        </w:rPr>
        <w:t xml:space="preserve">Art. 16 ACHR includes the “right to associate freely for ideological, religious, political, economic, labor, social, cultural, sports, or other purposes”. The same </w:t>
      </w:r>
      <w:r w:rsidR="00EE6DE9" w:rsidRPr="00B01F31">
        <w:rPr>
          <w:szCs w:val="24"/>
        </w:rPr>
        <w:t xml:space="preserve">provision </w:t>
      </w:r>
      <w:r w:rsidRPr="00B01F31">
        <w:rPr>
          <w:szCs w:val="24"/>
        </w:rPr>
        <w:t xml:space="preserve">establishes that those who are under the jurisdiction of state parties to the ACHR have the right and the freedom to associate freely with others, without any interference from the public authorities. Moreover, </w:t>
      </w:r>
      <w:r w:rsidRPr="00B01F31">
        <w:rPr>
          <w:szCs w:val="24"/>
        </w:rPr>
        <w:lastRenderedPageBreak/>
        <w:t>Art. 16(1) ACHR obliges states to prevent attacks on those making use of their right and to investigate measures restricting such right.</w:t>
      </w:r>
      <w:r w:rsidRPr="00B01F31">
        <w:rPr>
          <w:rStyle w:val="FootnoteReference"/>
          <w:szCs w:val="24"/>
        </w:rPr>
        <w:footnoteReference w:id="60"/>
      </w:r>
      <w:r w:rsidRPr="00B01F31">
        <w:rPr>
          <w:szCs w:val="24"/>
        </w:rPr>
        <w:t xml:space="preserve"> </w:t>
      </w:r>
    </w:p>
    <w:p w:rsidR="00CC44D9" w:rsidRPr="00B01F31" w:rsidRDefault="00CC44D9" w:rsidP="00B01F31">
      <w:pPr>
        <w:rPr>
          <w:bCs/>
          <w:szCs w:val="24"/>
        </w:rPr>
      </w:pPr>
      <w:bookmarkStart w:id="51" w:name="_Toc317781829"/>
      <w:bookmarkStart w:id="52" w:name="_Toc317887474"/>
      <w:bookmarkStart w:id="53" w:name="_Toc318191320"/>
      <w:bookmarkStart w:id="54" w:name="_Toc318851439"/>
      <w:r w:rsidRPr="00B01F31">
        <w:rPr>
          <w:szCs w:val="24"/>
        </w:rPr>
        <w:t>At the time of his death in 1994, Edmundo Camana was the president of the Madrugan Confederation of Mineworkers.</w:t>
      </w:r>
      <w:r w:rsidRPr="00B01F31">
        <w:rPr>
          <w:rStyle w:val="FootnoteReference"/>
          <w:szCs w:val="24"/>
        </w:rPr>
        <w:footnoteReference w:id="61"/>
      </w:r>
      <w:r w:rsidRPr="00B01F31">
        <w:rPr>
          <w:szCs w:val="24"/>
        </w:rPr>
        <w:t xml:space="preserve"> Lucía Camana Osorio was killed in 2002 while delivering a speech at the National March against Impunity in Madruga.</w:t>
      </w:r>
      <w:r w:rsidRPr="00B01F31">
        <w:rPr>
          <w:rStyle w:val="FootnoteReference"/>
          <w:szCs w:val="24"/>
        </w:rPr>
        <w:footnoteReference w:id="62"/>
      </w:r>
      <w:r w:rsidRPr="00B01F31">
        <w:rPr>
          <w:bCs/>
          <w:szCs w:val="24"/>
        </w:rPr>
        <w:t xml:space="preserve"> Both murders took place outside the jurisdiction of the respondent State</w:t>
      </w:r>
      <w:r w:rsidR="00EE6DE9" w:rsidRPr="00B01F31">
        <w:rPr>
          <w:bCs/>
          <w:szCs w:val="24"/>
        </w:rPr>
        <w:t>.</w:t>
      </w:r>
      <w:r w:rsidRPr="00B01F31">
        <w:rPr>
          <w:bCs/>
          <w:szCs w:val="24"/>
        </w:rPr>
        <w:t xml:space="preserve"> </w:t>
      </w:r>
      <w:r w:rsidR="00EE6DE9" w:rsidRPr="00B01F31">
        <w:rPr>
          <w:bCs/>
          <w:szCs w:val="24"/>
        </w:rPr>
        <w:t>T</w:t>
      </w:r>
      <w:r w:rsidRPr="00B01F31">
        <w:rPr>
          <w:bCs/>
          <w:szCs w:val="24"/>
        </w:rPr>
        <w:t>here is no evidence that the respondent State was aware of any threat against the victims, which could oblige it to take positive measures in order to prevent the attacks. Hence, the respondent State was not subject to any positive obligation under Art. 16 ACHR</w:t>
      </w:r>
      <w:r w:rsidRPr="00B01F31">
        <w:rPr>
          <w:szCs w:val="24"/>
        </w:rPr>
        <w:t xml:space="preserve"> and respected the Applicant’s right </w:t>
      </w:r>
      <w:r w:rsidR="00EE6DE9" w:rsidRPr="00B01F31">
        <w:rPr>
          <w:szCs w:val="24"/>
        </w:rPr>
        <w:t xml:space="preserve">to </w:t>
      </w:r>
      <w:r w:rsidRPr="00B01F31">
        <w:rPr>
          <w:szCs w:val="24"/>
        </w:rPr>
        <w:t>freedom of association.</w:t>
      </w:r>
    </w:p>
    <w:p w:rsidR="00CC44D9" w:rsidRPr="00B01F31" w:rsidRDefault="00CC44D9" w:rsidP="00B01F31">
      <w:pPr>
        <w:pStyle w:val="Heading4"/>
        <w:tabs>
          <w:tab w:val="clear" w:pos="864"/>
          <w:tab w:val="num" w:pos="709"/>
        </w:tabs>
        <w:spacing w:line="480" w:lineRule="auto"/>
        <w:ind w:left="709" w:hanging="722"/>
        <w:rPr>
          <w:b/>
          <w:sz w:val="24"/>
          <w:szCs w:val="24"/>
        </w:rPr>
      </w:pPr>
      <w:bookmarkStart w:id="55" w:name="_Toc320535473"/>
      <w:bookmarkStart w:id="56" w:name="_Toc320823101"/>
      <w:r w:rsidRPr="00B01F31">
        <w:rPr>
          <w:b/>
          <w:sz w:val="24"/>
          <w:szCs w:val="24"/>
        </w:rPr>
        <w:t>The respondent State fulfilled all its legal obligations with regard to the rights of the family in accordance with Art. 17(1),</w:t>
      </w:r>
      <w:bookmarkEnd w:id="51"/>
      <w:bookmarkEnd w:id="52"/>
      <w:bookmarkEnd w:id="53"/>
      <w:bookmarkEnd w:id="54"/>
      <w:r w:rsidRPr="00B01F31">
        <w:rPr>
          <w:b/>
          <w:sz w:val="24"/>
          <w:szCs w:val="24"/>
        </w:rPr>
        <w:t xml:space="preserve"> Art. 1(1) and Art. 2 ACHR</w:t>
      </w:r>
      <w:bookmarkEnd w:id="55"/>
      <w:bookmarkEnd w:id="56"/>
    </w:p>
    <w:p w:rsidR="00CC44D9" w:rsidRPr="00B01F31" w:rsidRDefault="00CC44D9" w:rsidP="00B01F31">
      <w:pPr>
        <w:rPr>
          <w:szCs w:val="24"/>
        </w:rPr>
      </w:pPr>
      <w:r w:rsidRPr="00B01F31">
        <w:rPr>
          <w:szCs w:val="24"/>
        </w:rPr>
        <w:t>The respondent State by far exceeded its obligations to protect family rights according to Art.</w:t>
      </w:r>
      <w:r w:rsidR="00EE6DE9" w:rsidRPr="00B01F31">
        <w:rPr>
          <w:szCs w:val="24"/>
        </w:rPr>
        <w:t> </w:t>
      </w:r>
      <w:r w:rsidRPr="00B01F31">
        <w:rPr>
          <w:szCs w:val="24"/>
        </w:rPr>
        <w:t>17(1), Art. 1(1) and Art. 2 ACHR</w:t>
      </w:r>
      <w:r w:rsidRPr="00B01F31" w:rsidDel="0095157B">
        <w:rPr>
          <w:szCs w:val="24"/>
        </w:rPr>
        <w:t xml:space="preserve"> </w:t>
      </w:r>
      <w:r w:rsidRPr="00B01F31">
        <w:rPr>
          <w:szCs w:val="24"/>
        </w:rPr>
        <w:t xml:space="preserve">by granting asylum to Lucía Camana Osorio and then giving her free passage to her native Madruga. Therefore, the respondent State </w:t>
      </w:r>
      <w:r w:rsidR="00AD08E1" w:rsidRPr="00B01F31">
        <w:rPr>
          <w:szCs w:val="24"/>
        </w:rPr>
        <w:t xml:space="preserve">protected her from persecution by foreign actors and </w:t>
      </w:r>
      <w:r w:rsidRPr="00B01F31">
        <w:rPr>
          <w:szCs w:val="24"/>
        </w:rPr>
        <w:t>upheld her family life.</w:t>
      </w:r>
    </w:p>
    <w:p w:rsidR="00CC44D9" w:rsidRPr="00B01F31" w:rsidRDefault="00CC44D9" w:rsidP="00B01F31">
      <w:pPr>
        <w:rPr>
          <w:szCs w:val="24"/>
        </w:rPr>
      </w:pPr>
      <w:r w:rsidRPr="00B01F31">
        <w:rPr>
          <w:szCs w:val="24"/>
        </w:rPr>
        <w:t>Art. 17(1) ACHR recognizes the central role of the family and family life for both individuals and society. Therefore, states have to create the conditions to protect his family.</w:t>
      </w:r>
      <w:r w:rsidRPr="00B01F31">
        <w:rPr>
          <w:rStyle w:val="FootnoteReference"/>
          <w:szCs w:val="24"/>
        </w:rPr>
        <w:footnoteReference w:id="63"/>
      </w:r>
      <w:r w:rsidRPr="00B01F31">
        <w:rPr>
          <w:szCs w:val="24"/>
        </w:rPr>
        <w:t xml:space="preserve"> The Court asserted that everyone shall receive protection from arbitrary or illegal interference with its family life.</w:t>
      </w:r>
      <w:r w:rsidRPr="00B01F31">
        <w:rPr>
          <w:rStyle w:val="FootnoteReference"/>
          <w:szCs w:val="24"/>
        </w:rPr>
        <w:footnoteReference w:id="64"/>
      </w:r>
      <w:r w:rsidRPr="00B01F31">
        <w:rPr>
          <w:szCs w:val="24"/>
        </w:rPr>
        <w:t xml:space="preserve"> Furthermore, states must also encourage as comprehensively as possible the </w:t>
      </w:r>
      <w:r w:rsidRPr="00B01F31">
        <w:rPr>
          <w:szCs w:val="24"/>
        </w:rPr>
        <w:lastRenderedPageBreak/>
        <w:t>development and strengthening of the family as a unit.</w:t>
      </w:r>
      <w:r w:rsidRPr="00B01F31">
        <w:rPr>
          <w:rStyle w:val="FootnoteReference"/>
          <w:szCs w:val="24"/>
        </w:rPr>
        <w:footnoteReference w:id="65"/>
      </w:r>
      <w:r w:rsidRPr="00B01F31">
        <w:rPr>
          <w:szCs w:val="24"/>
        </w:rPr>
        <w:t xml:space="preserve"> Therefore, children have the right to live with their family to meet their material, affective and psychological needs.</w:t>
      </w:r>
      <w:r w:rsidRPr="00B01F31">
        <w:rPr>
          <w:rStyle w:val="FootnoteReference"/>
          <w:szCs w:val="24"/>
        </w:rPr>
        <w:footnoteReference w:id="66"/>
      </w:r>
      <w:r w:rsidRPr="00B01F31">
        <w:rPr>
          <w:szCs w:val="24"/>
        </w:rPr>
        <w:t xml:space="preserve"> The Court decided in </w:t>
      </w:r>
      <w:r w:rsidRPr="00B01F31">
        <w:rPr>
          <w:i/>
          <w:szCs w:val="24"/>
        </w:rPr>
        <w:t xml:space="preserve">Expelled Dominicans and Haitians v. Dominican Republic </w:t>
      </w:r>
      <w:r w:rsidRPr="00B01F31">
        <w:rPr>
          <w:szCs w:val="24"/>
        </w:rPr>
        <w:t xml:space="preserve">that states have the positive obligation to take measures regarding family reunification </w:t>
      </w:r>
      <w:r w:rsidR="00AD08E1" w:rsidRPr="00B01F31">
        <w:rPr>
          <w:szCs w:val="24"/>
        </w:rPr>
        <w:t>so</w:t>
      </w:r>
      <w:r w:rsidRPr="00B01F31">
        <w:rPr>
          <w:szCs w:val="24"/>
        </w:rPr>
        <w:t xml:space="preserve"> that minors live with their families.</w:t>
      </w:r>
      <w:r w:rsidRPr="00B01F31">
        <w:rPr>
          <w:rStyle w:val="FootnoteReference"/>
          <w:szCs w:val="24"/>
        </w:rPr>
        <w:footnoteReference w:id="67"/>
      </w:r>
    </w:p>
    <w:p w:rsidR="00CC44D9" w:rsidRPr="00B01F31" w:rsidRDefault="00CC44D9" w:rsidP="00B01F31">
      <w:pPr>
        <w:autoSpaceDE w:val="0"/>
        <w:autoSpaceDN w:val="0"/>
        <w:adjustRightInd w:val="0"/>
        <w:rPr>
          <w:szCs w:val="24"/>
        </w:rPr>
      </w:pPr>
      <w:r w:rsidRPr="00B01F31">
        <w:rPr>
          <w:szCs w:val="24"/>
        </w:rPr>
        <w:t>In the present case, after Lucía Camana Osorio’s family died in 1994, the respondent State granted her asylum, hence protecting her life.</w:t>
      </w:r>
      <w:r w:rsidRPr="00B01F31">
        <w:rPr>
          <w:rStyle w:val="FootnoteReference"/>
          <w:szCs w:val="24"/>
        </w:rPr>
        <w:footnoteReference w:id="68"/>
      </w:r>
      <w:r w:rsidRPr="00B01F31">
        <w:rPr>
          <w:szCs w:val="24"/>
        </w:rPr>
        <w:t xml:space="preserve"> At th</w:t>
      </w:r>
      <w:r w:rsidR="00AD08E1" w:rsidRPr="00B01F31">
        <w:rPr>
          <w:szCs w:val="24"/>
        </w:rPr>
        <w:t>at</w:t>
      </w:r>
      <w:r w:rsidRPr="00B01F31">
        <w:rPr>
          <w:szCs w:val="24"/>
        </w:rPr>
        <w:t xml:space="preserve"> time, Lucía Camana Osorio was a minor.</w:t>
      </w:r>
      <w:r w:rsidRPr="00B01F31">
        <w:rPr>
          <w:rStyle w:val="FootnoteReference"/>
          <w:szCs w:val="24"/>
        </w:rPr>
        <w:footnoteReference w:id="69"/>
      </w:r>
      <w:r w:rsidRPr="00B01F31">
        <w:rPr>
          <w:szCs w:val="24"/>
        </w:rPr>
        <w:t xml:space="preserve"> Therefore, the respondent State acted in compliance with Art. 27 of the American Declaration of the Rights and Duties of Man, which provides the right to seek and receive asylum in accordance with domestic laws and international agreements. The respondent State granted Lucía Camana Osorio asylum until 1998, when she voluntarily decided to return to Madruga to reunite with her remaining family.</w:t>
      </w:r>
      <w:r w:rsidRPr="00B01F31">
        <w:rPr>
          <w:rStyle w:val="FootnoteReference"/>
          <w:szCs w:val="24"/>
        </w:rPr>
        <w:footnoteReference w:id="70"/>
      </w:r>
      <w:r w:rsidRPr="00B01F31">
        <w:rPr>
          <w:szCs w:val="24"/>
        </w:rPr>
        <w:t xml:space="preserve"> In compliance with its positive obligations under Art. 17 ACHR and </w:t>
      </w:r>
      <w:r w:rsidR="00AE3C7D" w:rsidRPr="00B01F31">
        <w:rPr>
          <w:szCs w:val="24"/>
        </w:rPr>
        <w:t>acknowledging Lucía Camana Osorio’s own wishes</w:t>
      </w:r>
      <w:r w:rsidRPr="00B01F31">
        <w:rPr>
          <w:szCs w:val="24"/>
        </w:rPr>
        <w:t xml:space="preserve">, the respondent State granted her </w:t>
      </w:r>
      <w:r w:rsidR="00AD08E1" w:rsidRPr="00B01F31">
        <w:rPr>
          <w:szCs w:val="24"/>
        </w:rPr>
        <w:t xml:space="preserve">the </w:t>
      </w:r>
      <w:r w:rsidRPr="00B01F31">
        <w:rPr>
          <w:szCs w:val="24"/>
        </w:rPr>
        <w:t xml:space="preserve">necessary freedom of movement. </w:t>
      </w:r>
    </w:p>
    <w:p w:rsidR="00CC44D9" w:rsidRPr="00B01F31" w:rsidRDefault="00CC44D9" w:rsidP="00B01F31">
      <w:pPr>
        <w:autoSpaceDE w:val="0"/>
        <w:autoSpaceDN w:val="0"/>
        <w:adjustRightInd w:val="0"/>
        <w:rPr>
          <w:szCs w:val="24"/>
        </w:rPr>
      </w:pPr>
      <w:r w:rsidRPr="00B01F31">
        <w:rPr>
          <w:szCs w:val="24"/>
        </w:rPr>
        <w:t>The respondent State</w:t>
      </w:r>
      <w:r w:rsidR="00AD08E1" w:rsidRPr="00B01F31">
        <w:rPr>
          <w:szCs w:val="24"/>
        </w:rPr>
        <w:t>,</w:t>
      </w:r>
      <w:r w:rsidRPr="00B01F31">
        <w:rPr>
          <w:szCs w:val="24"/>
        </w:rPr>
        <w:t xml:space="preserve"> thus</w:t>
      </w:r>
      <w:r w:rsidR="00AD08E1" w:rsidRPr="00B01F31">
        <w:rPr>
          <w:szCs w:val="24"/>
        </w:rPr>
        <w:t>,</w:t>
      </w:r>
      <w:r w:rsidRPr="00B01F31">
        <w:rPr>
          <w:szCs w:val="24"/>
        </w:rPr>
        <w:t xml:space="preserve"> met its positive obligations to develop and strengthen Lucía Camana Osorio’s family ties by </w:t>
      </w:r>
      <w:r w:rsidR="00AE3C7D" w:rsidRPr="00B01F31">
        <w:rPr>
          <w:szCs w:val="24"/>
        </w:rPr>
        <w:t>affording her free movement to Madruga to</w:t>
      </w:r>
      <w:r w:rsidRPr="00B01F31">
        <w:rPr>
          <w:szCs w:val="24"/>
        </w:rPr>
        <w:t xml:space="preserve"> reunite with her family in accordance with Art. 17(1), Art.</w:t>
      </w:r>
      <w:r w:rsidR="00AE3C7D" w:rsidRPr="00B01F31">
        <w:rPr>
          <w:szCs w:val="24"/>
        </w:rPr>
        <w:t> </w:t>
      </w:r>
      <w:r w:rsidRPr="00B01F31">
        <w:rPr>
          <w:szCs w:val="24"/>
        </w:rPr>
        <w:t>1(1) and Art.</w:t>
      </w:r>
      <w:r w:rsidR="00AD08E1" w:rsidRPr="00B01F31">
        <w:rPr>
          <w:szCs w:val="24"/>
        </w:rPr>
        <w:t> </w:t>
      </w:r>
      <w:r w:rsidRPr="00B01F31">
        <w:rPr>
          <w:szCs w:val="24"/>
        </w:rPr>
        <w:t>2 ACHR.</w:t>
      </w:r>
    </w:p>
    <w:p w:rsidR="00816991" w:rsidRPr="00B01F31" w:rsidRDefault="00816991" w:rsidP="00B01F31">
      <w:pPr>
        <w:autoSpaceDE w:val="0"/>
        <w:autoSpaceDN w:val="0"/>
        <w:adjustRightInd w:val="0"/>
        <w:rPr>
          <w:szCs w:val="24"/>
        </w:rPr>
      </w:pPr>
    </w:p>
    <w:p w:rsidR="00CC44D9" w:rsidRPr="00B01F31" w:rsidRDefault="00CC44D9" w:rsidP="00B01F31">
      <w:pPr>
        <w:pStyle w:val="Heading3"/>
        <w:widowControl/>
        <w:spacing w:line="480" w:lineRule="auto"/>
        <w:rPr>
          <w:b/>
          <w:sz w:val="24"/>
          <w:szCs w:val="24"/>
        </w:rPr>
      </w:pPr>
      <w:bookmarkStart w:id="57" w:name="_Toc320527166"/>
      <w:bookmarkStart w:id="58" w:name="_Toc320535474"/>
      <w:bookmarkStart w:id="59" w:name="_Toc320642838"/>
      <w:bookmarkStart w:id="60" w:name="_Toc320823102"/>
      <w:r w:rsidRPr="00B01F31">
        <w:rPr>
          <w:b/>
          <w:sz w:val="24"/>
          <w:szCs w:val="24"/>
        </w:rPr>
        <w:lastRenderedPageBreak/>
        <w:t>The respondent State fulfilled all its legal obligations with regard to</w:t>
      </w:r>
      <w:r w:rsidRPr="00B01F31">
        <w:rPr>
          <w:b/>
          <w:bCs/>
          <w:sz w:val="24"/>
          <w:szCs w:val="24"/>
        </w:rPr>
        <w:t xml:space="preserve"> the </w:t>
      </w:r>
      <w:r w:rsidRPr="00B01F31">
        <w:rPr>
          <w:b/>
          <w:sz w:val="24"/>
          <w:szCs w:val="24"/>
        </w:rPr>
        <w:t>next of kin</w:t>
      </w:r>
      <w:bookmarkEnd w:id="57"/>
      <w:bookmarkEnd w:id="58"/>
      <w:bookmarkEnd w:id="59"/>
      <w:r w:rsidR="00402CE8" w:rsidRPr="00B01F31">
        <w:rPr>
          <w:b/>
          <w:sz w:val="24"/>
          <w:szCs w:val="24"/>
        </w:rPr>
        <w:t xml:space="preserve"> of the Camana Osorio family</w:t>
      </w:r>
      <w:bookmarkEnd w:id="60"/>
    </w:p>
    <w:p w:rsidR="00CC44D9" w:rsidRPr="00B01F31" w:rsidRDefault="00CC44D9" w:rsidP="00B01F31">
      <w:pPr>
        <w:pStyle w:val="Heading4"/>
        <w:tabs>
          <w:tab w:val="clear" w:pos="864"/>
          <w:tab w:val="num" w:pos="709"/>
        </w:tabs>
        <w:spacing w:line="480" w:lineRule="auto"/>
        <w:ind w:left="709" w:hanging="709"/>
        <w:rPr>
          <w:b/>
          <w:sz w:val="24"/>
          <w:szCs w:val="24"/>
        </w:rPr>
      </w:pPr>
      <w:bookmarkStart w:id="61" w:name="_Toc320535475"/>
      <w:bookmarkStart w:id="62" w:name="_Toc320823103"/>
      <w:r w:rsidRPr="00B01F31">
        <w:rPr>
          <w:b/>
          <w:sz w:val="24"/>
          <w:szCs w:val="24"/>
        </w:rPr>
        <w:t>The respondent State fulfilled all its legal obligations with regard to the right to humane treatment in accordance with Art. 5(1), Art. 1(1) and Art. 2</w:t>
      </w:r>
      <w:bookmarkEnd w:id="61"/>
      <w:r w:rsidRPr="00B01F31">
        <w:rPr>
          <w:b/>
          <w:sz w:val="24"/>
          <w:szCs w:val="24"/>
        </w:rPr>
        <w:t xml:space="preserve"> ACHR</w:t>
      </w:r>
      <w:bookmarkEnd w:id="62"/>
    </w:p>
    <w:p w:rsidR="00CC44D9" w:rsidRPr="00B01F31" w:rsidRDefault="00CC44D9" w:rsidP="00B01F31">
      <w:pPr>
        <w:rPr>
          <w:szCs w:val="24"/>
        </w:rPr>
      </w:pPr>
      <w:r w:rsidRPr="00B01F31">
        <w:rPr>
          <w:szCs w:val="24"/>
        </w:rPr>
        <w:t xml:space="preserve">The respondent State respected the right to humane treatment of </w:t>
      </w:r>
      <w:r w:rsidR="00AE3C7D" w:rsidRPr="00B01F31">
        <w:rPr>
          <w:szCs w:val="24"/>
        </w:rPr>
        <w:t>the</w:t>
      </w:r>
      <w:r w:rsidRPr="00B01F31">
        <w:rPr>
          <w:szCs w:val="24"/>
        </w:rPr>
        <w:t xml:space="preserve"> next of kin </w:t>
      </w:r>
      <w:r w:rsidR="00AE3C7D" w:rsidRPr="00B01F31">
        <w:rPr>
          <w:szCs w:val="24"/>
        </w:rPr>
        <w:t xml:space="preserve">of the Camana Osorio family </w:t>
      </w:r>
      <w:r w:rsidRPr="00B01F31">
        <w:rPr>
          <w:szCs w:val="24"/>
        </w:rPr>
        <w:t>under Art. 5(1), Art. 1(1) and Art. 2 ACHR</w:t>
      </w:r>
      <w:r w:rsidR="00A848A4" w:rsidRPr="00B01F31">
        <w:rPr>
          <w:szCs w:val="24"/>
        </w:rPr>
        <w:t xml:space="preserve"> by </w:t>
      </w:r>
      <w:r w:rsidR="008F3D64" w:rsidRPr="00B01F31">
        <w:rPr>
          <w:szCs w:val="24"/>
        </w:rPr>
        <w:t>granting</w:t>
      </w:r>
      <w:r w:rsidR="00A848A4" w:rsidRPr="00B01F31">
        <w:rPr>
          <w:szCs w:val="24"/>
        </w:rPr>
        <w:t xml:space="preserve"> them </w:t>
      </w:r>
      <w:r w:rsidR="008F3D64" w:rsidRPr="00B01F31">
        <w:rPr>
          <w:szCs w:val="24"/>
        </w:rPr>
        <w:t>access to all judiciary proceedings</w:t>
      </w:r>
      <w:r w:rsidR="00A848A4" w:rsidRPr="00B01F31">
        <w:rPr>
          <w:szCs w:val="24"/>
        </w:rPr>
        <w:t xml:space="preserve"> to seek justice for the deaths of Edmundo Camana and his family</w:t>
      </w:r>
      <w:r w:rsidR="008F3D64" w:rsidRPr="00B01F31">
        <w:rPr>
          <w:szCs w:val="24"/>
        </w:rPr>
        <w:t>, and by deciding all legal actions in a timely manner to help them avoid further suffering</w:t>
      </w:r>
      <w:r w:rsidRPr="00B01F31">
        <w:rPr>
          <w:szCs w:val="24"/>
        </w:rPr>
        <w:t>.</w:t>
      </w:r>
    </w:p>
    <w:p w:rsidR="00CC44D9" w:rsidRPr="00B01F31" w:rsidRDefault="00CC44D9" w:rsidP="00B01F31">
      <w:pPr>
        <w:rPr>
          <w:szCs w:val="24"/>
        </w:rPr>
      </w:pPr>
      <w:r w:rsidRPr="00B01F31">
        <w:rPr>
          <w:szCs w:val="24"/>
        </w:rPr>
        <w:t>In order to determine a violation of Art. 5(1) ACHR, the Court assesses whether the alleged victims have been involved in seeking justice in the specific case, and whether they have endured special suffering as a result of the facts of the case or of subsequent acts or omissions of the state’s authorities.</w:t>
      </w:r>
      <w:r w:rsidRPr="00B01F31">
        <w:rPr>
          <w:rStyle w:val="FootnoteReference"/>
          <w:szCs w:val="24"/>
        </w:rPr>
        <w:footnoteReference w:id="71"/>
      </w:r>
      <w:r w:rsidRPr="00B01F31">
        <w:rPr>
          <w:szCs w:val="24"/>
        </w:rPr>
        <w:t xml:space="preserve"> Moreover, </w:t>
      </w:r>
      <w:r w:rsidR="00AE3C7D" w:rsidRPr="00B01F31">
        <w:rPr>
          <w:szCs w:val="24"/>
        </w:rPr>
        <w:t xml:space="preserve">a </w:t>
      </w:r>
      <w:r w:rsidRPr="00B01F31">
        <w:rPr>
          <w:szCs w:val="24"/>
        </w:rPr>
        <w:t>continued refusal of the state’s authorities to conduct an effective investigation into the facts violates the right to mental and moral integrity of the victim’s next of kin pursuant to Art. 5(1) ACHR.</w:t>
      </w:r>
      <w:r w:rsidRPr="00B01F31">
        <w:rPr>
          <w:rStyle w:val="FootnoteReference"/>
          <w:szCs w:val="24"/>
        </w:rPr>
        <w:footnoteReference w:id="72"/>
      </w:r>
    </w:p>
    <w:p w:rsidR="00CC44D9" w:rsidRPr="00B01F31" w:rsidRDefault="00CC44D9" w:rsidP="00B01F31">
      <w:pPr>
        <w:rPr>
          <w:color w:val="000000"/>
          <w:szCs w:val="24"/>
        </w:rPr>
      </w:pPr>
      <w:r w:rsidRPr="00B01F31">
        <w:rPr>
          <w:szCs w:val="24"/>
        </w:rPr>
        <w:t xml:space="preserve">In the present case, </w:t>
      </w:r>
      <w:r w:rsidRPr="00B01F31">
        <w:rPr>
          <w:color w:val="000000"/>
          <w:szCs w:val="24"/>
        </w:rPr>
        <w:t>the respondent State granted the Applicant effective legal means within its jurisdiction, providing the Applicant full access to all levels of the judiciary proceedings in accordance with Art. 8 ACHR.</w:t>
      </w:r>
      <w:r w:rsidRPr="00B01F31">
        <w:rPr>
          <w:rStyle w:val="FootnoteReference"/>
          <w:color w:val="000000"/>
          <w:szCs w:val="24"/>
        </w:rPr>
        <w:footnoteReference w:id="73"/>
      </w:r>
      <w:r w:rsidRPr="00B01F31">
        <w:rPr>
          <w:color w:val="000000"/>
          <w:szCs w:val="24"/>
        </w:rPr>
        <w:t xml:space="preserve"> There is no evidence that the proceedings before the Federal Courts, Civil Divisions and Supreme Court of the respondent State had caused a sense of insecurity, frustration or impotence, which could violate the Applicant’s right to personal </w:t>
      </w:r>
      <w:r w:rsidRPr="00B01F31">
        <w:rPr>
          <w:color w:val="000000"/>
          <w:szCs w:val="24"/>
        </w:rPr>
        <w:lastRenderedPageBreak/>
        <w:t>integrity.</w:t>
      </w:r>
      <w:r w:rsidRPr="00B01F31">
        <w:rPr>
          <w:rStyle w:val="FootnoteReference"/>
          <w:color w:val="000000"/>
          <w:szCs w:val="24"/>
        </w:rPr>
        <w:footnoteReference w:id="74"/>
      </w:r>
      <w:r w:rsidRPr="00B01F31">
        <w:rPr>
          <w:color w:val="000000"/>
          <w:szCs w:val="24"/>
        </w:rPr>
        <w:t xml:space="preserve"> The Applicant does</w:t>
      </w:r>
      <w:r w:rsidR="007516EE" w:rsidRPr="00B01F31">
        <w:rPr>
          <w:color w:val="000000"/>
          <w:szCs w:val="24"/>
        </w:rPr>
        <w:t xml:space="preserve"> also</w:t>
      </w:r>
      <w:r w:rsidRPr="00B01F31">
        <w:rPr>
          <w:color w:val="000000"/>
          <w:szCs w:val="24"/>
        </w:rPr>
        <w:t xml:space="preserve"> not claim a violation of the ACHR but merely expresses its dissatisfaction with the inadmissibility decision regarding the criminal investigations in the respondent State.</w:t>
      </w:r>
      <w:r w:rsidRPr="00B01F31">
        <w:rPr>
          <w:rStyle w:val="FootnoteReference"/>
          <w:color w:val="000000"/>
          <w:szCs w:val="24"/>
        </w:rPr>
        <w:footnoteReference w:id="75"/>
      </w:r>
      <w:r w:rsidRPr="00B01F31">
        <w:rPr>
          <w:color w:val="000000"/>
          <w:szCs w:val="24"/>
        </w:rPr>
        <w:t xml:space="preserve"> Therefore, the respondent State did not violate the right to humane treatment pursuant to </w:t>
      </w:r>
      <w:r w:rsidRPr="00B01F31">
        <w:rPr>
          <w:szCs w:val="24"/>
        </w:rPr>
        <w:t>Art. 5(1), Art. 1(1) and Art. 2 ACHR.</w:t>
      </w:r>
    </w:p>
    <w:p w:rsidR="005D3ABA" w:rsidRPr="00B01F31" w:rsidRDefault="007B0AB5" w:rsidP="00B01F31">
      <w:pPr>
        <w:pStyle w:val="Heading3"/>
        <w:widowControl/>
        <w:spacing w:before="0" w:line="480" w:lineRule="auto"/>
        <w:rPr>
          <w:b/>
          <w:bCs/>
          <w:sz w:val="24"/>
          <w:szCs w:val="24"/>
        </w:rPr>
      </w:pPr>
      <w:bookmarkStart w:id="63" w:name="_Toc320823104"/>
      <w:r w:rsidRPr="00B01F31">
        <w:rPr>
          <w:b/>
          <w:sz w:val="24"/>
          <w:szCs w:val="24"/>
        </w:rPr>
        <w:t>The respondent State fulfilled all its legal obligations with regard to</w:t>
      </w:r>
      <w:r w:rsidRPr="00B01F31">
        <w:rPr>
          <w:b/>
          <w:bCs/>
          <w:sz w:val="24"/>
          <w:szCs w:val="24"/>
        </w:rPr>
        <w:t xml:space="preserve"> </w:t>
      </w:r>
      <w:r w:rsidR="001A0879" w:rsidRPr="00B01F31">
        <w:rPr>
          <w:b/>
          <w:bCs/>
          <w:sz w:val="24"/>
          <w:szCs w:val="24"/>
        </w:rPr>
        <w:t>the</w:t>
      </w:r>
      <w:r w:rsidR="005D3ABA" w:rsidRPr="00B01F31">
        <w:rPr>
          <w:b/>
          <w:bCs/>
          <w:sz w:val="24"/>
          <w:szCs w:val="24"/>
        </w:rPr>
        <w:t xml:space="preserve"> Pichicha people</w:t>
      </w:r>
      <w:bookmarkEnd w:id="15"/>
      <w:bookmarkEnd w:id="63"/>
    </w:p>
    <w:p w:rsidR="001A0879" w:rsidRPr="00B01F31" w:rsidRDefault="001A0879" w:rsidP="00B01F31">
      <w:pPr>
        <w:pStyle w:val="Heading4"/>
        <w:tabs>
          <w:tab w:val="clear" w:pos="864"/>
          <w:tab w:val="num" w:pos="709"/>
        </w:tabs>
        <w:spacing w:line="480" w:lineRule="auto"/>
        <w:ind w:left="709" w:hanging="709"/>
        <w:rPr>
          <w:b/>
          <w:sz w:val="24"/>
          <w:szCs w:val="24"/>
        </w:rPr>
      </w:pPr>
      <w:bookmarkStart w:id="64" w:name="_Toc320823105"/>
      <w:bookmarkEnd w:id="16"/>
      <w:r w:rsidRPr="00B01F31">
        <w:rPr>
          <w:b/>
          <w:sz w:val="24"/>
          <w:szCs w:val="24"/>
        </w:rPr>
        <w:t>The respondent State fulfilled all its legal obligations with regard to the right to humane treatment in accordance with Art. 5 ACHR</w:t>
      </w:r>
      <w:bookmarkEnd w:id="64"/>
      <w:r w:rsidRPr="00B01F31">
        <w:rPr>
          <w:b/>
          <w:sz w:val="24"/>
          <w:szCs w:val="24"/>
        </w:rPr>
        <w:t xml:space="preserve"> </w:t>
      </w:r>
    </w:p>
    <w:p w:rsidR="009540E3" w:rsidRPr="00B01F31" w:rsidRDefault="009540E3" w:rsidP="00B01F31">
      <w:pPr>
        <w:rPr>
          <w:szCs w:val="24"/>
        </w:rPr>
      </w:pPr>
      <w:r w:rsidRPr="00B01F31">
        <w:rPr>
          <w:szCs w:val="24"/>
        </w:rPr>
        <w:t xml:space="preserve">The </w:t>
      </w:r>
      <w:r w:rsidR="002B79AA" w:rsidRPr="00B01F31">
        <w:rPr>
          <w:szCs w:val="24"/>
        </w:rPr>
        <w:t xml:space="preserve">respondent </w:t>
      </w:r>
      <w:r w:rsidRPr="00B01F31">
        <w:rPr>
          <w:szCs w:val="24"/>
        </w:rPr>
        <w:t>State fulfil</w:t>
      </w:r>
      <w:r w:rsidR="00D32FDF" w:rsidRPr="00B01F31">
        <w:rPr>
          <w:szCs w:val="24"/>
        </w:rPr>
        <w:t xml:space="preserve">led its obligations </w:t>
      </w:r>
      <w:r w:rsidR="00465F07" w:rsidRPr="00B01F31">
        <w:rPr>
          <w:szCs w:val="24"/>
        </w:rPr>
        <w:t>under</w:t>
      </w:r>
      <w:r w:rsidRPr="00B01F31">
        <w:rPr>
          <w:szCs w:val="24"/>
        </w:rPr>
        <w:t xml:space="preserve"> </w:t>
      </w:r>
      <w:r w:rsidR="00EF4CED" w:rsidRPr="00B01F31">
        <w:rPr>
          <w:szCs w:val="24"/>
        </w:rPr>
        <w:t>Art. </w:t>
      </w:r>
      <w:r w:rsidR="00896147" w:rsidRPr="00B01F31">
        <w:rPr>
          <w:szCs w:val="24"/>
        </w:rPr>
        <w:t>5</w:t>
      </w:r>
      <w:r w:rsidR="00EF4CED" w:rsidRPr="00B01F31">
        <w:rPr>
          <w:szCs w:val="24"/>
        </w:rPr>
        <w:t>(1) </w:t>
      </w:r>
      <w:r w:rsidR="003466AF" w:rsidRPr="00B01F31">
        <w:rPr>
          <w:szCs w:val="24"/>
        </w:rPr>
        <w:t>ACHR</w:t>
      </w:r>
      <w:r w:rsidR="00DB1122" w:rsidRPr="00B01F31">
        <w:rPr>
          <w:szCs w:val="24"/>
        </w:rPr>
        <w:t xml:space="preserve"> </w:t>
      </w:r>
      <w:r w:rsidR="0040386E" w:rsidRPr="00B01F31">
        <w:rPr>
          <w:szCs w:val="24"/>
        </w:rPr>
        <w:t>by</w:t>
      </w:r>
      <w:r w:rsidR="003466AF" w:rsidRPr="00B01F31">
        <w:rPr>
          <w:szCs w:val="24"/>
        </w:rPr>
        <w:t xml:space="preserve"> rapidly decontaminating</w:t>
      </w:r>
      <w:r w:rsidR="00465F07" w:rsidRPr="00B01F31">
        <w:rPr>
          <w:szCs w:val="24"/>
        </w:rPr>
        <w:t xml:space="preserve"> the </w:t>
      </w:r>
      <w:r w:rsidR="002C1F61" w:rsidRPr="00B01F31">
        <w:rPr>
          <w:szCs w:val="24"/>
        </w:rPr>
        <w:t>Pampulla Lagoon</w:t>
      </w:r>
      <w:r w:rsidR="00DB387B" w:rsidRPr="00B01F31">
        <w:rPr>
          <w:szCs w:val="24"/>
        </w:rPr>
        <w:t xml:space="preserve"> without displacing </w:t>
      </w:r>
      <w:r w:rsidR="00923A2C" w:rsidRPr="00B01F31">
        <w:rPr>
          <w:szCs w:val="24"/>
        </w:rPr>
        <w:t>the Pichicha</w:t>
      </w:r>
      <w:r w:rsidR="00DB387B" w:rsidRPr="00B01F31">
        <w:rPr>
          <w:szCs w:val="24"/>
        </w:rPr>
        <w:t xml:space="preserve"> people</w:t>
      </w:r>
      <w:r w:rsidR="002C1F61" w:rsidRPr="00B01F31">
        <w:rPr>
          <w:szCs w:val="24"/>
        </w:rPr>
        <w:t xml:space="preserve"> and</w:t>
      </w:r>
      <w:r w:rsidR="0040386E" w:rsidRPr="00B01F31">
        <w:rPr>
          <w:szCs w:val="24"/>
        </w:rPr>
        <w:t xml:space="preserve"> </w:t>
      </w:r>
      <w:r w:rsidR="00434E61" w:rsidRPr="00B01F31">
        <w:rPr>
          <w:szCs w:val="24"/>
        </w:rPr>
        <w:t>pro</w:t>
      </w:r>
      <w:r w:rsidR="00923A2C" w:rsidRPr="00B01F31">
        <w:rPr>
          <w:szCs w:val="24"/>
        </w:rPr>
        <w:t>viding</w:t>
      </w:r>
      <w:r w:rsidR="00434E61" w:rsidRPr="00B01F31">
        <w:rPr>
          <w:szCs w:val="24"/>
        </w:rPr>
        <w:t xml:space="preserve"> </w:t>
      </w:r>
      <w:r w:rsidR="00DB387B" w:rsidRPr="00B01F31">
        <w:rPr>
          <w:szCs w:val="24"/>
        </w:rPr>
        <w:t>them</w:t>
      </w:r>
      <w:r w:rsidR="00434E61" w:rsidRPr="00B01F31">
        <w:rPr>
          <w:szCs w:val="24"/>
        </w:rPr>
        <w:t xml:space="preserve"> with potable water.</w:t>
      </w:r>
      <w:r w:rsidR="0017120D" w:rsidRPr="00B01F31">
        <w:rPr>
          <w:rStyle w:val="FootnoteReference"/>
          <w:szCs w:val="24"/>
        </w:rPr>
        <w:footnoteReference w:id="76"/>
      </w:r>
      <w:r w:rsidR="0048468F" w:rsidRPr="00B01F31">
        <w:rPr>
          <w:szCs w:val="24"/>
        </w:rPr>
        <w:t xml:space="preserve"> </w:t>
      </w:r>
    </w:p>
    <w:p w:rsidR="009540E3" w:rsidRPr="00B01F31" w:rsidRDefault="009540E3" w:rsidP="00B01F31">
      <w:pPr>
        <w:rPr>
          <w:szCs w:val="24"/>
        </w:rPr>
      </w:pPr>
      <w:r w:rsidRPr="00B01F31">
        <w:rPr>
          <w:color w:val="000000"/>
          <w:szCs w:val="24"/>
        </w:rPr>
        <w:t>According to Art.</w:t>
      </w:r>
      <w:r w:rsidR="00EF4CED" w:rsidRPr="00B01F31">
        <w:rPr>
          <w:color w:val="000000"/>
          <w:szCs w:val="24"/>
        </w:rPr>
        <w:t> </w:t>
      </w:r>
      <w:r w:rsidR="00896147" w:rsidRPr="00B01F31">
        <w:rPr>
          <w:color w:val="000000"/>
          <w:szCs w:val="24"/>
        </w:rPr>
        <w:t>5</w:t>
      </w:r>
      <w:r w:rsidRPr="00B01F31">
        <w:rPr>
          <w:color w:val="000000"/>
          <w:szCs w:val="24"/>
        </w:rPr>
        <w:t>(1)</w:t>
      </w:r>
      <w:r w:rsidR="00EF4CED" w:rsidRPr="00B01F31">
        <w:rPr>
          <w:color w:val="000000"/>
          <w:szCs w:val="24"/>
        </w:rPr>
        <w:t> </w:t>
      </w:r>
      <w:r w:rsidRPr="00B01F31">
        <w:rPr>
          <w:color w:val="000000"/>
          <w:szCs w:val="24"/>
        </w:rPr>
        <w:t>ACHR</w:t>
      </w:r>
      <w:r w:rsidR="00987A37" w:rsidRPr="00B01F31">
        <w:rPr>
          <w:color w:val="000000"/>
          <w:szCs w:val="24"/>
        </w:rPr>
        <w:t>,</w:t>
      </w:r>
      <w:r w:rsidRPr="00B01F31">
        <w:rPr>
          <w:color w:val="000000"/>
          <w:szCs w:val="24"/>
        </w:rPr>
        <w:t xml:space="preserve"> every </w:t>
      </w:r>
      <w:r w:rsidR="0040386E" w:rsidRPr="00B01F31">
        <w:rPr>
          <w:color w:val="000000"/>
          <w:szCs w:val="24"/>
        </w:rPr>
        <w:t>person has the right to have its</w:t>
      </w:r>
      <w:r w:rsidRPr="00B01F31">
        <w:rPr>
          <w:color w:val="000000"/>
          <w:szCs w:val="24"/>
        </w:rPr>
        <w:t xml:space="preserve"> physical, m</w:t>
      </w:r>
      <w:r w:rsidR="00BB71AF" w:rsidRPr="00B01F31">
        <w:rPr>
          <w:color w:val="000000"/>
          <w:szCs w:val="24"/>
        </w:rPr>
        <w:t>ental, and moral integrity</w:t>
      </w:r>
      <w:r w:rsidRPr="00B01F31">
        <w:rPr>
          <w:color w:val="000000"/>
          <w:szCs w:val="24"/>
        </w:rPr>
        <w:t xml:space="preserve"> respected.</w:t>
      </w:r>
      <w:r w:rsidR="00CE3FC1" w:rsidRPr="00B01F31">
        <w:rPr>
          <w:rStyle w:val="FootnoteReference"/>
          <w:color w:val="000000"/>
          <w:szCs w:val="24"/>
        </w:rPr>
        <w:footnoteReference w:id="77"/>
      </w:r>
      <w:r w:rsidR="000E5948" w:rsidRPr="00B01F31">
        <w:rPr>
          <w:color w:val="000000"/>
          <w:szCs w:val="24"/>
        </w:rPr>
        <w:t xml:space="preserve"> </w:t>
      </w:r>
      <w:r w:rsidR="00E208F0" w:rsidRPr="00B01F31">
        <w:rPr>
          <w:szCs w:val="24"/>
        </w:rPr>
        <w:t xml:space="preserve">The right to physical </w:t>
      </w:r>
      <w:r w:rsidR="00373858" w:rsidRPr="00B01F31">
        <w:rPr>
          <w:szCs w:val="24"/>
        </w:rPr>
        <w:t>integrity</w:t>
      </w:r>
      <w:r w:rsidR="00E208F0" w:rsidRPr="00B01F31">
        <w:rPr>
          <w:szCs w:val="24"/>
        </w:rPr>
        <w:t xml:space="preserve"> is a right intrinsically connected to the right to life and can also be invoked in the context of environmental harm.</w:t>
      </w:r>
      <w:r w:rsidR="00E208F0" w:rsidRPr="00B01F31">
        <w:rPr>
          <w:rStyle w:val="FootnoteReference"/>
          <w:szCs w:val="24"/>
        </w:rPr>
        <w:footnoteReference w:id="78"/>
      </w:r>
      <w:r w:rsidR="00E208F0" w:rsidRPr="00B01F31">
        <w:rPr>
          <w:szCs w:val="24"/>
        </w:rPr>
        <w:t xml:space="preserve"> </w:t>
      </w:r>
    </w:p>
    <w:p w:rsidR="00E05A71" w:rsidRDefault="00071B7F" w:rsidP="00B01F31">
      <w:pPr>
        <w:autoSpaceDE w:val="0"/>
        <w:autoSpaceDN w:val="0"/>
        <w:adjustRightInd w:val="0"/>
        <w:rPr>
          <w:szCs w:val="24"/>
        </w:rPr>
      </w:pPr>
      <w:r w:rsidRPr="00B01F31">
        <w:rPr>
          <w:color w:val="000000"/>
          <w:szCs w:val="24"/>
        </w:rPr>
        <w:t xml:space="preserve">The Court </w:t>
      </w:r>
      <w:r w:rsidR="00B526E8" w:rsidRPr="00B01F31">
        <w:rPr>
          <w:color w:val="000000"/>
          <w:szCs w:val="24"/>
        </w:rPr>
        <w:t xml:space="preserve">decided </w:t>
      </w:r>
      <w:r w:rsidRPr="00B01F31">
        <w:rPr>
          <w:color w:val="000000"/>
          <w:szCs w:val="24"/>
        </w:rPr>
        <w:t xml:space="preserve">in </w:t>
      </w:r>
      <w:r w:rsidRPr="00B01F31">
        <w:rPr>
          <w:i/>
          <w:iCs/>
          <w:color w:val="000000"/>
          <w:szCs w:val="24"/>
        </w:rPr>
        <w:t>Loayza Tamayo v</w:t>
      </w:r>
      <w:r w:rsidR="00BB71AF" w:rsidRPr="00B01F31">
        <w:rPr>
          <w:i/>
          <w:iCs/>
          <w:color w:val="000000"/>
          <w:szCs w:val="24"/>
        </w:rPr>
        <w:t>.</w:t>
      </w:r>
      <w:r w:rsidRPr="00B01F31">
        <w:rPr>
          <w:i/>
          <w:iCs/>
          <w:color w:val="000000"/>
          <w:szCs w:val="24"/>
        </w:rPr>
        <w:t xml:space="preserve"> Per</w:t>
      </w:r>
      <w:r w:rsidR="000608E1" w:rsidRPr="00B01F31">
        <w:rPr>
          <w:i/>
          <w:iCs/>
          <w:color w:val="000000"/>
          <w:szCs w:val="24"/>
        </w:rPr>
        <w:t>u</w:t>
      </w:r>
      <w:r w:rsidR="007F02E5" w:rsidRPr="00B01F31">
        <w:rPr>
          <w:color w:val="000000"/>
          <w:szCs w:val="24"/>
        </w:rPr>
        <w:t xml:space="preserve"> </w:t>
      </w:r>
      <w:r w:rsidRPr="00B01F31">
        <w:rPr>
          <w:color w:val="000000"/>
          <w:szCs w:val="24"/>
        </w:rPr>
        <w:t xml:space="preserve">that the violation of the right to physical and psychological integrity of </w:t>
      </w:r>
      <w:r w:rsidR="0040386E" w:rsidRPr="00B01F31">
        <w:rPr>
          <w:color w:val="000000"/>
          <w:szCs w:val="24"/>
        </w:rPr>
        <w:t xml:space="preserve">a </w:t>
      </w:r>
      <w:r w:rsidRPr="00B01F31">
        <w:rPr>
          <w:color w:val="000000"/>
          <w:szCs w:val="24"/>
        </w:rPr>
        <w:t>person has several gradations</w:t>
      </w:r>
      <w:r w:rsidR="00923A2C" w:rsidRPr="00B01F31">
        <w:rPr>
          <w:color w:val="000000"/>
          <w:szCs w:val="24"/>
        </w:rPr>
        <w:t>.</w:t>
      </w:r>
      <w:r w:rsidR="002C4BFF" w:rsidRPr="00B01F31">
        <w:rPr>
          <w:color w:val="000000"/>
          <w:szCs w:val="24"/>
        </w:rPr>
        <w:t xml:space="preserve"> </w:t>
      </w:r>
      <w:r w:rsidR="00AE1B7E" w:rsidRPr="00B01F31">
        <w:rPr>
          <w:color w:val="000000"/>
          <w:szCs w:val="24"/>
        </w:rPr>
        <w:t xml:space="preserve">Therefore, </w:t>
      </w:r>
      <w:r w:rsidR="00B6512A" w:rsidRPr="00B01F31">
        <w:rPr>
          <w:szCs w:val="24"/>
        </w:rPr>
        <w:t xml:space="preserve">not every interference with Art. 5 ACHR is </w:t>
      </w:r>
      <w:r w:rsidR="004C202F" w:rsidRPr="00B01F31">
        <w:rPr>
          <w:szCs w:val="24"/>
        </w:rPr>
        <w:t xml:space="preserve">necessarily </w:t>
      </w:r>
      <w:r w:rsidR="00B6512A" w:rsidRPr="00B01F31">
        <w:rPr>
          <w:szCs w:val="24"/>
        </w:rPr>
        <w:t>a violation thereof</w:t>
      </w:r>
      <w:r w:rsidR="00AE1B7E" w:rsidRPr="00B01F31">
        <w:rPr>
          <w:szCs w:val="24"/>
        </w:rPr>
        <w:t>.</w:t>
      </w:r>
      <w:r w:rsidR="00EA4B97" w:rsidRPr="00B01F31">
        <w:rPr>
          <w:rStyle w:val="FootnoteReference"/>
          <w:color w:val="000000"/>
          <w:szCs w:val="24"/>
        </w:rPr>
        <w:footnoteReference w:id="79"/>
      </w:r>
      <w:r w:rsidR="00EA4B97" w:rsidRPr="00B01F31">
        <w:rPr>
          <w:color w:val="000000"/>
          <w:szCs w:val="24"/>
        </w:rPr>
        <w:t xml:space="preserve"> </w:t>
      </w:r>
      <w:r w:rsidR="00046576" w:rsidRPr="00B01F31">
        <w:rPr>
          <w:color w:val="000000"/>
          <w:szCs w:val="24"/>
        </w:rPr>
        <w:t>In</w:t>
      </w:r>
      <w:r w:rsidR="001316E4" w:rsidRPr="00B01F31">
        <w:rPr>
          <w:color w:val="000000"/>
          <w:szCs w:val="24"/>
        </w:rPr>
        <w:t xml:space="preserve"> </w:t>
      </w:r>
      <w:r w:rsidR="00046576" w:rsidRPr="00B01F31">
        <w:rPr>
          <w:i/>
          <w:iCs/>
          <w:szCs w:val="24"/>
        </w:rPr>
        <w:t>Moiwana Community v. Suriname</w:t>
      </w:r>
      <w:r w:rsidR="00987A37" w:rsidRPr="00B01F31">
        <w:rPr>
          <w:iCs/>
          <w:szCs w:val="24"/>
        </w:rPr>
        <w:t>,</w:t>
      </w:r>
      <w:r w:rsidR="00046576" w:rsidRPr="00B01F31">
        <w:rPr>
          <w:szCs w:val="24"/>
        </w:rPr>
        <w:t xml:space="preserve"> the Court stated that a long-standing absence of effective remedies is typically consid</w:t>
      </w:r>
      <w:r w:rsidR="00D32FDF" w:rsidRPr="00B01F31">
        <w:rPr>
          <w:szCs w:val="24"/>
        </w:rPr>
        <w:t xml:space="preserve">ered </w:t>
      </w:r>
      <w:r w:rsidR="00046576" w:rsidRPr="00B01F31">
        <w:rPr>
          <w:szCs w:val="24"/>
        </w:rPr>
        <w:t>a source of suffering and anguish for the involved individuals.</w:t>
      </w:r>
      <w:r w:rsidR="00046576" w:rsidRPr="00B01F31">
        <w:rPr>
          <w:rStyle w:val="FootnoteReference"/>
          <w:color w:val="000000"/>
          <w:szCs w:val="24"/>
        </w:rPr>
        <w:footnoteReference w:id="80"/>
      </w:r>
      <w:r w:rsidR="002A4F23" w:rsidRPr="00B01F31">
        <w:rPr>
          <w:szCs w:val="24"/>
        </w:rPr>
        <w:t xml:space="preserve"> </w:t>
      </w:r>
    </w:p>
    <w:p w:rsidR="002A4F23" w:rsidRPr="00B01F31" w:rsidRDefault="002A4F23" w:rsidP="00B01F31">
      <w:pPr>
        <w:autoSpaceDE w:val="0"/>
        <w:autoSpaceDN w:val="0"/>
        <w:adjustRightInd w:val="0"/>
        <w:rPr>
          <w:szCs w:val="24"/>
        </w:rPr>
      </w:pPr>
      <w:r w:rsidRPr="00B01F31">
        <w:rPr>
          <w:szCs w:val="24"/>
        </w:rPr>
        <w:lastRenderedPageBreak/>
        <w:t xml:space="preserve">The Court has also confirmed that </w:t>
      </w:r>
      <w:r w:rsidR="007D535C" w:rsidRPr="00B01F31">
        <w:rPr>
          <w:szCs w:val="24"/>
        </w:rPr>
        <w:t xml:space="preserve">the </w:t>
      </w:r>
      <w:r w:rsidRPr="00B01F31">
        <w:rPr>
          <w:szCs w:val="24"/>
        </w:rPr>
        <w:t xml:space="preserve">indigenous </w:t>
      </w:r>
      <w:r w:rsidR="00F27001" w:rsidRPr="00B01F31">
        <w:rPr>
          <w:szCs w:val="24"/>
        </w:rPr>
        <w:t>communi</w:t>
      </w:r>
      <w:r w:rsidR="00B71270" w:rsidRPr="00B01F31">
        <w:rPr>
          <w:szCs w:val="24"/>
        </w:rPr>
        <w:t>ty</w:t>
      </w:r>
      <w:r w:rsidR="00F27001" w:rsidRPr="00B01F31">
        <w:rPr>
          <w:szCs w:val="24"/>
        </w:rPr>
        <w:t>’</w:t>
      </w:r>
      <w:r w:rsidR="00B71270" w:rsidRPr="00B01F31">
        <w:rPr>
          <w:szCs w:val="24"/>
        </w:rPr>
        <w:t>s</w:t>
      </w:r>
      <w:r w:rsidRPr="00B01F31">
        <w:rPr>
          <w:szCs w:val="24"/>
        </w:rPr>
        <w:t xml:space="preserve"> </w:t>
      </w:r>
      <w:r w:rsidR="00F27001" w:rsidRPr="00B01F31">
        <w:rPr>
          <w:szCs w:val="24"/>
        </w:rPr>
        <w:t xml:space="preserve">connection to </w:t>
      </w:r>
      <w:r w:rsidR="004C202F" w:rsidRPr="00B01F31">
        <w:rPr>
          <w:szCs w:val="24"/>
        </w:rPr>
        <w:t xml:space="preserve">its </w:t>
      </w:r>
      <w:r w:rsidRPr="00B01F31">
        <w:rPr>
          <w:szCs w:val="24"/>
        </w:rPr>
        <w:t>traditional land is of vital spiritual, cultural and material importance.</w:t>
      </w:r>
      <w:r w:rsidR="0085694A" w:rsidRPr="00B01F31">
        <w:rPr>
          <w:rStyle w:val="FootnoteReference"/>
          <w:szCs w:val="24"/>
        </w:rPr>
        <w:footnoteReference w:id="81"/>
      </w:r>
      <w:r w:rsidR="003B0CDD" w:rsidRPr="00B01F31">
        <w:rPr>
          <w:szCs w:val="24"/>
        </w:rPr>
        <w:t xml:space="preserve"> </w:t>
      </w:r>
      <w:r w:rsidRPr="00B01F31">
        <w:rPr>
          <w:szCs w:val="24"/>
        </w:rPr>
        <w:t xml:space="preserve">Therefore, the community members must </w:t>
      </w:r>
      <w:r w:rsidR="000608E1" w:rsidRPr="00B01F31">
        <w:rPr>
          <w:szCs w:val="24"/>
        </w:rPr>
        <w:t xml:space="preserve">be able to </w:t>
      </w:r>
      <w:r w:rsidRPr="00B01F31">
        <w:rPr>
          <w:szCs w:val="24"/>
        </w:rPr>
        <w:t>maintain a fluid and multidimensional relationship with their ancestral lands.</w:t>
      </w:r>
      <w:r w:rsidRPr="00B01F31">
        <w:rPr>
          <w:rStyle w:val="FootnoteReference"/>
          <w:szCs w:val="24"/>
        </w:rPr>
        <w:footnoteReference w:id="82"/>
      </w:r>
      <w:r w:rsidR="00752548" w:rsidRPr="00B01F31">
        <w:rPr>
          <w:szCs w:val="24"/>
        </w:rPr>
        <w:t xml:space="preserve"> </w:t>
      </w:r>
    </w:p>
    <w:p w:rsidR="0036149E" w:rsidRPr="00B01F31" w:rsidRDefault="00FF3741" w:rsidP="00B01F31">
      <w:pPr>
        <w:autoSpaceDE w:val="0"/>
        <w:autoSpaceDN w:val="0"/>
        <w:adjustRightInd w:val="0"/>
        <w:rPr>
          <w:szCs w:val="24"/>
        </w:rPr>
      </w:pPr>
      <w:r w:rsidRPr="00B01F31">
        <w:rPr>
          <w:szCs w:val="24"/>
        </w:rPr>
        <w:t>C</w:t>
      </w:r>
      <w:r w:rsidR="000608E1" w:rsidRPr="00B01F31">
        <w:rPr>
          <w:szCs w:val="24"/>
        </w:rPr>
        <w:t>lean water</w:t>
      </w:r>
      <w:r w:rsidRPr="00B01F31">
        <w:rPr>
          <w:szCs w:val="24"/>
        </w:rPr>
        <w:t xml:space="preserve"> is a natural resou</w:t>
      </w:r>
      <w:r w:rsidR="00550B86" w:rsidRPr="00B01F31">
        <w:rPr>
          <w:szCs w:val="24"/>
        </w:rPr>
        <w:t>rce essential for the Pichicha people</w:t>
      </w:r>
      <w:r w:rsidRPr="00B01F31">
        <w:rPr>
          <w:szCs w:val="24"/>
        </w:rPr>
        <w:t xml:space="preserve"> </w:t>
      </w:r>
      <w:r w:rsidR="00AC4624" w:rsidRPr="00B01F31">
        <w:rPr>
          <w:szCs w:val="24"/>
        </w:rPr>
        <w:t>to carry</w:t>
      </w:r>
      <w:r w:rsidR="00862732" w:rsidRPr="00B01F31">
        <w:rPr>
          <w:szCs w:val="24"/>
        </w:rPr>
        <w:t xml:space="preserve"> out</w:t>
      </w:r>
      <w:r w:rsidR="00AC4624" w:rsidRPr="00B01F31">
        <w:rPr>
          <w:szCs w:val="24"/>
        </w:rPr>
        <w:t xml:space="preserve"> </w:t>
      </w:r>
      <w:r w:rsidR="00465F07" w:rsidRPr="00B01F31">
        <w:rPr>
          <w:szCs w:val="24"/>
        </w:rPr>
        <w:t>certain</w:t>
      </w:r>
      <w:r w:rsidR="00AC4624" w:rsidRPr="00B01F31">
        <w:rPr>
          <w:szCs w:val="24"/>
        </w:rPr>
        <w:t xml:space="preserve"> </w:t>
      </w:r>
      <w:r w:rsidR="004F3FBD" w:rsidRPr="00B01F31">
        <w:rPr>
          <w:szCs w:val="24"/>
        </w:rPr>
        <w:t xml:space="preserve">economic, social and cultural </w:t>
      </w:r>
      <w:r w:rsidRPr="00B01F31">
        <w:rPr>
          <w:szCs w:val="24"/>
        </w:rPr>
        <w:t xml:space="preserve">activities, </w:t>
      </w:r>
      <w:r w:rsidR="00F055D4" w:rsidRPr="00B01F31">
        <w:rPr>
          <w:szCs w:val="24"/>
        </w:rPr>
        <w:t>like</w:t>
      </w:r>
      <w:r w:rsidRPr="00B01F31">
        <w:rPr>
          <w:szCs w:val="24"/>
        </w:rPr>
        <w:t xml:space="preserve"> hunting and fishing.</w:t>
      </w:r>
      <w:r w:rsidRPr="00B01F31">
        <w:rPr>
          <w:rStyle w:val="FootnoteReference"/>
          <w:szCs w:val="24"/>
        </w:rPr>
        <w:footnoteReference w:id="83"/>
      </w:r>
      <w:r w:rsidRPr="00B01F31">
        <w:rPr>
          <w:szCs w:val="24"/>
        </w:rPr>
        <w:t xml:space="preserve"> </w:t>
      </w:r>
      <w:r w:rsidR="004C202F" w:rsidRPr="00B01F31">
        <w:rPr>
          <w:szCs w:val="24"/>
        </w:rPr>
        <w:t>F</w:t>
      </w:r>
      <w:r w:rsidR="00807BED" w:rsidRPr="00B01F31">
        <w:rPr>
          <w:szCs w:val="24"/>
        </w:rPr>
        <w:t>ollowing the rupture of a small containment dam built by Silverfield S.A.</w:t>
      </w:r>
      <w:r w:rsidR="004C202F" w:rsidRPr="00B01F31">
        <w:rPr>
          <w:szCs w:val="24"/>
        </w:rPr>
        <w:t xml:space="preserve"> on May 15, 2011,</w:t>
      </w:r>
      <w:r w:rsidR="009543C5" w:rsidRPr="00B01F31">
        <w:rPr>
          <w:szCs w:val="24"/>
        </w:rPr>
        <w:t xml:space="preserve"> the respondent State rapidly decontaminated</w:t>
      </w:r>
      <w:r w:rsidR="00807BED" w:rsidRPr="00B01F31">
        <w:rPr>
          <w:szCs w:val="24"/>
        </w:rPr>
        <w:t xml:space="preserve"> the Pampulla Lagoon </w:t>
      </w:r>
      <w:r w:rsidR="004C202F" w:rsidRPr="00B01F31">
        <w:rPr>
          <w:szCs w:val="24"/>
        </w:rPr>
        <w:t xml:space="preserve">to </w:t>
      </w:r>
      <w:r w:rsidR="00807BED" w:rsidRPr="00B01F31">
        <w:rPr>
          <w:szCs w:val="24"/>
        </w:rPr>
        <w:t>ensure the community’s well-being and safety</w:t>
      </w:r>
      <w:r w:rsidR="00A15E78" w:rsidRPr="00B01F31">
        <w:rPr>
          <w:szCs w:val="24"/>
        </w:rPr>
        <w:t>.</w:t>
      </w:r>
      <w:r w:rsidR="007E4412" w:rsidRPr="00B01F31">
        <w:rPr>
          <w:rStyle w:val="FootnoteReference"/>
          <w:szCs w:val="24"/>
        </w:rPr>
        <w:footnoteReference w:id="84"/>
      </w:r>
      <w:r w:rsidRPr="00B01F31">
        <w:rPr>
          <w:szCs w:val="24"/>
        </w:rPr>
        <w:t xml:space="preserve"> </w:t>
      </w:r>
      <w:r w:rsidR="00550B86" w:rsidRPr="00B01F31">
        <w:rPr>
          <w:szCs w:val="24"/>
        </w:rPr>
        <w:t xml:space="preserve">The respondent State </w:t>
      </w:r>
      <w:r w:rsidR="00F1764C" w:rsidRPr="00B01F31">
        <w:rPr>
          <w:szCs w:val="24"/>
        </w:rPr>
        <w:t xml:space="preserve">also </w:t>
      </w:r>
      <w:r w:rsidR="00550B86" w:rsidRPr="00B01F31">
        <w:rPr>
          <w:szCs w:val="24"/>
        </w:rPr>
        <w:t>undertook e</w:t>
      </w:r>
      <w:r w:rsidR="00093DC7" w:rsidRPr="00B01F31">
        <w:rPr>
          <w:szCs w:val="24"/>
        </w:rPr>
        <w:t xml:space="preserve">xpert technical studies </w:t>
      </w:r>
      <w:r w:rsidR="00550B86" w:rsidRPr="00B01F31">
        <w:rPr>
          <w:szCs w:val="24"/>
        </w:rPr>
        <w:t xml:space="preserve">in order </w:t>
      </w:r>
      <w:r w:rsidR="00093DC7" w:rsidRPr="00B01F31">
        <w:rPr>
          <w:szCs w:val="24"/>
        </w:rPr>
        <w:t xml:space="preserve">to determine whether Silverfield S.A. </w:t>
      </w:r>
      <w:r w:rsidR="00A15E78" w:rsidRPr="00B01F31">
        <w:rPr>
          <w:szCs w:val="24"/>
        </w:rPr>
        <w:t>met</w:t>
      </w:r>
      <w:r w:rsidR="00093DC7" w:rsidRPr="00B01F31">
        <w:rPr>
          <w:szCs w:val="24"/>
        </w:rPr>
        <w:t xml:space="preserve"> the requirements set forth in the c</w:t>
      </w:r>
      <w:r w:rsidR="00BA044E" w:rsidRPr="00B01F31">
        <w:rPr>
          <w:szCs w:val="24"/>
        </w:rPr>
        <w:t>onstruction license for the dam.</w:t>
      </w:r>
      <w:r w:rsidR="00093DC7" w:rsidRPr="00B01F31">
        <w:rPr>
          <w:szCs w:val="24"/>
        </w:rPr>
        <w:t xml:space="preserve"> </w:t>
      </w:r>
      <w:r w:rsidR="00BA044E" w:rsidRPr="00B01F31">
        <w:rPr>
          <w:szCs w:val="24"/>
        </w:rPr>
        <w:t>H</w:t>
      </w:r>
      <w:r w:rsidR="00AC4624" w:rsidRPr="00B01F31">
        <w:rPr>
          <w:szCs w:val="24"/>
        </w:rPr>
        <w:t>owever, the results are still pending</w:t>
      </w:r>
      <w:r w:rsidR="00093DC7" w:rsidRPr="00B01F31">
        <w:rPr>
          <w:szCs w:val="24"/>
        </w:rPr>
        <w:t>.</w:t>
      </w:r>
      <w:r w:rsidR="00093DC7" w:rsidRPr="00B01F31">
        <w:rPr>
          <w:rStyle w:val="FootnoteReference"/>
          <w:szCs w:val="24"/>
        </w:rPr>
        <w:footnoteReference w:id="85"/>
      </w:r>
      <w:r w:rsidR="004A77F9" w:rsidRPr="00B01F31">
        <w:rPr>
          <w:szCs w:val="24"/>
        </w:rPr>
        <w:t xml:space="preserve"> </w:t>
      </w:r>
      <w:r w:rsidR="00093DC7" w:rsidRPr="00B01F31">
        <w:rPr>
          <w:szCs w:val="24"/>
        </w:rPr>
        <w:t>Essen</w:t>
      </w:r>
      <w:r w:rsidR="00AE2DFC" w:rsidRPr="00B01F31">
        <w:rPr>
          <w:szCs w:val="24"/>
        </w:rPr>
        <w:t>tially,</w:t>
      </w:r>
      <w:r w:rsidR="00AE2DFC" w:rsidRPr="00B01F31">
        <w:rPr>
          <w:color w:val="000000"/>
          <w:szCs w:val="24"/>
        </w:rPr>
        <w:t xml:space="preserve"> in light of the</w:t>
      </w:r>
      <w:r w:rsidRPr="00B01F31">
        <w:rPr>
          <w:color w:val="000000"/>
          <w:szCs w:val="24"/>
        </w:rPr>
        <w:t xml:space="preserve"> </w:t>
      </w:r>
      <w:r w:rsidR="008A31C4" w:rsidRPr="00B01F31">
        <w:rPr>
          <w:szCs w:val="24"/>
        </w:rPr>
        <w:t>fast</w:t>
      </w:r>
      <w:r w:rsidR="008A31C4" w:rsidRPr="00B01F31">
        <w:rPr>
          <w:color w:val="000000"/>
          <w:szCs w:val="24"/>
        </w:rPr>
        <w:t xml:space="preserve"> </w:t>
      </w:r>
      <w:r w:rsidRPr="00B01F31">
        <w:rPr>
          <w:color w:val="000000"/>
          <w:szCs w:val="24"/>
        </w:rPr>
        <w:t xml:space="preserve">measures </w:t>
      </w:r>
      <w:r w:rsidR="00441DCA" w:rsidRPr="00B01F31">
        <w:rPr>
          <w:color w:val="000000"/>
          <w:szCs w:val="24"/>
        </w:rPr>
        <w:t>the</w:t>
      </w:r>
      <w:r w:rsidRPr="00B01F31">
        <w:rPr>
          <w:color w:val="000000"/>
          <w:szCs w:val="24"/>
        </w:rPr>
        <w:t xml:space="preserve"> respondent State</w:t>
      </w:r>
      <w:r w:rsidR="00441DCA" w:rsidRPr="00B01F31">
        <w:rPr>
          <w:color w:val="000000"/>
          <w:szCs w:val="24"/>
        </w:rPr>
        <w:t xml:space="preserve"> took</w:t>
      </w:r>
      <w:r w:rsidRPr="00B01F31">
        <w:rPr>
          <w:color w:val="000000"/>
          <w:szCs w:val="24"/>
        </w:rPr>
        <w:t xml:space="preserve">, </w:t>
      </w:r>
      <w:r w:rsidR="00441DCA" w:rsidRPr="00B01F31">
        <w:rPr>
          <w:color w:val="000000"/>
          <w:szCs w:val="24"/>
        </w:rPr>
        <w:t xml:space="preserve">the </w:t>
      </w:r>
      <w:r w:rsidR="00550B86" w:rsidRPr="00B01F31">
        <w:rPr>
          <w:color w:val="000000"/>
          <w:szCs w:val="24"/>
        </w:rPr>
        <w:t>lagoon was</w:t>
      </w:r>
      <w:r w:rsidR="00441DCA" w:rsidRPr="00B01F31">
        <w:rPr>
          <w:color w:val="000000"/>
          <w:szCs w:val="24"/>
        </w:rPr>
        <w:t xml:space="preserve"> successfully </w:t>
      </w:r>
      <w:r w:rsidR="00550B86" w:rsidRPr="00B01F31">
        <w:rPr>
          <w:color w:val="000000"/>
          <w:szCs w:val="24"/>
        </w:rPr>
        <w:t>decontaminated</w:t>
      </w:r>
      <w:r w:rsidR="00093DC7" w:rsidRPr="00B01F31">
        <w:rPr>
          <w:szCs w:val="24"/>
        </w:rPr>
        <w:t xml:space="preserve"> and all </w:t>
      </w:r>
      <w:r w:rsidR="009C6F13" w:rsidRPr="00B01F31">
        <w:rPr>
          <w:szCs w:val="24"/>
        </w:rPr>
        <w:t xml:space="preserve">indigenous </w:t>
      </w:r>
      <w:r w:rsidR="00093DC7" w:rsidRPr="00B01F31">
        <w:rPr>
          <w:szCs w:val="24"/>
        </w:rPr>
        <w:t xml:space="preserve">communities surrounding </w:t>
      </w:r>
      <w:r w:rsidR="00550B86" w:rsidRPr="00B01F31">
        <w:rPr>
          <w:szCs w:val="24"/>
        </w:rPr>
        <w:t>it</w:t>
      </w:r>
      <w:r w:rsidR="00093DC7" w:rsidRPr="00B01F31">
        <w:rPr>
          <w:szCs w:val="24"/>
        </w:rPr>
        <w:t xml:space="preserve"> had </w:t>
      </w:r>
      <w:r w:rsidR="00550B86" w:rsidRPr="00B01F31">
        <w:rPr>
          <w:szCs w:val="24"/>
        </w:rPr>
        <w:t>potable</w:t>
      </w:r>
      <w:r w:rsidR="00093DC7" w:rsidRPr="00B01F31">
        <w:rPr>
          <w:szCs w:val="24"/>
        </w:rPr>
        <w:t xml:space="preserve"> </w:t>
      </w:r>
      <w:r w:rsidR="00141FAE" w:rsidRPr="00B01F31">
        <w:rPr>
          <w:szCs w:val="24"/>
        </w:rPr>
        <w:t xml:space="preserve">water </w:t>
      </w:r>
      <w:r w:rsidR="00A15E78" w:rsidRPr="00B01F31">
        <w:rPr>
          <w:szCs w:val="24"/>
        </w:rPr>
        <w:t>at all times</w:t>
      </w:r>
      <w:r w:rsidR="00093DC7" w:rsidRPr="00B01F31">
        <w:rPr>
          <w:szCs w:val="24"/>
        </w:rPr>
        <w:t>.</w:t>
      </w:r>
      <w:r w:rsidRPr="00B01F31">
        <w:rPr>
          <w:rStyle w:val="FootnoteReference"/>
          <w:color w:val="000000"/>
          <w:szCs w:val="24"/>
        </w:rPr>
        <w:footnoteReference w:id="86"/>
      </w:r>
      <w:r w:rsidR="00FB3C5B" w:rsidRPr="00B01F31">
        <w:rPr>
          <w:color w:val="000000"/>
          <w:szCs w:val="24"/>
        </w:rPr>
        <w:t xml:space="preserve"> </w:t>
      </w:r>
      <w:r w:rsidR="002C09DD" w:rsidRPr="00B01F31">
        <w:rPr>
          <w:szCs w:val="24"/>
        </w:rPr>
        <w:t>The</w:t>
      </w:r>
      <w:r w:rsidR="00EC6C2A" w:rsidRPr="00B01F31">
        <w:rPr>
          <w:szCs w:val="24"/>
        </w:rPr>
        <w:t xml:space="preserve"> </w:t>
      </w:r>
      <w:r w:rsidR="00550B86" w:rsidRPr="00B01F31">
        <w:rPr>
          <w:szCs w:val="24"/>
        </w:rPr>
        <w:t>Pichicha people</w:t>
      </w:r>
      <w:r w:rsidR="0059245C" w:rsidRPr="00B01F31">
        <w:rPr>
          <w:szCs w:val="24"/>
        </w:rPr>
        <w:t xml:space="preserve"> further</w:t>
      </w:r>
      <w:r w:rsidR="00550B86" w:rsidRPr="00B01F31">
        <w:rPr>
          <w:szCs w:val="24"/>
        </w:rPr>
        <w:t xml:space="preserve"> remained in their </w:t>
      </w:r>
      <w:r w:rsidR="009C3BF0" w:rsidRPr="00B01F31">
        <w:rPr>
          <w:szCs w:val="24"/>
        </w:rPr>
        <w:t xml:space="preserve">ancestral territory </w:t>
      </w:r>
      <w:r w:rsidR="00EC6C2A" w:rsidRPr="00B01F31">
        <w:rPr>
          <w:szCs w:val="24"/>
        </w:rPr>
        <w:t>throughout the whole decontamination process and</w:t>
      </w:r>
      <w:r w:rsidR="0014499A" w:rsidRPr="00B01F31">
        <w:rPr>
          <w:szCs w:val="24"/>
        </w:rPr>
        <w:t xml:space="preserve"> </w:t>
      </w:r>
      <w:r w:rsidR="00EC6C2A" w:rsidRPr="00B01F31">
        <w:rPr>
          <w:szCs w:val="24"/>
        </w:rPr>
        <w:t xml:space="preserve">were </w:t>
      </w:r>
      <w:r w:rsidR="00E3722E" w:rsidRPr="00B01F31">
        <w:rPr>
          <w:szCs w:val="24"/>
        </w:rPr>
        <w:t>consistently</w:t>
      </w:r>
      <w:r w:rsidR="002C09DD" w:rsidRPr="00B01F31">
        <w:rPr>
          <w:szCs w:val="24"/>
        </w:rPr>
        <w:t xml:space="preserve"> </w:t>
      </w:r>
      <w:r w:rsidR="00EC6C2A" w:rsidRPr="00B01F31">
        <w:rPr>
          <w:szCs w:val="24"/>
        </w:rPr>
        <w:t xml:space="preserve">able to </w:t>
      </w:r>
      <w:r w:rsidR="006903B7" w:rsidRPr="00B01F31">
        <w:rPr>
          <w:szCs w:val="24"/>
        </w:rPr>
        <w:t>continue with</w:t>
      </w:r>
      <w:r w:rsidR="00EC6C2A" w:rsidRPr="00B01F31">
        <w:rPr>
          <w:szCs w:val="24"/>
        </w:rPr>
        <w:t xml:space="preserve"> their traditional wa</w:t>
      </w:r>
      <w:r w:rsidR="007E093F" w:rsidRPr="00B01F31">
        <w:rPr>
          <w:szCs w:val="24"/>
        </w:rPr>
        <w:t xml:space="preserve">y of life. </w:t>
      </w:r>
      <w:r w:rsidR="00AE2DFC" w:rsidRPr="00B01F31">
        <w:rPr>
          <w:szCs w:val="24"/>
        </w:rPr>
        <w:t>Considering all these positive measures the respondent State took for the</w:t>
      </w:r>
      <w:r w:rsidR="006D7C31" w:rsidRPr="00B01F31">
        <w:rPr>
          <w:szCs w:val="24"/>
        </w:rPr>
        <w:t xml:space="preserve"> indigenous</w:t>
      </w:r>
      <w:r w:rsidR="00AE2DFC" w:rsidRPr="00B01F31">
        <w:rPr>
          <w:szCs w:val="24"/>
        </w:rPr>
        <w:t xml:space="preserve"> Pichicha people and bearing in mind their unimpeded presence within their own territory, the aforementioned decontamination process cannot under any circumstances be classified as inhumane.</w:t>
      </w:r>
      <w:r w:rsidR="00A91CA2" w:rsidRPr="00B01F31">
        <w:rPr>
          <w:szCs w:val="24"/>
        </w:rPr>
        <w:t xml:space="preserve"> </w:t>
      </w:r>
    </w:p>
    <w:p w:rsidR="002D3A76" w:rsidRPr="00B01F31" w:rsidRDefault="006D7C31" w:rsidP="00B01F31">
      <w:pPr>
        <w:autoSpaceDE w:val="0"/>
        <w:autoSpaceDN w:val="0"/>
        <w:adjustRightInd w:val="0"/>
        <w:rPr>
          <w:szCs w:val="24"/>
        </w:rPr>
      </w:pPr>
      <w:r w:rsidRPr="00B01F31">
        <w:rPr>
          <w:szCs w:val="24"/>
        </w:rPr>
        <w:t xml:space="preserve">The </w:t>
      </w:r>
      <w:r w:rsidR="00BA044E" w:rsidRPr="00B01F31">
        <w:rPr>
          <w:szCs w:val="24"/>
        </w:rPr>
        <w:t xml:space="preserve">main impact on the health of the affected </w:t>
      </w:r>
      <w:r w:rsidR="00462957" w:rsidRPr="00B01F31">
        <w:rPr>
          <w:szCs w:val="24"/>
        </w:rPr>
        <w:t xml:space="preserve">individuals </w:t>
      </w:r>
      <w:r w:rsidR="00BA044E" w:rsidRPr="00B01F31">
        <w:rPr>
          <w:szCs w:val="24"/>
        </w:rPr>
        <w:t xml:space="preserve">consisted of the rationing of the potable water supply for a few days until the </w:t>
      </w:r>
      <w:r w:rsidR="006714E8" w:rsidRPr="00B01F31">
        <w:rPr>
          <w:szCs w:val="24"/>
        </w:rPr>
        <w:t>respondent State</w:t>
      </w:r>
      <w:r w:rsidR="00655541" w:rsidRPr="00B01F31">
        <w:rPr>
          <w:szCs w:val="24"/>
        </w:rPr>
        <w:t xml:space="preserve"> </w:t>
      </w:r>
      <w:r w:rsidRPr="00B01F31">
        <w:rPr>
          <w:szCs w:val="24"/>
        </w:rPr>
        <w:t xml:space="preserve">could make </w:t>
      </w:r>
      <w:r w:rsidR="00655541" w:rsidRPr="00B01F31">
        <w:rPr>
          <w:szCs w:val="24"/>
        </w:rPr>
        <w:t>alternative sources</w:t>
      </w:r>
      <w:r w:rsidRPr="00B01F31">
        <w:rPr>
          <w:szCs w:val="24"/>
        </w:rPr>
        <w:t xml:space="preserve"> </w:t>
      </w:r>
      <w:r w:rsidRPr="00B01F31">
        <w:rPr>
          <w:szCs w:val="24"/>
        </w:rPr>
        <w:lastRenderedPageBreak/>
        <w:t>available.</w:t>
      </w:r>
      <w:r w:rsidR="00BA044E" w:rsidRPr="00B01F31">
        <w:rPr>
          <w:rStyle w:val="FootnoteReference"/>
          <w:szCs w:val="24"/>
        </w:rPr>
        <w:footnoteReference w:id="87"/>
      </w:r>
      <w:r w:rsidR="00BA044E" w:rsidRPr="00B01F31">
        <w:rPr>
          <w:szCs w:val="24"/>
        </w:rPr>
        <w:t xml:space="preserve"> </w:t>
      </w:r>
      <w:r w:rsidR="00462957" w:rsidRPr="00B01F31">
        <w:rPr>
          <w:szCs w:val="24"/>
        </w:rPr>
        <w:t>Th</w:t>
      </w:r>
      <w:r w:rsidR="00C23FBA" w:rsidRPr="00B01F31">
        <w:rPr>
          <w:szCs w:val="24"/>
        </w:rPr>
        <w:t>e</w:t>
      </w:r>
      <w:r w:rsidR="00BA044E" w:rsidRPr="00B01F31">
        <w:rPr>
          <w:szCs w:val="24"/>
        </w:rPr>
        <w:t xml:space="preserve"> </w:t>
      </w:r>
      <w:r w:rsidR="00FB3C5B" w:rsidRPr="00B01F31">
        <w:rPr>
          <w:szCs w:val="24"/>
        </w:rPr>
        <w:t xml:space="preserve">provisional collection of water from sources </w:t>
      </w:r>
      <w:r w:rsidR="00C144AF" w:rsidRPr="00B01F31">
        <w:rPr>
          <w:szCs w:val="24"/>
        </w:rPr>
        <w:t xml:space="preserve">other </w:t>
      </w:r>
      <w:r w:rsidR="007D6405" w:rsidRPr="00B01F31">
        <w:rPr>
          <w:szCs w:val="24"/>
        </w:rPr>
        <w:t>than</w:t>
      </w:r>
      <w:r w:rsidR="00655541" w:rsidRPr="00B01F31">
        <w:rPr>
          <w:szCs w:val="24"/>
        </w:rPr>
        <w:t xml:space="preserve"> the Mandí Stream</w:t>
      </w:r>
      <w:r w:rsidR="007D6405" w:rsidRPr="00B01F31">
        <w:rPr>
          <w:szCs w:val="24"/>
        </w:rPr>
        <w:t xml:space="preserve"> </w:t>
      </w:r>
      <w:r w:rsidR="00FB3C5B" w:rsidRPr="00B01F31">
        <w:rPr>
          <w:szCs w:val="24"/>
        </w:rPr>
        <w:t>would have tak</w:t>
      </w:r>
      <w:r w:rsidR="00AC1799" w:rsidRPr="00B01F31">
        <w:rPr>
          <w:szCs w:val="24"/>
        </w:rPr>
        <w:t>en at least five</w:t>
      </w:r>
      <w:r w:rsidR="00FB3C5B" w:rsidRPr="00B01F31">
        <w:rPr>
          <w:szCs w:val="24"/>
        </w:rPr>
        <w:t xml:space="preserve"> additional days</w:t>
      </w:r>
      <w:r w:rsidR="0036149E" w:rsidRPr="00B01F31">
        <w:rPr>
          <w:szCs w:val="24"/>
        </w:rPr>
        <w:t>,</w:t>
      </w:r>
      <w:r w:rsidR="00462957" w:rsidRPr="00B01F31">
        <w:rPr>
          <w:szCs w:val="24"/>
        </w:rPr>
        <w:t xml:space="preserve"> </w:t>
      </w:r>
      <w:r w:rsidR="0036149E" w:rsidRPr="00B01F31">
        <w:rPr>
          <w:szCs w:val="24"/>
        </w:rPr>
        <w:t xml:space="preserve">and </w:t>
      </w:r>
      <w:r w:rsidR="00462957" w:rsidRPr="00B01F31">
        <w:rPr>
          <w:szCs w:val="24"/>
        </w:rPr>
        <w:t xml:space="preserve">would have entailed building a pipeline and storage system through </w:t>
      </w:r>
      <w:r w:rsidR="001655B8" w:rsidRPr="00B01F31">
        <w:rPr>
          <w:szCs w:val="24"/>
        </w:rPr>
        <w:t>Pichich</w:t>
      </w:r>
      <w:r w:rsidR="00462957" w:rsidRPr="00B01F31">
        <w:rPr>
          <w:szCs w:val="24"/>
        </w:rPr>
        <w:t>a territory</w:t>
      </w:r>
      <w:r w:rsidR="00EA4B97" w:rsidRPr="00B01F31">
        <w:rPr>
          <w:szCs w:val="24"/>
        </w:rPr>
        <w:t>.</w:t>
      </w:r>
      <w:r w:rsidR="00F1764C" w:rsidRPr="00B01F31">
        <w:rPr>
          <w:rStyle w:val="FootnoteReference"/>
          <w:szCs w:val="24"/>
        </w:rPr>
        <w:footnoteReference w:id="88"/>
      </w:r>
      <w:r w:rsidR="00EA4B97" w:rsidRPr="00B01F31">
        <w:rPr>
          <w:szCs w:val="24"/>
        </w:rPr>
        <w:t xml:space="preserve"> </w:t>
      </w:r>
      <w:r w:rsidR="001655B8" w:rsidRPr="00B01F31">
        <w:rPr>
          <w:szCs w:val="24"/>
        </w:rPr>
        <w:t xml:space="preserve">Thus, </w:t>
      </w:r>
      <w:r w:rsidR="002D407F" w:rsidRPr="00B01F31">
        <w:rPr>
          <w:szCs w:val="24"/>
        </w:rPr>
        <w:t>the respondent State was compelled</w:t>
      </w:r>
      <w:r w:rsidR="001655B8" w:rsidRPr="00B01F31">
        <w:rPr>
          <w:szCs w:val="24"/>
        </w:rPr>
        <w:t xml:space="preserve"> to temporally collect water from </w:t>
      </w:r>
      <w:r w:rsidR="00FB3C5B" w:rsidRPr="00B01F31">
        <w:rPr>
          <w:szCs w:val="24"/>
        </w:rPr>
        <w:t>streams located in the are</w:t>
      </w:r>
      <w:r w:rsidR="00AC1799" w:rsidRPr="00B01F31">
        <w:rPr>
          <w:szCs w:val="24"/>
        </w:rPr>
        <w:t>a</w:t>
      </w:r>
      <w:r w:rsidR="00FB3C5B" w:rsidRPr="00B01F31">
        <w:rPr>
          <w:szCs w:val="24"/>
        </w:rPr>
        <w:t xml:space="preserve">, including the </w:t>
      </w:r>
      <w:r w:rsidR="00C144AF" w:rsidRPr="00B01F31">
        <w:rPr>
          <w:szCs w:val="24"/>
        </w:rPr>
        <w:t xml:space="preserve">aforementioned </w:t>
      </w:r>
      <w:r w:rsidR="00AC1799" w:rsidRPr="00B01F31">
        <w:rPr>
          <w:szCs w:val="24"/>
        </w:rPr>
        <w:t>s</w:t>
      </w:r>
      <w:r w:rsidR="00FB3C5B" w:rsidRPr="00B01F31">
        <w:rPr>
          <w:szCs w:val="24"/>
        </w:rPr>
        <w:t>tream</w:t>
      </w:r>
      <w:r w:rsidR="004E2FBF" w:rsidRPr="00B01F31">
        <w:rPr>
          <w:szCs w:val="24"/>
        </w:rPr>
        <w:t>.</w:t>
      </w:r>
      <w:r w:rsidR="00912FB4" w:rsidRPr="00B01F31">
        <w:rPr>
          <w:rStyle w:val="FootnoteReference"/>
          <w:szCs w:val="24"/>
        </w:rPr>
        <w:footnoteReference w:id="89"/>
      </w:r>
      <w:r w:rsidR="00912FB4" w:rsidRPr="00B01F31">
        <w:rPr>
          <w:szCs w:val="24"/>
        </w:rPr>
        <w:t xml:space="preserve"> </w:t>
      </w:r>
      <w:r w:rsidR="00AC1799" w:rsidRPr="00B01F31">
        <w:rPr>
          <w:szCs w:val="24"/>
        </w:rPr>
        <w:t xml:space="preserve">Otherwise, </w:t>
      </w:r>
      <w:r w:rsidR="00D355C5" w:rsidRPr="00B01F31">
        <w:rPr>
          <w:szCs w:val="24"/>
        </w:rPr>
        <w:t>t</w:t>
      </w:r>
      <w:r w:rsidR="001B59CC" w:rsidRPr="00B01F31">
        <w:rPr>
          <w:szCs w:val="24"/>
        </w:rPr>
        <w:t>he living conditions</w:t>
      </w:r>
      <w:r w:rsidR="001655B8" w:rsidRPr="00B01F31">
        <w:rPr>
          <w:szCs w:val="24"/>
        </w:rPr>
        <w:t xml:space="preserve"> of the members of the Pichicha community</w:t>
      </w:r>
      <w:r w:rsidR="001B59CC" w:rsidRPr="00B01F31">
        <w:rPr>
          <w:szCs w:val="24"/>
        </w:rPr>
        <w:t xml:space="preserve"> would have</w:t>
      </w:r>
      <w:r w:rsidR="001655B8" w:rsidRPr="00B01F31">
        <w:rPr>
          <w:szCs w:val="24"/>
        </w:rPr>
        <w:t xml:space="preserve"> rapidly</w:t>
      </w:r>
      <w:r w:rsidR="001B59CC" w:rsidRPr="00B01F31">
        <w:rPr>
          <w:szCs w:val="24"/>
        </w:rPr>
        <w:t xml:space="preserve"> </w:t>
      </w:r>
      <w:r w:rsidR="009919B4" w:rsidRPr="00B01F31">
        <w:rPr>
          <w:szCs w:val="24"/>
        </w:rPr>
        <w:t>deteriorated</w:t>
      </w:r>
      <w:r w:rsidR="002B780F" w:rsidRPr="00B01F31">
        <w:rPr>
          <w:szCs w:val="24"/>
        </w:rPr>
        <w:t xml:space="preserve">. </w:t>
      </w:r>
      <w:r w:rsidR="009275F8" w:rsidRPr="00B01F31">
        <w:rPr>
          <w:szCs w:val="24"/>
        </w:rPr>
        <w:t xml:space="preserve">In accordance with its duty to provide water to citizens where not otherwise available, the respondent State </w:t>
      </w:r>
      <w:r w:rsidR="00704369" w:rsidRPr="00B01F31">
        <w:rPr>
          <w:szCs w:val="24"/>
        </w:rPr>
        <w:t>supplied its indigenous people with</w:t>
      </w:r>
      <w:r w:rsidR="009275F8" w:rsidRPr="00B01F31">
        <w:rPr>
          <w:szCs w:val="24"/>
        </w:rPr>
        <w:t xml:space="preserve"> freshwater from the streams located in the area.</w:t>
      </w:r>
      <w:r w:rsidR="008B5981" w:rsidRPr="00B01F31">
        <w:rPr>
          <w:rStyle w:val="FootnoteReference"/>
          <w:szCs w:val="24"/>
        </w:rPr>
        <w:footnoteReference w:id="90"/>
      </w:r>
      <w:r w:rsidR="006869CB" w:rsidRPr="00B01F31">
        <w:rPr>
          <w:szCs w:val="24"/>
        </w:rPr>
        <w:t xml:space="preserve"> </w:t>
      </w:r>
      <w:r w:rsidR="001530F1" w:rsidRPr="00B01F31">
        <w:rPr>
          <w:szCs w:val="24"/>
        </w:rPr>
        <w:t>As a resul</w:t>
      </w:r>
      <w:r w:rsidR="004B20A2" w:rsidRPr="00B01F31">
        <w:rPr>
          <w:szCs w:val="24"/>
        </w:rPr>
        <w:t>t</w:t>
      </w:r>
      <w:r w:rsidR="001530F1" w:rsidRPr="00B01F31">
        <w:rPr>
          <w:szCs w:val="24"/>
        </w:rPr>
        <w:t xml:space="preserve">, </w:t>
      </w:r>
      <w:r w:rsidR="00541CE2" w:rsidRPr="00B01F31">
        <w:rPr>
          <w:szCs w:val="24"/>
        </w:rPr>
        <w:t>the respondent State</w:t>
      </w:r>
      <w:r w:rsidR="001655B8" w:rsidRPr="00B01F31">
        <w:rPr>
          <w:szCs w:val="24"/>
        </w:rPr>
        <w:t xml:space="preserve"> </w:t>
      </w:r>
      <w:r w:rsidR="00541CE2" w:rsidRPr="00B01F31">
        <w:rPr>
          <w:szCs w:val="24"/>
        </w:rPr>
        <w:t>effectively protected its indigenous people’s health</w:t>
      </w:r>
      <w:r w:rsidR="004563BB" w:rsidRPr="00B01F31">
        <w:rPr>
          <w:szCs w:val="24"/>
        </w:rPr>
        <w:t>.</w:t>
      </w:r>
      <w:r w:rsidR="001530F1" w:rsidRPr="00B01F31">
        <w:rPr>
          <w:rStyle w:val="FootnoteReference"/>
          <w:szCs w:val="24"/>
        </w:rPr>
        <w:footnoteReference w:id="91"/>
      </w:r>
    </w:p>
    <w:p w:rsidR="00E61EC2" w:rsidRPr="00B01F31" w:rsidRDefault="00EC0CA3" w:rsidP="00B01F31">
      <w:pPr>
        <w:autoSpaceDE w:val="0"/>
        <w:autoSpaceDN w:val="0"/>
        <w:adjustRightInd w:val="0"/>
        <w:rPr>
          <w:color w:val="000000"/>
          <w:szCs w:val="24"/>
        </w:rPr>
      </w:pPr>
      <w:r w:rsidRPr="00B01F31">
        <w:rPr>
          <w:szCs w:val="24"/>
        </w:rPr>
        <w:t>Finally, the respondent State respected the mental and moral integrity of its indigenous people since it took all the above</w:t>
      </w:r>
      <w:r w:rsidR="0036149E" w:rsidRPr="00B01F31">
        <w:rPr>
          <w:szCs w:val="24"/>
        </w:rPr>
        <w:t>-</w:t>
      </w:r>
      <w:r w:rsidRPr="00B01F31">
        <w:rPr>
          <w:szCs w:val="24"/>
        </w:rPr>
        <w:t xml:space="preserve">mentioned measures to supply them with potable water in good faith and as effectively and non-intrusively as possible. It </w:t>
      </w:r>
      <w:r w:rsidR="00160F45" w:rsidRPr="00B01F31">
        <w:rPr>
          <w:szCs w:val="24"/>
        </w:rPr>
        <w:t xml:space="preserve">further </w:t>
      </w:r>
      <w:r w:rsidR="00E126D7" w:rsidRPr="00B01F31">
        <w:rPr>
          <w:szCs w:val="24"/>
        </w:rPr>
        <w:t xml:space="preserve">honored </w:t>
      </w:r>
      <w:r w:rsidR="00F1764C" w:rsidRPr="00B01F31">
        <w:rPr>
          <w:szCs w:val="24"/>
        </w:rPr>
        <w:t xml:space="preserve">the </w:t>
      </w:r>
      <w:r w:rsidR="00E126D7" w:rsidRPr="00B01F31">
        <w:rPr>
          <w:szCs w:val="24"/>
        </w:rPr>
        <w:t xml:space="preserve">agreement it had with </w:t>
      </w:r>
      <w:r w:rsidR="00F1764C" w:rsidRPr="00B01F31">
        <w:rPr>
          <w:szCs w:val="24"/>
        </w:rPr>
        <w:t xml:space="preserve">the Pichicha People’s Assembly </w:t>
      </w:r>
      <w:r w:rsidR="00E126D7" w:rsidRPr="00B01F31">
        <w:rPr>
          <w:szCs w:val="24"/>
        </w:rPr>
        <w:t xml:space="preserve">that no employee of Silverfield S.A. should enter the area surrounding the Mandí Stream, </w:t>
      </w:r>
      <w:r w:rsidR="009275F8" w:rsidRPr="00B01F31">
        <w:rPr>
          <w:szCs w:val="24"/>
        </w:rPr>
        <w:t xml:space="preserve">and </w:t>
      </w:r>
      <w:r w:rsidR="008345AF" w:rsidRPr="00B01F31">
        <w:rPr>
          <w:color w:val="000000"/>
          <w:szCs w:val="24"/>
        </w:rPr>
        <w:t>issued an injunction ordering the immediate evacuation of civil defense p</w:t>
      </w:r>
      <w:r w:rsidR="00E4380B" w:rsidRPr="00B01F31">
        <w:rPr>
          <w:color w:val="000000"/>
          <w:szCs w:val="24"/>
        </w:rPr>
        <w:t>ersonnel from</w:t>
      </w:r>
      <w:r w:rsidR="006869CB" w:rsidRPr="00B01F31">
        <w:rPr>
          <w:color w:val="000000"/>
          <w:szCs w:val="24"/>
        </w:rPr>
        <w:t xml:space="preserve"> the Pichicha people’s sacred </w:t>
      </w:r>
      <w:r w:rsidR="008345AF" w:rsidRPr="00B01F31">
        <w:rPr>
          <w:color w:val="000000"/>
          <w:szCs w:val="24"/>
        </w:rPr>
        <w:t>territory</w:t>
      </w:r>
      <w:r w:rsidR="00AA4ED6" w:rsidRPr="00B01F31">
        <w:rPr>
          <w:color w:val="000000"/>
          <w:szCs w:val="24"/>
        </w:rPr>
        <w:t xml:space="preserve"> in order to re</w:t>
      </w:r>
      <w:r w:rsidR="003C731C" w:rsidRPr="00B01F31">
        <w:rPr>
          <w:color w:val="000000"/>
          <w:szCs w:val="24"/>
        </w:rPr>
        <w:t xml:space="preserve">duce </w:t>
      </w:r>
      <w:r w:rsidR="00BC2624" w:rsidRPr="00B01F31">
        <w:rPr>
          <w:color w:val="000000"/>
          <w:szCs w:val="24"/>
        </w:rPr>
        <w:t xml:space="preserve">the personnel’s inevitable presence </w:t>
      </w:r>
      <w:r w:rsidR="00AA4ED6" w:rsidRPr="00B01F31">
        <w:rPr>
          <w:color w:val="000000"/>
          <w:szCs w:val="24"/>
        </w:rPr>
        <w:t>to a minimum period of time.</w:t>
      </w:r>
      <w:r w:rsidR="009275F8" w:rsidRPr="00B01F31">
        <w:rPr>
          <w:rStyle w:val="FootnoteReference"/>
          <w:szCs w:val="24"/>
        </w:rPr>
        <w:footnoteReference w:id="92"/>
      </w:r>
      <w:r w:rsidR="00F1764C" w:rsidRPr="00B01F31">
        <w:rPr>
          <w:color w:val="000000"/>
          <w:szCs w:val="24"/>
        </w:rPr>
        <w:t xml:space="preserve"> </w:t>
      </w:r>
      <w:r w:rsidR="00F1764C" w:rsidRPr="00B01F31">
        <w:rPr>
          <w:szCs w:val="24"/>
        </w:rPr>
        <w:t>Therefore, the respondent State respected its obligations towards its indigenous people and their connection to the ancestral lands.</w:t>
      </w:r>
      <w:r w:rsidR="004E6FE7" w:rsidRPr="00B01F31">
        <w:rPr>
          <w:color w:val="000000"/>
          <w:szCs w:val="24"/>
        </w:rPr>
        <w:t xml:space="preserve"> </w:t>
      </w:r>
      <w:r w:rsidR="004D62FB" w:rsidRPr="00B01F31">
        <w:rPr>
          <w:color w:val="000000"/>
          <w:szCs w:val="24"/>
        </w:rPr>
        <w:t>For these reasons,</w:t>
      </w:r>
      <w:r w:rsidR="00E61EC2" w:rsidRPr="00B01F31">
        <w:rPr>
          <w:color w:val="000000"/>
          <w:szCs w:val="24"/>
        </w:rPr>
        <w:t xml:space="preserve"> </w:t>
      </w:r>
      <w:r w:rsidR="00AC1799" w:rsidRPr="00B01F31">
        <w:rPr>
          <w:color w:val="000000"/>
          <w:szCs w:val="24"/>
        </w:rPr>
        <w:t xml:space="preserve">the </w:t>
      </w:r>
      <w:r w:rsidR="004E6FE7" w:rsidRPr="00B01F31">
        <w:rPr>
          <w:color w:val="000000"/>
          <w:szCs w:val="24"/>
        </w:rPr>
        <w:t xml:space="preserve">respondent </w:t>
      </w:r>
      <w:r w:rsidR="00AC1799" w:rsidRPr="00B01F31">
        <w:rPr>
          <w:color w:val="000000"/>
          <w:szCs w:val="24"/>
        </w:rPr>
        <w:t xml:space="preserve">State </w:t>
      </w:r>
      <w:r w:rsidR="00E61EC2" w:rsidRPr="00B01F31">
        <w:rPr>
          <w:szCs w:val="24"/>
        </w:rPr>
        <w:t>respected</w:t>
      </w:r>
      <w:r w:rsidR="00F1764C" w:rsidRPr="00B01F31">
        <w:rPr>
          <w:szCs w:val="24"/>
        </w:rPr>
        <w:t xml:space="preserve"> </w:t>
      </w:r>
      <w:r w:rsidR="006869CB" w:rsidRPr="00B01F31">
        <w:rPr>
          <w:szCs w:val="24"/>
        </w:rPr>
        <w:t xml:space="preserve">the </w:t>
      </w:r>
      <w:r w:rsidR="000E1BB6" w:rsidRPr="00B01F31">
        <w:rPr>
          <w:szCs w:val="24"/>
        </w:rPr>
        <w:t xml:space="preserve">Pichicha people’s </w:t>
      </w:r>
      <w:r w:rsidR="006869CB" w:rsidRPr="00B01F31">
        <w:rPr>
          <w:szCs w:val="24"/>
        </w:rPr>
        <w:t xml:space="preserve">right to humane treatment according to </w:t>
      </w:r>
      <w:r w:rsidR="00EF4CED" w:rsidRPr="00B01F31">
        <w:rPr>
          <w:szCs w:val="24"/>
        </w:rPr>
        <w:t>Art. 5 </w:t>
      </w:r>
      <w:r w:rsidR="00E61EC2" w:rsidRPr="00B01F31">
        <w:rPr>
          <w:szCs w:val="24"/>
        </w:rPr>
        <w:t>ACHR.</w:t>
      </w:r>
    </w:p>
    <w:p w:rsidR="00B57B23" w:rsidRPr="00B01F31" w:rsidRDefault="00B57B23" w:rsidP="00BF12E4">
      <w:pPr>
        <w:pStyle w:val="Heading4"/>
        <w:numPr>
          <w:ilvl w:val="3"/>
          <w:numId w:val="12"/>
        </w:numPr>
        <w:tabs>
          <w:tab w:val="clear" w:pos="864"/>
          <w:tab w:val="num" w:pos="709"/>
        </w:tabs>
        <w:spacing w:line="480" w:lineRule="auto"/>
        <w:ind w:left="709"/>
        <w:rPr>
          <w:b/>
          <w:sz w:val="24"/>
          <w:szCs w:val="24"/>
        </w:rPr>
      </w:pPr>
      <w:bookmarkStart w:id="65" w:name="_Toc320823106"/>
      <w:r w:rsidRPr="00B01F31">
        <w:rPr>
          <w:b/>
          <w:sz w:val="24"/>
          <w:szCs w:val="24"/>
        </w:rPr>
        <w:lastRenderedPageBreak/>
        <w:t>The respondent State fulfilled all its legal obligations with regard to t</w:t>
      </w:r>
      <w:r w:rsidR="00BF12E4">
        <w:rPr>
          <w:b/>
          <w:sz w:val="24"/>
          <w:szCs w:val="24"/>
        </w:rPr>
        <w:t xml:space="preserve">he right to a </w:t>
      </w:r>
      <w:r w:rsidRPr="00B01F31">
        <w:rPr>
          <w:b/>
          <w:sz w:val="24"/>
          <w:szCs w:val="24"/>
        </w:rPr>
        <w:t>fair trial in accordance with Art. 8, Art. 1(1) and Art. 2 ACHR</w:t>
      </w:r>
      <w:bookmarkEnd w:id="65"/>
    </w:p>
    <w:p w:rsidR="00B57B23" w:rsidRPr="00B01F31" w:rsidRDefault="00B57B23" w:rsidP="00B01F31">
      <w:pPr>
        <w:rPr>
          <w:szCs w:val="24"/>
        </w:rPr>
      </w:pPr>
      <w:r w:rsidRPr="00B01F31">
        <w:rPr>
          <w:szCs w:val="24"/>
        </w:rPr>
        <w:t xml:space="preserve">The respondent State respected the Applicant’s right to a fair trial under Art. 8, Art. 1(1) and Art. 2 ACHR by ensuring effective access to justice and the right to </w:t>
      </w:r>
      <w:r w:rsidRPr="00B01F31">
        <w:rPr>
          <w:color w:val="000000"/>
          <w:szCs w:val="24"/>
        </w:rPr>
        <w:t xml:space="preserve">present its case without any obstacles. </w:t>
      </w:r>
    </w:p>
    <w:p w:rsidR="00B57B23" w:rsidRPr="00B01F31" w:rsidRDefault="00B57B23" w:rsidP="00B01F31">
      <w:pPr>
        <w:rPr>
          <w:color w:val="000000"/>
          <w:szCs w:val="24"/>
        </w:rPr>
      </w:pPr>
      <w:r w:rsidRPr="00B01F31">
        <w:rPr>
          <w:color w:val="000000"/>
          <w:szCs w:val="24"/>
        </w:rPr>
        <w:t>Every person has the right to a hearing, with due guarantees and within a reasonable time, by a competent, independent, and impartial tribunal, previously established by law.</w:t>
      </w:r>
      <w:r w:rsidRPr="00B01F31">
        <w:rPr>
          <w:rStyle w:val="FootnoteReference"/>
          <w:color w:val="000000"/>
          <w:szCs w:val="24"/>
        </w:rPr>
        <w:footnoteReference w:id="93"/>
      </w:r>
      <w:r w:rsidRPr="00B01F31">
        <w:rPr>
          <w:color w:val="000000"/>
          <w:szCs w:val="24"/>
        </w:rPr>
        <w:t xml:space="preserve"> Art. 8 ACHR obliges states to establish agencies and proceedings that meet the requirements of due process, as well as to provide individuals with the opportunity of accessing them. Furthermore, the corresponding judges and courts must have a real opportunity to exercise the judicial authority assigned to them.</w:t>
      </w:r>
      <w:r w:rsidRPr="00B01F31">
        <w:rPr>
          <w:rStyle w:val="FootnoteReference"/>
          <w:color w:val="000000"/>
          <w:szCs w:val="24"/>
        </w:rPr>
        <w:footnoteReference w:id="94"/>
      </w:r>
      <w:r w:rsidRPr="00B01F31">
        <w:rPr>
          <w:color w:val="000000"/>
          <w:szCs w:val="24"/>
        </w:rPr>
        <w:t xml:space="preserve"> The right to a hearing requires that a competent, independent and impartial tribunal hands down the ruling.</w:t>
      </w:r>
      <w:r w:rsidRPr="00B01F31">
        <w:rPr>
          <w:rStyle w:val="FootnoteReference"/>
          <w:color w:val="000000"/>
          <w:szCs w:val="24"/>
        </w:rPr>
        <w:footnoteReference w:id="95"/>
      </w:r>
      <w:r w:rsidRPr="00B01F31">
        <w:rPr>
          <w:color w:val="000000"/>
          <w:szCs w:val="24"/>
        </w:rPr>
        <w:t xml:space="preserve"> It is also relevant for the tribunal to give the parties the opportunity to present their case without obstacles based on the principle of equality.</w:t>
      </w:r>
      <w:r w:rsidRPr="00B01F31">
        <w:rPr>
          <w:rStyle w:val="FootnoteReference"/>
          <w:color w:val="000000"/>
          <w:szCs w:val="24"/>
        </w:rPr>
        <w:footnoteReference w:id="96"/>
      </w:r>
      <w:r w:rsidRPr="00B01F31">
        <w:rPr>
          <w:color w:val="000000"/>
          <w:szCs w:val="24"/>
        </w:rPr>
        <w:t xml:space="preserve"> </w:t>
      </w:r>
    </w:p>
    <w:p w:rsidR="00B57B23" w:rsidRPr="00B01F31" w:rsidRDefault="00B57B23" w:rsidP="00B01F31">
      <w:pPr>
        <w:rPr>
          <w:color w:val="000000"/>
          <w:szCs w:val="24"/>
        </w:rPr>
      </w:pPr>
      <w:r w:rsidRPr="00B01F31">
        <w:rPr>
          <w:color w:val="000000"/>
          <w:szCs w:val="24"/>
        </w:rPr>
        <w:t xml:space="preserve">In addition, the Court reiterated in </w:t>
      </w:r>
      <w:r w:rsidRPr="00B01F31">
        <w:rPr>
          <w:i/>
          <w:color w:val="000000"/>
          <w:szCs w:val="24"/>
        </w:rPr>
        <w:t>Yakye Axa Indigenous Community v. Paraguay</w:t>
      </w:r>
      <w:r w:rsidRPr="00B01F31">
        <w:rPr>
          <w:color w:val="000000"/>
          <w:szCs w:val="24"/>
        </w:rPr>
        <w:t xml:space="preserve"> that to establish whether the term of a legal proceeding can be considered reasonable, it is necessary to take into account (1) the complexity of the matter, (2) the procedural initiative of the interested party, and (3) the conduct of the judicial authorities.</w:t>
      </w:r>
      <w:r w:rsidRPr="00B01F31">
        <w:rPr>
          <w:rStyle w:val="FootnoteReference"/>
          <w:color w:val="000000"/>
          <w:szCs w:val="24"/>
        </w:rPr>
        <w:footnoteReference w:id="97"/>
      </w:r>
      <w:r w:rsidRPr="00B01F31">
        <w:rPr>
          <w:color w:val="000000"/>
          <w:szCs w:val="24"/>
        </w:rPr>
        <w:t xml:space="preserve"> As stated in </w:t>
      </w:r>
      <w:r w:rsidRPr="00B01F31">
        <w:rPr>
          <w:i/>
          <w:iCs/>
          <w:szCs w:val="24"/>
        </w:rPr>
        <w:t>Sawhoyamaxa Indigenous Community v. Paraguay</w:t>
      </w:r>
      <w:r w:rsidRPr="00B01F31">
        <w:rPr>
          <w:color w:val="000000"/>
          <w:szCs w:val="24"/>
        </w:rPr>
        <w:t>, the state is obliged to provide for appropriate mechanism in its national legal system to process land claim proceedings of indigenous people by respecting the rights established in Art. 1(1) and Art. 2 ACHR.</w:t>
      </w:r>
      <w:r w:rsidRPr="00B01F31">
        <w:rPr>
          <w:rStyle w:val="FootnoteReference"/>
          <w:color w:val="000000"/>
          <w:szCs w:val="24"/>
        </w:rPr>
        <w:footnoteReference w:id="98"/>
      </w:r>
    </w:p>
    <w:p w:rsidR="00B57B23" w:rsidRPr="00B01F31" w:rsidRDefault="00B57B23" w:rsidP="00B01F31">
      <w:pPr>
        <w:rPr>
          <w:color w:val="000000"/>
          <w:szCs w:val="24"/>
        </w:rPr>
      </w:pPr>
      <w:r w:rsidRPr="00B01F31">
        <w:rPr>
          <w:color w:val="000000"/>
          <w:szCs w:val="24"/>
        </w:rPr>
        <w:lastRenderedPageBreak/>
        <w:t>In the instant case, the first amparo action was filed before the First Federal Civil Court of Toronga on July 30, 2011. This court issued an injunction order on August 10, 2011, thus only eleven days after the action was filed.</w:t>
      </w:r>
      <w:r w:rsidRPr="00B01F31">
        <w:rPr>
          <w:color w:val="000000"/>
          <w:szCs w:val="24"/>
          <w:vertAlign w:val="superscript"/>
        </w:rPr>
        <w:footnoteReference w:id="99"/>
      </w:r>
      <w:r w:rsidRPr="00B01F31">
        <w:rPr>
          <w:color w:val="000000"/>
          <w:szCs w:val="24"/>
        </w:rPr>
        <w:t xml:space="preserve"> The second amparo action was filed before the respondent State’s Supreme Court, which ruled on the matter in November 2011.</w:t>
      </w:r>
      <w:r w:rsidRPr="00B01F31">
        <w:rPr>
          <w:color w:val="000000"/>
          <w:szCs w:val="24"/>
          <w:vertAlign w:val="superscript"/>
        </w:rPr>
        <w:footnoteReference w:id="100"/>
      </w:r>
      <w:r w:rsidRPr="00B01F31">
        <w:rPr>
          <w:color w:val="000000"/>
          <w:szCs w:val="24"/>
        </w:rPr>
        <w:t xml:space="preserve"> Therefore, both judicial decisions were delivered within a reasonable time and</w:t>
      </w:r>
      <w:r w:rsidRPr="00B01F31">
        <w:rPr>
          <w:color w:val="000000"/>
          <w:szCs w:val="24"/>
          <w:vertAlign w:val="superscript"/>
        </w:rPr>
        <w:t xml:space="preserve"> </w:t>
      </w:r>
      <w:r w:rsidRPr="00B01F31">
        <w:rPr>
          <w:color w:val="000000"/>
          <w:szCs w:val="24"/>
        </w:rPr>
        <w:t>the respondent State adopted adequate measures through quick and efficient proceedings.</w:t>
      </w:r>
      <w:r w:rsidRPr="00B01F31">
        <w:rPr>
          <w:color w:val="000000"/>
          <w:szCs w:val="24"/>
          <w:vertAlign w:val="superscript"/>
        </w:rPr>
        <w:footnoteReference w:id="101"/>
      </w:r>
      <w:r w:rsidRPr="00B01F31">
        <w:rPr>
          <w:color w:val="000000"/>
          <w:szCs w:val="24"/>
        </w:rPr>
        <w:t xml:space="preserve"> There is no evidence that the national courts were ineffective or biased. The Pichicha people were thus granted the opportunity to present their case without obstacles, and had access to the relevant legal proceedings to advance their claims.</w:t>
      </w:r>
      <w:r w:rsidRPr="00B01F31">
        <w:rPr>
          <w:rStyle w:val="FootnoteReference"/>
          <w:color w:val="000000"/>
          <w:szCs w:val="24"/>
        </w:rPr>
        <w:footnoteReference w:id="102"/>
      </w:r>
      <w:r w:rsidRPr="00B01F31">
        <w:rPr>
          <w:color w:val="000000"/>
          <w:szCs w:val="24"/>
        </w:rPr>
        <w:t xml:space="preserve"> </w:t>
      </w:r>
    </w:p>
    <w:p w:rsidR="00B57B23" w:rsidRPr="00B01F31" w:rsidRDefault="00B57B23" w:rsidP="00B01F31">
      <w:pPr>
        <w:rPr>
          <w:szCs w:val="24"/>
        </w:rPr>
      </w:pPr>
      <w:r w:rsidRPr="00B01F31">
        <w:rPr>
          <w:szCs w:val="24"/>
        </w:rPr>
        <w:t xml:space="preserve">Consequently, since </w:t>
      </w:r>
      <w:r w:rsidRPr="00B01F31">
        <w:rPr>
          <w:color w:val="000000"/>
          <w:szCs w:val="24"/>
        </w:rPr>
        <w:t>the proceedings before the national courts of the respondent State were concluded within a very short period of time</w:t>
      </w:r>
      <w:r w:rsidRPr="00B01F31">
        <w:rPr>
          <w:szCs w:val="24"/>
        </w:rPr>
        <w:t xml:space="preserve"> </w:t>
      </w:r>
      <w:r w:rsidRPr="00B01F31">
        <w:rPr>
          <w:color w:val="000000"/>
          <w:szCs w:val="24"/>
        </w:rPr>
        <w:t xml:space="preserve">and the Applicant had the opportunity to present its case without any obstructions, </w:t>
      </w:r>
      <w:r w:rsidRPr="00B01F31">
        <w:rPr>
          <w:szCs w:val="24"/>
        </w:rPr>
        <w:t>the respondent State</w:t>
      </w:r>
      <w:r w:rsidRPr="00B01F31">
        <w:rPr>
          <w:color w:val="000000"/>
          <w:szCs w:val="24"/>
        </w:rPr>
        <w:t xml:space="preserve"> protected </w:t>
      </w:r>
      <w:r w:rsidRPr="00B01F31">
        <w:rPr>
          <w:szCs w:val="24"/>
        </w:rPr>
        <w:t>the Applicant’s right to fair trial pursuant to Art. 8, Art. 1(1) and Art. 2 ACHR.</w:t>
      </w:r>
    </w:p>
    <w:p w:rsidR="00B57B23" w:rsidRPr="00B01F31" w:rsidRDefault="00B57B23" w:rsidP="00B01F31">
      <w:pPr>
        <w:pStyle w:val="Heading4"/>
        <w:tabs>
          <w:tab w:val="clear" w:pos="864"/>
          <w:tab w:val="num" w:pos="709"/>
        </w:tabs>
        <w:spacing w:line="480" w:lineRule="auto"/>
        <w:ind w:left="709" w:hanging="709"/>
        <w:rPr>
          <w:b/>
          <w:sz w:val="24"/>
          <w:szCs w:val="24"/>
        </w:rPr>
      </w:pPr>
      <w:bookmarkStart w:id="66" w:name="_Toc320823107"/>
      <w:r w:rsidRPr="00B01F31">
        <w:rPr>
          <w:b/>
          <w:sz w:val="24"/>
          <w:szCs w:val="24"/>
        </w:rPr>
        <w:t>The respondent State fulfilled all its legal obligations with regard to the right to judicial protection in accordance with Art. 25, Art. 1(1) and Art. 2 ACHR</w:t>
      </w:r>
      <w:bookmarkEnd w:id="66"/>
    </w:p>
    <w:p w:rsidR="00447104" w:rsidRDefault="00B57B23" w:rsidP="00B01F31">
      <w:pPr>
        <w:rPr>
          <w:szCs w:val="24"/>
        </w:rPr>
      </w:pPr>
      <w:r w:rsidRPr="00B01F31">
        <w:rPr>
          <w:szCs w:val="24"/>
        </w:rPr>
        <w:t xml:space="preserve">The respondent State afforded the Applicant all necessary judicial protection under Art. 25, Art. 1(1) and Art. 2 ACHR by providing it with adequate and effective recourse in front of a court of law. </w:t>
      </w:r>
    </w:p>
    <w:p w:rsidR="00B57B23" w:rsidRPr="00B01F31" w:rsidRDefault="00B57B23" w:rsidP="00B01F31">
      <w:pPr>
        <w:rPr>
          <w:szCs w:val="24"/>
        </w:rPr>
      </w:pPr>
      <w:r w:rsidRPr="00B01F31">
        <w:rPr>
          <w:color w:val="000000"/>
          <w:szCs w:val="24"/>
        </w:rPr>
        <w:lastRenderedPageBreak/>
        <w:t>Art. 25 ACHR guarantees the protection of the most fundamental human rights by domestic authorities through an effective judicial remedy.</w:t>
      </w:r>
      <w:r w:rsidRPr="00B01F31">
        <w:rPr>
          <w:rStyle w:val="FootnoteReference"/>
          <w:color w:val="000000"/>
          <w:szCs w:val="24"/>
        </w:rPr>
        <w:footnoteReference w:id="103"/>
      </w:r>
    </w:p>
    <w:p w:rsidR="00B57B23" w:rsidRPr="00B01F31" w:rsidRDefault="00B57B23" w:rsidP="00B01F31">
      <w:pPr>
        <w:rPr>
          <w:bCs/>
          <w:szCs w:val="24"/>
        </w:rPr>
      </w:pPr>
      <w:r w:rsidRPr="00B01F31">
        <w:rPr>
          <w:color w:val="000000"/>
          <w:szCs w:val="24"/>
        </w:rPr>
        <w:t xml:space="preserve">In </w:t>
      </w:r>
      <w:r w:rsidRPr="00B01F31">
        <w:rPr>
          <w:i/>
          <w:szCs w:val="24"/>
        </w:rPr>
        <w:t>Saramaka People v. Suriname</w:t>
      </w:r>
      <w:r w:rsidRPr="00B01F31">
        <w:rPr>
          <w:color w:val="000000"/>
          <w:szCs w:val="24"/>
        </w:rPr>
        <w:t xml:space="preserve"> the Court made clear that states are obliged to adopt positive measures to guarantee that the remedies they provide through their judicial system are</w:t>
      </w:r>
      <w:r w:rsidRPr="00B01F31">
        <w:rPr>
          <w:i/>
          <w:color w:val="000000"/>
          <w:szCs w:val="24"/>
        </w:rPr>
        <w:t xml:space="preserve"> </w:t>
      </w:r>
      <w:r w:rsidRPr="00B01F31">
        <w:rPr>
          <w:color w:val="000000"/>
          <w:szCs w:val="24"/>
        </w:rPr>
        <w:t>“truly effective in establishing whether there has been a violation of human rights and in providing redress”</w:t>
      </w:r>
      <w:r w:rsidRPr="00B01F31">
        <w:rPr>
          <w:rStyle w:val="FootnoteReference"/>
          <w:color w:val="000000"/>
          <w:szCs w:val="24"/>
        </w:rPr>
        <w:footnoteReference w:id="104"/>
      </w:r>
      <w:r w:rsidRPr="00B01F31">
        <w:rPr>
          <w:color w:val="000000"/>
          <w:szCs w:val="24"/>
        </w:rPr>
        <w:t xml:space="preserve">. </w:t>
      </w:r>
      <w:r w:rsidRPr="000B20F1">
        <w:rPr>
          <w:color w:val="000000"/>
          <w:szCs w:val="24"/>
        </w:rPr>
        <w:t>The</w:t>
      </w:r>
      <w:r w:rsidRPr="000B20F1">
        <w:rPr>
          <w:bCs/>
          <w:szCs w:val="24"/>
        </w:rPr>
        <w:t xml:space="preserve"> Court held that Art. 25 ACHR is closely linked to both Art. 1(1) and Art. 2 ACHR, making the state party responsible to provide effective remedy and to adopt protective measures by issuing norms and developing practices which result in effective respect for guarantees set forth in the ACHR.</w:t>
      </w:r>
      <w:r w:rsidRPr="000B20F1">
        <w:rPr>
          <w:rStyle w:val="FootnoteReference"/>
          <w:bCs/>
          <w:szCs w:val="24"/>
        </w:rPr>
        <w:footnoteReference w:id="105"/>
      </w:r>
      <w:r w:rsidRPr="000B20F1">
        <w:rPr>
          <w:bCs/>
          <w:szCs w:val="24"/>
        </w:rPr>
        <w:t xml:space="preserve"> </w:t>
      </w:r>
      <w:r w:rsidRPr="000B20F1">
        <w:rPr>
          <w:color w:val="000000"/>
          <w:szCs w:val="24"/>
        </w:rPr>
        <w:t>Furthermore</w:t>
      </w:r>
      <w:r w:rsidRPr="00B01F31">
        <w:rPr>
          <w:color w:val="000000"/>
          <w:szCs w:val="24"/>
        </w:rPr>
        <w:t>, the Court stated that, in order to ensure members of indigenous peoples their right to communal property, states must establish “due process guarantees [...] for them to claim traditional lands”</w:t>
      </w:r>
      <w:r w:rsidRPr="00B01F31">
        <w:rPr>
          <w:rStyle w:val="FootnoteReference"/>
          <w:color w:val="000000"/>
          <w:szCs w:val="24"/>
        </w:rPr>
        <w:footnoteReference w:id="106"/>
      </w:r>
      <w:r w:rsidRPr="00B01F31">
        <w:rPr>
          <w:color w:val="000000"/>
          <w:szCs w:val="24"/>
        </w:rPr>
        <w:t xml:space="preserve">. </w:t>
      </w:r>
      <w:r w:rsidRPr="00B01F31">
        <w:rPr>
          <w:szCs w:val="24"/>
        </w:rPr>
        <w:t xml:space="preserve"> </w:t>
      </w:r>
    </w:p>
    <w:p w:rsidR="00B57B23" w:rsidRPr="00B01F31" w:rsidRDefault="00B57B23" w:rsidP="00B01F31">
      <w:pPr>
        <w:rPr>
          <w:szCs w:val="24"/>
        </w:rPr>
      </w:pPr>
      <w:r w:rsidRPr="00B01F31">
        <w:rPr>
          <w:color w:val="000000"/>
          <w:szCs w:val="24"/>
        </w:rPr>
        <w:t xml:space="preserve">In </w:t>
      </w:r>
      <w:r w:rsidRPr="00B01F31">
        <w:rPr>
          <w:i/>
          <w:szCs w:val="24"/>
        </w:rPr>
        <w:t>Velá</w:t>
      </w:r>
      <w:r w:rsidRPr="00B01F31">
        <w:rPr>
          <w:i/>
          <w:iCs/>
          <w:color w:val="000000"/>
          <w:szCs w:val="24"/>
        </w:rPr>
        <w:t xml:space="preserve">squez Rodriguez </w:t>
      </w:r>
      <w:r w:rsidRPr="00B01F31">
        <w:rPr>
          <w:i/>
          <w:iCs/>
          <w:szCs w:val="24"/>
        </w:rPr>
        <w:t>v. Honduras</w:t>
      </w:r>
      <w:r w:rsidRPr="00B01F31">
        <w:rPr>
          <w:color w:val="000000"/>
          <w:szCs w:val="24"/>
        </w:rPr>
        <w:t>, the Court ruled that a remedy is “effective” if it is “capable of producing the result for which it was designed”</w:t>
      </w:r>
      <w:r w:rsidRPr="00B01F31">
        <w:rPr>
          <w:color w:val="000000"/>
          <w:szCs w:val="24"/>
          <w:vertAlign w:val="superscript"/>
        </w:rPr>
        <w:footnoteReference w:id="107"/>
      </w:r>
      <w:r w:rsidRPr="00B01F31">
        <w:rPr>
          <w:color w:val="000000"/>
          <w:szCs w:val="24"/>
        </w:rPr>
        <w:t xml:space="preserve">. The Commission clarified that this did not mean that all </w:t>
      </w:r>
      <w:r w:rsidRPr="000B20F1">
        <w:rPr>
          <w:color w:val="000000"/>
          <w:szCs w:val="24"/>
        </w:rPr>
        <w:t>remedies must necessarily be granted, but rather that there must be at least a serious possibility that they will be.</w:t>
      </w:r>
      <w:r w:rsidRPr="000B20F1">
        <w:rPr>
          <w:color w:val="000000"/>
          <w:szCs w:val="24"/>
          <w:vertAlign w:val="superscript"/>
        </w:rPr>
        <w:footnoteReference w:id="108"/>
      </w:r>
      <w:r w:rsidRPr="000B20F1">
        <w:rPr>
          <w:color w:val="000000"/>
          <w:szCs w:val="24"/>
        </w:rPr>
        <w:t xml:space="preserve"> </w:t>
      </w:r>
      <w:r w:rsidRPr="000B20F1">
        <w:rPr>
          <w:szCs w:val="24"/>
        </w:rPr>
        <w:t>An adequate remedy is one appropriate to address an infringement of a legal right.</w:t>
      </w:r>
      <w:r w:rsidRPr="000B20F1">
        <w:rPr>
          <w:rStyle w:val="FootnoteReference"/>
          <w:szCs w:val="24"/>
        </w:rPr>
        <w:footnoteReference w:id="109"/>
      </w:r>
      <w:r w:rsidRPr="00B01F31">
        <w:rPr>
          <w:szCs w:val="24"/>
        </w:rPr>
        <w:t xml:space="preserve"> </w:t>
      </w:r>
    </w:p>
    <w:p w:rsidR="00B57B23" w:rsidRPr="00B01F31" w:rsidRDefault="00B57B23" w:rsidP="00B01F31">
      <w:pPr>
        <w:rPr>
          <w:szCs w:val="24"/>
        </w:rPr>
      </w:pPr>
      <w:r w:rsidRPr="00B01F31">
        <w:rPr>
          <w:color w:val="000000"/>
          <w:szCs w:val="24"/>
        </w:rPr>
        <w:t xml:space="preserve">In the present case, the national courts of the respondent State handed down their ruling within four months from the first legal action taken by Mr. </w:t>
      </w:r>
      <w:r w:rsidRPr="00B01F31">
        <w:rPr>
          <w:szCs w:val="24"/>
        </w:rPr>
        <w:t xml:space="preserve">Manuín, thus acting </w:t>
      </w:r>
      <w:r w:rsidRPr="00B01F31">
        <w:rPr>
          <w:color w:val="000000"/>
          <w:szCs w:val="24"/>
        </w:rPr>
        <w:t>in a timely manner regarding the allegations concerning the Pichicha people.</w:t>
      </w:r>
      <w:r w:rsidRPr="00B01F31">
        <w:rPr>
          <w:rStyle w:val="FootnoteReference"/>
          <w:color w:val="000000"/>
          <w:szCs w:val="24"/>
        </w:rPr>
        <w:footnoteReference w:id="110"/>
      </w:r>
      <w:r w:rsidRPr="00B01F31">
        <w:rPr>
          <w:bCs/>
          <w:szCs w:val="24"/>
        </w:rPr>
        <w:t xml:space="preserve"> </w:t>
      </w:r>
      <w:r w:rsidRPr="00B01F31">
        <w:rPr>
          <w:color w:val="000000"/>
          <w:szCs w:val="24"/>
        </w:rPr>
        <w:t xml:space="preserve">The inadmissibility ruling of the </w:t>
      </w:r>
      <w:r w:rsidRPr="00B01F31">
        <w:rPr>
          <w:color w:val="000000"/>
          <w:szCs w:val="24"/>
        </w:rPr>
        <w:lastRenderedPageBreak/>
        <w:t>respondent State’s Supreme Court was based on the fact that the amparo action brought before the lower court serves the sole purpose of restoring a fundamental right, and is not a suitable mechanism for asserting compensatory claims.</w:t>
      </w:r>
      <w:r w:rsidRPr="00B01F31">
        <w:rPr>
          <w:rStyle w:val="FootnoteReference"/>
          <w:color w:val="000000"/>
          <w:szCs w:val="24"/>
        </w:rPr>
        <w:footnoteReference w:id="111"/>
      </w:r>
      <w:r w:rsidRPr="00B01F31">
        <w:rPr>
          <w:color w:val="000000"/>
          <w:szCs w:val="24"/>
        </w:rPr>
        <w:t xml:space="preserve"> The suitable action for filing compensatory claims against the government authorities is adversarial administrative litigation.</w:t>
      </w:r>
      <w:r w:rsidRPr="00B01F31">
        <w:rPr>
          <w:rStyle w:val="FootnoteReference"/>
          <w:color w:val="000000"/>
          <w:szCs w:val="24"/>
        </w:rPr>
        <w:footnoteReference w:id="112"/>
      </w:r>
      <w:r w:rsidRPr="00B01F31">
        <w:rPr>
          <w:color w:val="000000"/>
          <w:szCs w:val="24"/>
        </w:rPr>
        <w:t xml:space="preserve"> Therefore, there are effective legal means within the respondent State’s national law, which allow any individual to apply to the judiciary in case of an alleged infringement of its property rights, including alleged violations by the respondent State itself. Furthermore, the respondent State expressly advised Mr. Manuín that he was pursuing the wrong domestic remedy.</w:t>
      </w:r>
      <w:r w:rsidRPr="00B01F31">
        <w:rPr>
          <w:rStyle w:val="FootnoteReference"/>
          <w:color w:val="000000"/>
          <w:szCs w:val="24"/>
        </w:rPr>
        <w:footnoteReference w:id="113"/>
      </w:r>
      <w:r w:rsidRPr="00B01F31">
        <w:rPr>
          <w:color w:val="000000"/>
          <w:szCs w:val="24"/>
        </w:rPr>
        <w:t xml:space="preserve"> Nevertheless, Mr. </w:t>
      </w:r>
      <w:r w:rsidRPr="00B01F31">
        <w:rPr>
          <w:szCs w:val="24"/>
        </w:rPr>
        <w:t xml:space="preserve">Manuín </w:t>
      </w:r>
      <w:r w:rsidRPr="00B01F31">
        <w:rPr>
          <w:color w:val="000000"/>
          <w:szCs w:val="24"/>
        </w:rPr>
        <w:t xml:space="preserve">did not act upon the ruling and instead filed a petition with the Commission. </w:t>
      </w:r>
      <w:r w:rsidRPr="00B01F31">
        <w:rPr>
          <w:szCs w:val="24"/>
        </w:rPr>
        <w:t>The respondent State also issued an injunction ordering the immediate evacuation of the area surrounding the Mandí Stream and, thus, adopted adequate domestic legal measures to protect the inviolability of indigenous community lands.</w:t>
      </w:r>
      <w:r w:rsidRPr="00B01F31">
        <w:rPr>
          <w:rStyle w:val="FootnoteReference"/>
          <w:szCs w:val="24"/>
        </w:rPr>
        <w:footnoteReference w:id="114"/>
      </w:r>
      <w:r w:rsidRPr="00B01F31">
        <w:rPr>
          <w:szCs w:val="24"/>
        </w:rPr>
        <w:t xml:space="preserve"> The respondent State adopted all necessary and effective legal mechanisms in its domestic law in order to ensure the judicial protection of the Pichicha people in accordance with Art. 1(1) and Art. 2 ACHR..</w:t>
      </w:r>
      <w:r w:rsidRPr="00B01F31">
        <w:rPr>
          <w:rStyle w:val="FootnoteReference"/>
          <w:szCs w:val="24"/>
        </w:rPr>
        <w:footnoteReference w:id="115"/>
      </w:r>
      <w:r w:rsidRPr="00B01F31">
        <w:rPr>
          <w:szCs w:val="24"/>
        </w:rPr>
        <w:t xml:space="preserve"> </w:t>
      </w:r>
    </w:p>
    <w:p w:rsidR="0080401F" w:rsidRPr="00B01F31" w:rsidRDefault="00B57B23" w:rsidP="00B01F31">
      <w:pPr>
        <w:rPr>
          <w:szCs w:val="24"/>
        </w:rPr>
      </w:pPr>
      <w:r w:rsidRPr="00B01F31">
        <w:rPr>
          <w:szCs w:val="24"/>
        </w:rPr>
        <w:t xml:space="preserve">Hence, the </w:t>
      </w:r>
      <w:r w:rsidRPr="00B01F31">
        <w:rPr>
          <w:color w:val="000000"/>
          <w:szCs w:val="24"/>
        </w:rPr>
        <w:t xml:space="preserve">respondent State afforded the Applicant all necessary legal remedies, ensuring its right to </w:t>
      </w:r>
      <w:r w:rsidRPr="00B01F31">
        <w:rPr>
          <w:szCs w:val="24"/>
        </w:rPr>
        <w:t>judicial protection in accordance with Art. 25,Art. 1(1) and Art. 2 ACHR.</w:t>
      </w:r>
    </w:p>
    <w:p w:rsidR="00B57B23" w:rsidRPr="00B01F31" w:rsidRDefault="00B57B23" w:rsidP="00B01F31">
      <w:pPr>
        <w:pStyle w:val="Heading4"/>
        <w:spacing w:before="0" w:after="0" w:line="480" w:lineRule="auto"/>
        <w:rPr>
          <w:b/>
          <w:sz w:val="24"/>
          <w:szCs w:val="24"/>
        </w:rPr>
      </w:pPr>
      <w:bookmarkStart w:id="67" w:name="_Toc320823108"/>
      <w:r w:rsidRPr="00B01F31">
        <w:rPr>
          <w:b/>
          <w:sz w:val="24"/>
          <w:szCs w:val="24"/>
        </w:rPr>
        <w:t xml:space="preserve">The respondent State fulfilled all its legal obligations with regard to the </w:t>
      </w:r>
      <w:r w:rsidRPr="00B01F31">
        <w:rPr>
          <w:b/>
          <w:bCs/>
          <w:sz w:val="24"/>
          <w:szCs w:val="24"/>
        </w:rPr>
        <w:t xml:space="preserve">right to property </w:t>
      </w:r>
      <w:r w:rsidRPr="00B01F31">
        <w:rPr>
          <w:b/>
          <w:sz w:val="24"/>
          <w:szCs w:val="24"/>
        </w:rPr>
        <w:t xml:space="preserve">in accordance with </w:t>
      </w:r>
      <w:r w:rsidRPr="00B01F31">
        <w:rPr>
          <w:b/>
          <w:bCs/>
          <w:sz w:val="24"/>
          <w:szCs w:val="24"/>
        </w:rPr>
        <w:t>Art. 21, Art. 1(1) and Art. 2 ACHR</w:t>
      </w:r>
      <w:bookmarkEnd w:id="67"/>
    </w:p>
    <w:p w:rsidR="00B57B23" w:rsidRPr="00B01F31" w:rsidRDefault="00B57B23" w:rsidP="00B01F31">
      <w:pPr>
        <w:rPr>
          <w:szCs w:val="24"/>
        </w:rPr>
      </w:pPr>
      <w:r w:rsidRPr="00B01F31">
        <w:rPr>
          <w:szCs w:val="24"/>
        </w:rPr>
        <w:t xml:space="preserve">The respondent State ensured the Applicant’s right to the use and enjoyment of its property under Art. 21, Art. 1(1) and Art. 2 ACHR by upholding the Pichicha people’s </w:t>
      </w:r>
      <w:r w:rsidRPr="00B01F31">
        <w:rPr>
          <w:color w:val="000000"/>
          <w:szCs w:val="24"/>
        </w:rPr>
        <w:t>right to communal property and</w:t>
      </w:r>
      <w:r w:rsidRPr="00B01F31">
        <w:rPr>
          <w:szCs w:val="24"/>
        </w:rPr>
        <w:t xml:space="preserve"> actively consulting with them according to their customs and traditions. </w:t>
      </w:r>
    </w:p>
    <w:p w:rsidR="00B57B23" w:rsidRPr="00B01F31" w:rsidRDefault="00B57B23" w:rsidP="00B01F31">
      <w:pPr>
        <w:rPr>
          <w:color w:val="000000"/>
          <w:szCs w:val="24"/>
        </w:rPr>
      </w:pPr>
      <w:r w:rsidRPr="00B01F31">
        <w:rPr>
          <w:color w:val="000000"/>
          <w:szCs w:val="24"/>
        </w:rPr>
        <w:lastRenderedPageBreak/>
        <w:t>According to Art. 21(1) ACHR, everyone has a right to the use and enjoyment of his property.</w:t>
      </w:r>
      <w:r w:rsidR="00DA52F1">
        <w:rPr>
          <w:color w:val="000000"/>
          <w:szCs w:val="24"/>
        </w:rPr>
        <w:t xml:space="preserve"> </w:t>
      </w:r>
      <w:r w:rsidR="002D39A6">
        <w:rPr>
          <w:color w:val="000000"/>
          <w:szCs w:val="24"/>
        </w:rPr>
        <w:t xml:space="preserve">Property can be defined as </w:t>
      </w:r>
      <w:r w:rsidRPr="00B01F31">
        <w:rPr>
          <w:color w:val="000000"/>
          <w:szCs w:val="24"/>
        </w:rPr>
        <w:t>material objects and rights, which are legally owned and possessed by an individual or a group of people.</w:t>
      </w:r>
      <w:r w:rsidRPr="00B01F31">
        <w:rPr>
          <w:rStyle w:val="FootnoteReference"/>
          <w:color w:val="000000"/>
          <w:szCs w:val="24"/>
        </w:rPr>
        <w:footnoteReference w:id="116"/>
      </w:r>
      <w:r w:rsidRPr="00B01F31">
        <w:rPr>
          <w:color w:val="000000"/>
          <w:szCs w:val="24"/>
        </w:rPr>
        <w:t xml:space="preserve"> Hence, property rights can be of an individual or collective nature, both enjoying equal protection</w:t>
      </w:r>
      <w:r w:rsidRPr="00B01F31">
        <w:rPr>
          <w:rStyle w:val="FootnoteReference"/>
          <w:color w:val="000000"/>
          <w:szCs w:val="24"/>
        </w:rPr>
        <w:footnoteReference w:id="117"/>
      </w:r>
      <w:r w:rsidRPr="00B01F31">
        <w:rPr>
          <w:color w:val="000000"/>
          <w:szCs w:val="24"/>
        </w:rPr>
        <w:t xml:space="preserve"> </w:t>
      </w:r>
    </w:p>
    <w:p w:rsidR="00B57B23" w:rsidRPr="00B01F31" w:rsidRDefault="00B57B23" w:rsidP="00B01F31">
      <w:pPr>
        <w:rPr>
          <w:color w:val="000000"/>
          <w:szCs w:val="24"/>
        </w:rPr>
      </w:pPr>
      <w:r w:rsidRPr="00B01F31">
        <w:rPr>
          <w:szCs w:val="24"/>
        </w:rPr>
        <w:t xml:space="preserve">In </w:t>
      </w:r>
      <w:r w:rsidRPr="00B01F31">
        <w:rPr>
          <w:i/>
          <w:iCs/>
          <w:szCs w:val="24"/>
        </w:rPr>
        <w:t>Saramaka People v. Suriname</w:t>
      </w:r>
      <w:r w:rsidRPr="00B01F31">
        <w:rPr>
          <w:iCs/>
          <w:szCs w:val="24"/>
        </w:rPr>
        <w:t>, the Court</w:t>
      </w:r>
      <w:r w:rsidRPr="00B01F31">
        <w:rPr>
          <w:szCs w:val="24"/>
        </w:rPr>
        <w:t xml:space="preserve"> stated that the use and enjoyment of the indigenous peoples’ lands and natural resources necessary for their survival are also subject to certain limitations and restrictions. The enjoyment to the right of property can particularly be restricted for reasons of public utility and in the interest of society, such as in emergency situations</w:t>
      </w:r>
      <w:r w:rsidRPr="00B01F31">
        <w:rPr>
          <w:color w:val="000000"/>
          <w:szCs w:val="24"/>
        </w:rPr>
        <w:t>.</w:t>
      </w:r>
      <w:r w:rsidRPr="00B01F31">
        <w:rPr>
          <w:rStyle w:val="FootnoteReference"/>
          <w:szCs w:val="24"/>
        </w:rPr>
        <w:footnoteReference w:id="118"/>
      </w:r>
      <w:r w:rsidRPr="00B01F31">
        <w:rPr>
          <w:color w:val="000000"/>
          <w:szCs w:val="24"/>
        </w:rPr>
        <w:t xml:space="preserve"> A state may restrict the use and enjoyment of the right to property if such restrictions are (1) previously established by law, (2) necessary, and (3) proportional.</w:t>
      </w:r>
      <w:r w:rsidRPr="00B01F31">
        <w:rPr>
          <w:rStyle w:val="FootnoteReference"/>
          <w:szCs w:val="24"/>
        </w:rPr>
        <w:footnoteReference w:id="119"/>
      </w:r>
    </w:p>
    <w:p w:rsidR="00B57B23" w:rsidRPr="00B01F31" w:rsidRDefault="00B57B23" w:rsidP="00B01F31">
      <w:pPr>
        <w:rPr>
          <w:szCs w:val="24"/>
        </w:rPr>
      </w:pPr>
      <w:r w:rsidRPr="00B01F31">
        <w:rPr>
          <w:szCs w:val="24"/>
        </w:rPr>
        <w:t xml:space="preserve">Clean water is a natural resource essential for the </w:t>
      </w:r>
      <w:r w:rsidR="00A45A12">
        <w:rPr>
          <w:szCs w:val="24"/>
        </w:rPr>
        <w:t xml:space="preserve">indigenous </w:t>
      </w:r>
      <w:r w:rsidRPr="00B01F31">
        <w:rPr>
          <w:szCs w:val="24"/>
        </w:rPr>
        <w:t>Pichicha people.</w:t>
      </w:r>
      <w:r w:rsidRPr="00B01F31">
        <w:rPr>
          <w:rStyle w:val="FootnoteReference"/>
          <w:szCs w:val="24"/>
        </w:rPr>
        <w:footnoteReference w:id="120"/>
      </w:r>
      <w:r w:rsidRPr="00B01F31">
        <w:rPr>
          <w:szCs w:val="24"/>
        </w:rPr>
        <w:t xml:space="preserve"> When the small containment dam ruptured, the lack of potable water was the main impact on the health of the affected Pichicha people.</w:t>
      </w:r>
      <w:r w:rsidRPr="00B01F31">
        <w:rPr>
          <w:rStyle w:val="FootnoteReference"/>
          <w:szCs w:val="24"/>
        </w:rPr>
        <w:footnoteReference w:id="121"/>
      </w:r>
      <w:r w:rsidRPr="00B01F31">
        <w:rPr>
          <w:szCs w:val="24"/>
        </w:rPr>
        <w:t xml:space="preserve"> Therefore, the respondent State was compelled to restrict the Pichicha’s property rights in order to conduct the necessary decontamination of the Pampulla Lagoon and to supply them with potable water from alternative sources.</w:t>
      </w:r>
      <w:r w:rsidRPr="00B01F31">
        <w:rPr>
          <w:rStyle w:val="FootnoteReference"/>
          <w:szCs w:val="24"/>
        </w:rPr>
        <w:footnoteReference w:id="122"/>
      </w:r>
      <w:r w:rsidRPr="00B01F31">
        <w:rPr>
          <w:szCs w:val="24"/>
        </w:rPr>
        <w:t xml:space="preserve"> This exceptional and temporary restriction of the Pichicha people’s property rights over the Mandí Stream was absolutely necessary and proportional due to the emergency situation and not to complete the Wirkikuya mining project.</w:t>
      </w:r>
      <w:r w:rsidRPr="00B01F31">
        <w:rPr>
          <w:rStyle w:val="FootnoteReference"/>
          <w:szCs w:val="24"/>
        </w:rPr>
        <w:footnoteReference w:id="123"/>
      </w:r>
      <w:r w:rsidRPr="00B01F31">
        <w:rPr>
          <w:szCs w:val="24"/>
        </w:rPr>
        <w:t xml:space="preserve"> Moreover, the Pichicha people themselves benefited from the provisional collection of the water from the area surrounding the Mandí Stream. The respondent </w:t>
      </w:r>
      <w:r w:rsidRPr="00B01F31">
        <w:rPr>
          <w:szCs w:val="24"/>
        </w:rPr>
        <w:lastRenderedPageBreak/>
        <w:t xml:space="preserve">State further restored the Pichicha people’s property rights by issuing an injunction order and immediately evacuating the civil </w:t>
      </w:r>
      <w:r w:rsidR="00A45A12" w:rsidRPr="00B01F31">
        <w:rPr>
          <w:szCs w:val="24"/>
        </w:rPr>
        <w:t>defense</w:t>
      </w:r>
      <w:r w:rsidRPr="00B01F31">
        <w:rPr>
          <w:szCs w:val="24"/>
        </w:rPr>
        <w:t xml:space="preserve"> personnel from the area.</w:t>
      </w:r>
      <w:r w:rsidRPr="00B01F31">
        <w:rPr>
          <w:rStyle w:val="FootnoteReference"/>
          <w:szCs w:val="24"/>
        </w:rPr>
        <w:footnoteReference w:id="124"/>
      </w:r>
      <w:r w:rsidRPr="00B01F31">
        <w:rPr>
          <w:szCs w:val="24"/>
        </w:rPr>
        <w:t xml:space="preserve"> </w:t>
      </w:r>
    </w:p>
    <w:p w:rsidR="00B57B23" w:rsidRPr="00B01F31" w:rsidRDefault="00B57B23" w:rsidP="00B01F31">
      <w:pPr>
        <w:rPr>
          <w:szCs w:val="24"/>
        </w:rPr>
      </w:pPr>
      <w:r w:rsidRPr="00B01F31">
        <w:rPr>
          <w:szCs w:val="24"/>
        </w:rPr>
        <w:t>Furthermore, the respondent State must ensure the effective participation of the members of the Pichicha people in any development, investment, exploration or extraction plan within their territory in conformity with their customs and traditions.</w:t>
      </w:r>
      <w:r w:rsidRPr="00B01F31">
        <w:rPr>
          <w:rStyle w:val="FootnoteReference"/>
          <w:szCs w:val="24"/>
        </w:rPr>
        <w:footnoteReference w:id="125"/>
      </w:r>
      <w:r w:rsidRPr="00B01F31">
        <w:rPr>
          <w:szCs w:val="24"/>
        </w:rPr>
        <w:t xml:space="preserve"> U.N. Special Rapporteur James Anaya determined that “free, prior and informed consent is essential for the protection of human rights of indigenous peoples in relation to major development projects”</w:t>
      </w:r>
      <w:r w:rsidRPr="00B01F31">
        <w:rPr>
          <w:rStyle w:val="FootnoteReference"/>
          <w:szCs w:val="24"/>
        </w:rPr>
        <w:footnoteReference w:id="126"/>
      </w:r>
      <w:r w:rsidRPr="00B01F31">
        <w:rPr>
          <w:szCs w:val="24"/>
        </w:rPr>
        <w:t xml:space="preserve">. It became clear in </w:t>
      </w:r>
      <w:r w:rsidRPr="00B01F31">
        <w:rPr>
          <w:i/>
          <w:szCs w:val="24"/>
        </w:rPr>
        <w:t>Saramaka v. Suriname</w:t>
      </w:r>
      <w:r w:rsidRPr="00B01F31">
        <w:rPr>
          <w:szCs w:val="24"/>
        </w:rPr>
        <w:t xml:space="preserve"> that states have duties to actively consult with the indigenous communities according to their customs and traditions.</w:t>
      </w:r>
      <w:r w:rsidRPr="00B01F31">
        <w:rPr>
          <w:rStyle w:val="FootnoteReference"/>
          <w:szCs w:val="24"/>
        </w:rPr>
        <w:footnoteReference w:id="127"/>
      </w:r>
      <w:r w:rsidRPr="00B01F31">
        <w:rPr>
          <w:szCs w:val="24"/>
        </w:rPr>
        <w:t xml:space="preserve"> Art. 6(1)(a) ILO Convention 169 provides that “governments shall [...] consult the peoples concerned, through appropriate procedures and in particular through their representative institutions”, and take “measures [...] to ensure that members of these peoples can understand and be understood in legal proceedings”, taking into account their linguistic diversity.</w:t>
      </w:r>
      <w:r w:rsidRPr="00B01F31">
        <w:rPr>
          <w:rStyle w:val="FootnoteReference"/>
          <w:szCs w:val="24"/>
        </w:rPr>
        <w:footnoteReference w:id="128"/>
      </w:r>
      <w:r w:rsidRPr="00B01F31">
        <w:rPr>
          <w:szCs w:val="24"/>
        </w:rPr>
        <w:t xml:space="preserve"> In </w:t>
      </w:r>
      <w:r w:rsidRPr="00B01F31">
        <w:rPr>
          <w:i/>
          <w:iCs/>
          <w:szCs w:val="24"/>
        </w:rPr>
        <w:t xml:space="preserve">Apirana Mahuika et al. v. New Zealand, </w:t>
      </w:r>
      <w:r w:rsidRPr="00B01F31">
        <w:rPr>
          <w:szCs w:val="24"/>
        </w:rPr>
        <w:t>the U.N. Human Rights Committee ruled that the right to culture of an indigenous population under Art. 27 International Covenant on Civil and Political Rights could be restricted where the community itself participated in the decision to restrict such right.</w:t>
      </w:r>
      <w:r w:rsidRPr="00B01F31">
        <w:rPr>
          <w:rStyle w:val="FootnoteReference"/>
          <w:szCs w:val="24"/>
        </w:rPr>
        <w:footnoteReference w:id="129"/>
      </w:r>
      <w:r w:rsidRPr="00B01F31">
        <w:rPr>
          <w:szCs w:val="24"/>
        </w:rPr>
        <w:t xml:space="preserve"> States must ensure that members of the affected community are aware of possible risks, including environmental and health risks for the proposed plan to be accepted knowingly and voluntarily by them.</w:t>
      </w:r>
      <w:r w:rsidRPr="00B01F31">
        <w:rPr>
          <w:rStyle w:val="FootnoteReference"/>
          <w:szCs w:val="24"/>
        </w:rPr>
        <w:footnoteReference w:id="130"/>
      </w:r>
      <w:r w:rsidRPr="00B01F31">
        <w:rPr>
          <w:szCs w:val="24"/>
        </w:rPr>
        <w:t xml:space="preserve"> </w:t>
      </w:r>
    </w:p>
    <w:p w:rsidR="00B57B23" w:rsidRPr="00B01F31" w:rsidRDefault="00B57B23" w:rsidP="00B01F31">
      <w:pPr>
        <w:rPr>
          <w:szCs w:val="24"/>
        </w:rPr>
      </w:pPr>
      <w:r w:rsidRPr="00B01F31">
        <w:rPr>
          <w:szCs w:val="24"/>
        </w:rPr>
        <w:t>From the very beginning of the Wirikuya project in January 2007 and in accordance with its domestic laws, the respondent State conducted a Social and Environmental Impact Study (</w:t>
      </w:r>
      <w:r w:rsidR="00D03675">
        <w:rPr>
          <w:szCs w:val="24"/>
        </w:rPr>
        <w:t xml:space="preserve">SEIS) </w:t>
      </w:r>
      <w:r w:rsidR="00D03675">
        <w:rPr>
          <w:szCs w:val="24"/>
        </w:rPr>
        <w:lastRenderedPageBreak/>
        <w:t>and translated it into</w:t>
      </w:r>
      <w:r w:rsidRPr="00B01F31">
        <w:rPr>
          <w:szCs w:val="24"/>
        </w:rPr>
        <w:t xml:space="preserve"> Pichicha language.</w:t>
      </w:r>
      <w:r w:rsidRPr="00B01F31">
        <w:rPr>
          <w:rStyle w:val="FootnoteReference"/>
          <w:szCs w:val="24"/>
        </w:rPr>
        <w:footnoteReference w:id="131"/>
      </w:r>
      <w:r w:rsidRPr="00B01F31">
        <w:rPr>
          <w:szCs w:val="24"/>
        </w:rPr>
        <w:t xml:space="preserve"> Furthermore, the respondent State has presented studies and technical reports to show the possible effects on the property of the Pichicha and Orifuna people within both the respondent State and Madruga’s territory.</w:t>
      </w:r>
      <w:r w:rsidRPr="00B01F31">
        <w:rPr>
          <w:rStyle w:val="FootnoteReference"/>
          <w:szCs w:val="24"/>
        </w:rPr>
        <w:footnoteReference w:id="132"/>
      </w:r>
      <w:r w:rsidRPr="00B01F31">
        <w:rPr>
          <w:szCs w:val="24"/>
        </w:rPr>
        <w:t xml:space="preserve"> The respondent State gained and shared, through a three-year consultation process with the Pichicha people, specific information of the project’s potential effects on their territory.</w:t>
      </w:r>
      <w:r w:rsidRPr="00B01F31">
        <w:rPr>
          <w:rStyle w:val="FootnoteReference"/>
          <w:szCs w:val="24"/>
        </w:rPr>
        <w:footnoteReference w:id="133"/>
      </w:r>
      <w:r w:rsidRPr="00B01F31">
        <w:rPr>
          <w:szCs w:val="24"/>
        </w:rPr>
        <w:t xml:space="preserve"> The first year of the extensive consultation process with the Pichicha people consisted of the detailed explanation of the scope of the project and its potential environmental and social impact. The explanation was provided by a multidisciplinary group, made of professional engineers, geologists, anthropologists, physicists, lawyers, and others, who held more than one hundred meetings with the Pichicha people, all of which were translated into the Pichicha people’s language.</w:t>
      </w:r>
      <w:r w:rsidRPr="00B01F31">
        <w:rPr>
          <w:rStyle w:val="FootnoteReference"/>
          <w:szCs w:val="24"/>
        </w:rPr>
        <w:footnoteReference w:id="134"/>
      </w:r>
      <w:r w:rsidRPr="00B01F31">
        <w:rPr>
          <w:szCs w:val="24"/>
        </w:rPr>
        <w:t xml:space="preserve"> At no point during the consultation, did any member of the Pichicha community oppose the project nor the consultation process itself.</w:t>
      </w:r>
      <w:r w:rsidRPr="00B01F31">
        <w:rPr>
          <w:rStyle w:val="FootnoteReference"/>
          <w:szCs w:val="24"/>
        </w:rPr>
        <w:footnoteReference w:id="135"/>
      </w:r>
      <w:r w:rsidRPr="00B01F31">
        <w:rPr>
          <w:szCs w:val="24"/>
        </w:rPr>
        <w:t xml:space="preserve"> The respondent State, in consequence, had the full and informed prior consent of the indigenous Pichicha people inhabiting the area.</w:t>
      </w:r>
    </w:p>
    <w:p w:rsidR="00B57B23" w:rsidRPr="00B01F31" w:rsidRDefault="00B57B23" w:rsidP="00B01F31">
      <w:pPr>
        <w:rPr>
          <w:szCs w:val="24"/>
        </w:rPr>
      </w:pPr>
      <w:r w:rsidRPr="00B01F31">
        <w:rPr>
          <w:szCs w:val="24"/>
        </w:rPr>
        <w:t xml:space="preserve">Therefore, the respondent State ensured the Applicant’s right to the use and enjoyment of its property under Art. 21, Art. 1(1) and Art. 2 ACHR by upholding the Pichicha people’s </w:t>
      </w:r>
      <w:r w:rsidRPr="00B01F31">
        <w:rPr>
          <w:color w:val="000000"/>
          <w:szCs w:val="24"/>
        </w:rPr>
        <w:t>right to communal property and</w:t>
      </w:r>
      <w:r w:rsidRPr="00B01F31">
        <w:rPr>
          <w:szCs w:val="24"/>
        </w:rPr>
        <w:t xml:space="preserve"> actively consulting with them according to their customs and traditions</w:t>
      </w:r>
      <w:r w:rsidR="0080401F" w:rsidRPr="00B01F31">
        <w:rPr>
          <w:szCs w:val="24"/>
        </w:rPr>
        <w:t>.</w:t>
      </w:r>
    </w:p>
    <w:p w:rsidR="00B57B23" w:rsidRPr="00B01F31" w:rsidRDefault="00B57B23" w:rsidP="00B01F31">
      <w:pPr>
        <w:pStyle w:val="Heading4"/>
        <w:tabs>
          <w:tab w:val="clear" w:pos="864"/>
          <w:tab w:val="num" w:pos="709"/>
        </w:tabs>
        <w:spacing w:before="0" w:line="480" w:lineRule="auto"/>
        <w:ind w:left="709" w:hanging="709"/>
        <w:rPr>
          <w:b/>
          <w:bCs/>
          <w:sz w:val="24"/>
          <w:szCs w:val="24"/>
        </w:rPr>
      </w:pPr>
      <w:bookmarkStart w:id="68" w:name="_Toc320823109"/>
      <w:r w:rsidRPr="00B01F31">
        <w:rPr>
          <w:b/>
          <w:sz w:val="24"/>
          <w:szCs w:val="24"/>
        </w:rPr>
        <w:t xml:space="preserve">The respondent State fulfilled all its legal obligations with regard to the </w:t>
      </w:r>
      <w:r w:rsidRPr="00B01F31">
        <w:rPr>
          <w:b/>
          <w:bCs/>
          <w:sz w:val="24"/>
          <w:szCs w:val="24"/>
        </w:rPr>
        <w:t>right to progressive development in accordance with Art. 26 ACHR</w:t>
      </w:r>
      <w:bookmarkEnd w:id="68"/>
      <w:r w:rsidRPr="00B01F31">
        <w:rPr>
          <w:b/>
          <w:bCs/>
          <w:sz w:val="24"/>
          <w:szCs w:val="24"/>
        </w:rPr>
        <w:t xml:space="preserve"> </w:t>
      </w:r>
    </w:p>
    <w:p w:rsidR="00B57B23" w:rsidRPr="00B01F31" w:rsidRDefault="00B57B23" w:rsidP="00B01F31">
      <w:pPr>
        <w:autoSpaceDE w:val="0"/>
        <w:autoSpaceDN w:val="0"/>
        <w:adjustRightInd w:val="0"/>
        <w:rPr>
          <w:color w:val="000000"/>
          <w:szCs w:val="24"/>
        </w:rPr>
      </w:pPr>
      <w:r w:rsidRPr="00B01F31">
        <w:rPr>
          <w:szCs w:val="24"/>
        </w:rPr>
        <w:t xml:space="preserve">By </w:t>
      </w:r>
      <w:r w:rsidRPr="00B01F31">
        <w:rPr>
          <w:color w:val="000000"/>
          <w:szCs w:val="24"/>
        </w:rPr>
        <w:t xml:space="preserve">decontaminating the polluted Pampulla Lagoon without displacing the Pichicha people from their traditional territory and </w:t>
      </w:r>
      <w:r w:rsidRPr="00B01F31">
        <w:rPr>
          <w:szCs w:val="24"/>
        </w:rPr>
        <w:t>supplying them</w:t>
      </w:r>
      <w:r w:rsidRPr="00B01F31">
        <w:rPr>
          <w:bCs/>
          <w:szCs w:val="24"/>
        </w:rPr>
        <w:t xml:space="preserve"> with potable water</w:t>
      </w:r>
      <w:r w:rsidRPr="00B01F31">
        <w:rPr>
          <w:szCs w:val="24"/>
        </w:rPr>
        <w:t>, the respondent State fully complied with the Applicant’s right to progressive development under Art. 26 ACHR</w:t>
      </w:r>
      <w:r w:rsidRPr="00B01F31">
        <w:rPr>
          <w:color w:val="000000"/>
          <w:szCs w:val="24"/>
        </w:rPr>
        <w:t xml:space="preserve">. </w:t>
      </w:r>
    </w:p>
    <w:p w:rsidR="00B57B23" w:rsidRPr="00B01F31" w:rsidRDefault="00B57B23" w:rsidP="00B01F31">
      <w:pPr>
        <w:rPr>
          <w:color w:val="000000"/>
          <w:szCs w:val="24"/>
        </w:rPr>
      </w:pPr>
      <w:r w:rsidRPr="00B01F31">
        <w:rPr>
          <w:color w:val="000000"/>
          <w:szCs w:val="24"/>
        </w:rPr>
        <w:lastRenderedPageBreak/>
        <w:t>According to Art. 26 ACHR, states parties have to adopt measures, with a view to progressively</w:t>
      </w:r>
      <w:r w:rsidR="0004774E">
        <w:rPr>
          <w:color w:val="000000"/>
          <w:szCs w:val="24"/>
        </w:rPr>
        <w:t xml:space="preserve"> </w:t>
      </w:r>
      <w:r w:rsidRPr="00B01F31">
        <w:rPr>
          <w:color w:val="000000"/>
          <w:szCs w:val="24"/>
        </w:rPr>
        <w:t>achieving the full realization</w:t>
      </w:r>
      <w:r w:rsidRPr="00B01F31" w:rsidDel="00917331">
        <w:rPr>
          <w:color w:val="000000"/>
          <w:szCs w:val="24"/>
        </w:rPr>
        <w:t xml:space="preserve"> </w:t>
      </w:r>
      <w:r w:rsidRPr="00B01F31">
        <w:rPr>
          <w:color w:val="000000"/>
          <w:szCs w:val="24"/>
        </w:rPr>
        <w:t xml:space="preserve">of all </w:t>
      </w:r>
      <w:r w:rsidRPr="00B01F31">
        <w:rPr>
          <w:bCs/>
          <w:szCs w:val="24"/>
        </w:rPr>
        <w:t>economic, social and cultural rights</w:t>
      </w:r>
      <w:r w:rsidRPr="00B01F31">
        <w:rPr>
          <w:color w:val="000000"/>
          <w:szCs w:val="24"/>
        </w:rPr>
        <w:t xml:space="preserve"> set forth in the Charter of the Organization of American States.</w:t>
      </w:r>
      <w:r w:rsidRPr="00B01F31">
        <w:rPr>
          <w:rStyle w:val="FootnoteReference"/>
          <w:color w:val="000000"/>
          <w:szCs w:val="24"/>
        </w:rPr>
        <w:footnoteReference w:id="136"/>
      </w:r>
      <w:r w:rsidRPr="00B01F31">
        <w:rPr>
          <w:color w:val="000000"/>
          <w:szCs w:val="24"/>
        </w:rPr>
        <w:t xml:space="preserve"> </w:t>
      </w:r>
    </w:p>
    <w:p w:rsidR="00B57B23" w:rsidRPr="00B01F31" w:rsidRDefault="00B57B23" w:rsidP="00B01F31">
      <w:pPr>
        <w:autoSpaceDE w:val="0"/>
        <w:autoSpaceDN w:val="0"/>
        <w:adjustRightInd w:val="0"/>
        <w:rPr>
          <w:bCs/>
          <w:szCs w:val="24"/>
        </w:rPr>
      </w:pPr>
      <w:r w:rsidRPr="00B01F31">
        <w:rPr>
          <w:bCs/>
          <w:szCs w:val="24"/>
        </w:rPr>
        <w:t xml:space="preserve">In </w:t>
      </w:r>
      <w:r w:rsidRPr="00B01F31">
        <w:rPr>
          <w:bCs/>
          <w:i/>
          <w:szCs w:val="24"/>
        </w:rPr>
        <w:t>Yakye Axa Indigenous Community v. Paraguay</w:t>
      </w:r>
      <w:r w:rsidRPr="00B01F31">
        <w:rPr>
          <w:bCs/>
          <w:szCs w:val="24"/>
        </w:rPr>
        <w:t>, the Court considered it a fundamental obligation of all state parties to further minimum living conditions, which are compatible with human dignity.</w:t>
      </w:r>
      <w:r w:rsidRPr="00B01F31">
        <w:rPr>
          <w:rStyle w:val="FootnoteReference"/>
          <w:bCs/>
          <w:szCs w:val="24"/>
        </w:rPr>
        <w:footnoteReference w:id="137"/>
      </w:r>
      <w:r w:rsidRPr="00B01F31">
        <w:rPr>
          <w:bCs/>
          <w:szCs w:val="24"/>
        </w:rPr>
        <w:t xml:space="preserve"> Along the same lines, the Court established that the lack of access to clean water is especially detrimental to a community’s health condition, thus having a significant impact on their ability to exercise other human rights, such as the right to education.</w:t>
      </w:r>
      <w:r w:rsidRPr="00B01F31">
        <w:rPr>
          <w:rStyle w:val="FootnoteReference"/>
          <w:bCs/>
          <w:szCs w:val="24"/>
        </w:rPr>
        <w:footnoteReference w:id="138"/>
      </w:r>
      <w:r w:rsidRPr="00B01F31">
        <w:rPr>
          <w:bCs/>
          <w:szCs w:val="24"/>
        </w:rPr>
        <w:t xml:space="preserve"> In the case of indigenous peoples, access to their ancestral lands and the use and enjoyment of the natural resources found on their territory is closely tied to access to clean water.</w:t>
      </w:r>
      <w:r w:rsidRPr="00B01F31">
        <w:rPr>
          <w:rStyle w:val="FootnoteReference"/>
          <w:bCs/>
          <w:szCs w:val="24"/>
        </w:rPr>
        <w:footnoteReference w:id="139"/>
      </w:r>
      <w:r w:rsidRPr="00B01F31">
        <w:rPr>
          <w:bCs/>
          <w:szCs w:val="24"/>
        </w:rPr>
        <w:t xml:space="preserve"> </w:t>
      </w:r>
    </w:p>
    <w:p w:rsidR="00B57B23" w:rsidRPr="00B01F31" w:rsidRDefault="00B57B23" w:rsidP="00B01F31">
      <w:pPr>
        <w:autoSpaceDE w:val="0"/>
        <w:autoSpaceDN w:val="0"/>
        <w:adjustRightInd w:val="0"/>
        <w:rPr>
          <w:iCs/>
          <w:szCs w:val="24"/>
        </w:rPr>
      </w:pPr>
      <w:r w:rsidRPr="00B01F31">
        <w:rPr>
          <w:iCs/>
          <w:szCs w:val="24"/>
        </w:rPr>
        <w:t>Considering the difficulties of planning and adopting public policies based on priorities and resources, the positive obligations of states must be interpreted in such a way, which do not place an impossible or disproportionate burden on state authorities.</w:t>
      </w:r>
      <w:r w:rsidRPr="00B01F31">
        <w:rPr>
          <w:rStyle w:val="FootnoteReference"/>
          <w:iCs/>
          <w:szCs w:val="24"/>
        </w:rPr>
        <w:footnoteReference w:id="140"/>
      </w:r>
      <w:r w:rsidRPr="00B01F31">
        <w:rPr>
          <w:iCs/>
          <w:szCs w:val="24"/>
        </w:rPr>
        <w:t xml:space="preserve"> Furthermore, the Court indicated that a state could not be held responsible for all situations in which human rights are at stake.</w:t>
      </w:r>
      <w:r w:rsidRPr="00B01F31">
        <w:rPr>
          <w:rStyle w:val="FootnoteReference"/>
          <w:iCs/>
          <w:szCs w:val="24"/>
        </w:rPr>
        <w:footnoteReference w:id="141"/>
      </w:r>
      <w:r w:rsidRPr="00B01F31">
        <w:rPr>
          <w:iCs/>
          <w:szCs w:val="24"/>
        </w:rPr>
        <w:t xml:space="preserve"> To comply with the aforementioned positive obligations, states must be aware of the existence of a real risk to indigenous people’s life and take all the necessary measures within their power to prevent the realization of that risk.</w:t>
      </w:r>
      <w:r w:rsidRPr="00B01F31">
        <w:rPr>
          <w:rStyle w:val="FootnoteReference"/>
          <w:iCs/>
          <w:szCs w:val="24"/>
        </w:rPr>
        <w:footnoteReference w:id="142"/>
      </w:r>
      <w:r w:rsidRPr="00B01F31">
        <w:rPr>
          <w:iCs/>
          <w:szCs w:val="24"/>
        </w:rPr>
        <w:t xml:space="preserve"> </w:t>
      </w:r>
    </w:p>
    <w:p w:rsidR="00785E4E" w:rsidRDefault="00B57B23" w:rsidP="00B01F31">
      <w:pPr>
        <w:autoSpaceDE w:val="0"/>
        <w:autoSpaceDN w:val="0"/>
        <w:adjustRightInd w:val="0"/>
        <w:rPr>
          <w:color w:val="000000"/>
          <w:szCs w:val="24"/>
        </w:rPr>
      </w:pPr>
      <w:r w:rsidRPr="00B01F31">
        <w:rPr>
          <w:color w:val="000000"/>
          <w:szCs w:val="24"/>
        </w:rPr>
        <w:t xml:space="preserve">In the instant case, the respondent State did not restrict the </w:t>
      </w:r>
      <w:r w:rsidRPr="00B01F31">
        <w:rPr>
          <w:bCs/>
          <w:color w:val="000000"/>
          <w:szCs w:val="24"/>
        </w:rPr>
        <w:t>access of indigenous peoples to their ancestral lands, but</w:t>
      </w:r>
      <w:r w:rsidRPr="00B01F31">
        <w:rPr>
          <w:color w:val="000000"/>
          <w:szCs w:val="24"/>
        </w:rPr>
        <w:t xml:space="preserve"> took additional positive measures to supply them with potable water to </w:t>
      </w:r>
      <w:r w:rsidRPr="00B01F31">
        <w:rPr>
          <w:color w:val="000000"/>
          <w:szCs w:val="24"/>
        </w:rPr>
        <w:lastRenderedPageBreak/>
        <w:t>guarantee their usual standard of living.</w:t>
      </w:r>
      <w:r w:rsidRPr="00B01F31">
        <w:rPr>
          <w:rStyle w:val="FootnoteReference"/>
          <w:color w:val="000000"/>
          <w:szCs w:val="24"/>
        </w:rPr>
        <w:footnoteReference w:id="143"/>
      </w:r>
      <w:r w:rsidRPr="00B01F31">
        <w:rPr>
          <w:color w:val="000000"/>
          <w:szCs w:val="24"/>
        </w:rPr>
        <w:t xml:space="preserve"> </w:t>
      </w:r>
      <w:r w:rsidRPr="00B01F31">
        <w:rPr>
          <w:szCs w:val="24"/>
        </w:rPr>
        <w:t>The lack of potable water would have had a detrimental effect upon the whole community</w:t>
      </w:r>
      <w:r w:rsidRPr="00B01F31">
        <w:rPr>
          <w:color w:val="000000"/>
          <w:szCs w:val="24"/>
        </w:rPr>
        <w:t>.</w:t>
      </w:r>
      <w:r w:rsidRPr="00B01F31">
        <w:rPr>
          <w:rStyle w:val="FootnoteReference"/>
          <w:color w:val="000000"/>
          <w:szCs w:val="24"/>
        </w:rPr>
        <w:footnoteReference w:id="144"/>
      </w:r>
      <w:r w:rsidRPr="00B01F31">
        <w:rPr>
          <w:color w:val="000000"/>
          <w:szCs w:val="24"/>
        </w:rPr>
        <w:t xml:space="preserve"> Since the restriction of the </w:t>
      </w:r>
      <w:r w:rsidRPr="00B01F31">
        <w:rPr>
          <w:szCs w:val="24"/>
        </w:rPr>
        <w:t xml:space="preserve">Pichicha people’s property rights </w:t>
      </w:r>
      <w:r w:rsidRPr="00B01F31">
        <w:rPr>
          <w:color w:val="000000"/>
          <w:szCs w:val="24"/>
        </w:rPr>
        <w:t xml:space="preserve">was exceptional and only temporary, this imposed no burden on the Pichicha people’s right to progressively develop their economic, social and cultural rights. </w:t>
      </w:r>
    </w:p>
    <w:p w:rsidR="00B57B23" w:rsidRPr="00B01F31" w:rsidRDefault="00B57B23" w:rsidP="00B01F31">
      <w:pPr>
        <w:autoSpaceDE w:val="0"/>
        <w:autoSpaceDN w:val="0"/>
        <w:adjustRightInd w:val="0"/>
        <w:rPr>
          <w:color w:val="000000"/>
          <w:szCs w:val="24"/>
        </w:rPr>
      </w:pPr>
      <w:r w:rsidRPr="00B01F31">
        <w:rPr>
          <w:color w:val="000000"/>
          <w:szCs w:val="24"/>
        </w:rPr>
        <w:t>The respondent State thus ensured the Pichicha’s people right to progressive development according to Art. 26 ACHR.</w:t>
      </w:r>
    </w:p>
    <w:p w:rsidR="00B57B23" w:rsidRPr="00B01F31" w:rsidRDefault="00B57B23" w:rsidP="00B01F31">
      <w:pPr>
        <w:pStyle w:val="Heading3"/>
        <w:widowControl/>
        <w:spacing w:before="0" w:line="480" w:lineRule="auto"/>
        <w:rPr>
          <w:b/>
          <w:bCs/>
          <w:sz w:val="24"/>
          <w:szCs w:val="24"/>
        </w:rPr>
      </w:pPr>
      <w:bookmarkStart w:id="69" w:name="_Toc320823110"/>
      <w:r w:rsidRPr="00B01F31">
        <w:rPr>
          <w:b/>
          <w:sz w:val="24"/>
          <w:szCs w:val="24"/>
        </w:rPr>
        <w:t>The respondent State fulfilled all its legal obligations with regard to</w:t>
      </w:r>
      <w:r w:rsidRPr="00B01F31">
        <w:rPr>
          <w:b/>
          <w:bCs/>
          <w:sz w:val="24"/>
          <w:szCs w:val="24"/>
        </w:rPr>
        <w:t xml:space="preserve"> the Orífuna people</w:t>
      </w:r>
      <w:bookmarkEnd w:id="69"/>
    </w:p>
    <w:p w:rsidR="00B57B23" w:rsidRPr="00B01F31" w:rsidRDefault="00B57B23" w:rsidP="00B01F31">
      <w:pPr>
        <w:pStyle w:val="Heading4"/>
        <w:tabs>
          <w:tab w:val="clear" w:pos="864"/>
          <w:tab w:val="num" w:pos="709"/>
        </w:tabs>
        <w:spacing w:before="0" w:line="480" w:lineRule="auto"/>
        <w:ind w:left="709" w:hanging="709"/>
        <w:rPr>
          <w:b/>
          <w:bCs/>
          <w:sz w:val="24"/>
          <w:szCs w:val="24"/>
        </w:rPr>
      </w:pPr>
      <w:bookmarkStart w:id="70" w:name="_Toc320823111"/>
      <w:r w:rsidRPr="00B01F31">
        <w:rPr>
          <w:b/>
          <w:sz w:val="24"/>
          <w:szCs w:val="24"/>
        </w:rPr>
        <w:t xml:space="preserve">The respondent State fulfilled all its legal obligations with regard to the </w:t>
      </w:r>
      <w:r w:rsidRPr="00B01F31">
        <w:rPr>
          <w:b/>
          <w:bCs/>
          <w:sz w:val="24"/>
          <w:szCs w:val="24"/>
        </w:rPr>
        <w:t xml:space="preserve">right to a fair trial </w:t>
      </w:r>
      <w:r w:rsidRPr="00B01F31">
        <w:rPr>
          <w:b/>
          <w:sz w:val="24"/>
          <w:szCs w:val="24"/>
        </w:rPr>
        <w:t xml:space="preserve">in accordance with </w:t>
      </w:r>
      <w:r w:rsidRPr="00B01F31">
        <w:rPr>
          <w:b/>
          <w:bCs/>
          <w:sz w:val="24"/>
          <w:szCs w:val="24"/>
        </w:rPr>
        <w:t>Art. 8, Art. 1(1) and Art. 2 ACHR</w:t>
      </w:r>
      <w:bookmarkEnd w:id="70"/>
    </w:p>
    <w:p w:rsidR="00B57B23" w:rsidRPr="00B01F31" w:rsidRDefault="00B57B23" w:rsidP="00B01F31">
      <w:pPr>
        <w:rPr>
          <w:szCs w:val="24"/>
        </w:rPr>
      </w:pPr>
      <w:r w:rsidRPr="00B01F31">
        <w:rPr>
          <w:szCs w:val="24"/>
        </w:rPr>
        <w:t>The respondent State protected the Applicant’s right to a fair trial under Art. 8, Art. 1(1) and Art. 2 ACHR, affording it access to independent and impartial courts of justice within a reasonable time.</w:t>
      </w:r>
      <w:r w:rsidRPr="00B01F31">
        <w:rPr>
          <w:color w:val="000000"/>
          <w:szCs w:val="24"/>
        </w:rPr>
        <w:t xml:space="preserve"> </w:t>
      </w:r>
    </w:p>
    <w:p w:rsidR="00B57B23" w:rsidRPr="00B01F31" w:rsidRDefault="00B57B23" w:rsidP="00B01F31">
      <w:pPr>
        <w:rPr>
          <w:color w:val="000000"/>
          <w:szCs w:val="24"/>
        </w:rPr>
      </w:pPr>
      <w:r w:rsidRPr="00B01F31">
        <w:rPr>
          <w:color w:val="000000"/>
          <w:szCs w:val="24"/>
        </w:rPr>
        <w:t>Art. 8 ACHR guarantees the individual’s right to due process.</w:t>
      </w:r>
      <w:r w:rsidRPr="00B01F31">
        <w:rPr>
          <w:rStyle w:val="FootnoteReference"/>
          <w:szCs w:val="24"/>
        </w:rPr>
        <w:footnoteReference w:id="145"/>
      </w:r>
      <w:r w:rsidRPr="00B01F31">
        <w:rPr>
          <w:color w:val="000000"/>
          <w:szCs w:val="24"/>
        </w:rPr>
        <w:t xml:space="preserve"> In </w:t>
      </w:r>
      <w:r w:rsidRPr="00B01F31">
        <w:rPr>
          <w:bCs/>
          <w:i/>
          <w:szCs w:val="24"/>
        </w:rPr>
        <w:t xml:space="preserve">Acosta-Calderón </w:t>
      </w:r>
      <w:r w:rsidRPr="00B01F31">
        <w:rPr>
          <w:bCs/>
          <w:i/>
          <w:iCs/>
          <w:szCs w:val="24"/>
        </w:rPr>
        <w:t xml:space="preserve">v. </w:t>
      </w:r>
      <w:r w:rsidRPr="00B01F31">
        <w:rPr>
          <w:bCs/>
          <w:i/>
          <w:szCs w:val="24"/>
        </w:rPr>
        <w:t>Ecuador</w:t>
      </w:r>
      <w:r w:rsidRPr="00B01F31">
        <w:rPr>
          <w:bCs/>
          <w:szCs w:val="24"/>
        </w:rPr>
        <w:t>, the Court stated that “t</w:t>
      </w:r>
      <w:r w:rsidRPr="00B01F31">
        <w:rPr>
          <w:szCs w:val="24"/>
          <w:lang w:eastAsia="en-US"/>
        </w:rPr>
        <w:t>he reasonability of the time period (…) must be analyzed with regard to the total duration of the process, from the first procedural act up to the issuing of a definitive judgment”</w:t>
      </w:r>
      <w:r w:rsidRPr="00B01F31">
        <w:rPr>
          <w:rStyle w:val="FootnoteReference"/>
          <w:szCs w:val="24"/>
          <w:lang w:eastAsia="en-US"/>
        </w:rPr>
        <w:footnoteReference w:id="146"/>
      </w:r>
      <w:r w:rsidRPr="00B01F31">
        <w:rPr>
          <w:szCs w:val="24"/>
          <w:lang w:eastAsia="en-US"/>
        </w:rPr>
        <w:t xml:space="preserve">. </w:t>
      </w:r>
      <w:r w:rsidRPr="00B01F31">
        <w:rPr>
          <w:color w:val="000000"/>
          <w:szCs w:val="24"/>
        </w:rPr>
        <w:t xml:space="preserve">The Court reiterated in </w:t>
      </w:r>
      <w:r w:rsidRPr="00B01F31">
        <w:rPr>
          <w:i/>
          <w:color w:val="000000"/>
          <w:szCs w:val="24"/>
        </w:rPr>
        <w:t>Yakye Axa Indigenous Community v. Paraguay</w:t>
      </w:r>
      <w:r w:rsidRPr="00B01F31">
        <w:rPr>
          <w:color w:val="000000"/>
          <w:szCs w:val="24"/>
        </w:rPr>
        <w:t xml:space="preserve"> that to establish a reasonable term in a proceeding it is necessary to take into account (1) the complexity of the matter, (2) the procedural initiative of the interested party, and (3) the conduct of the judicial authorities.</w:t>
      </w:r>
      <w:r w:rsidRPr="00B01F31">
        <w:rPr>
          <w:rStyle w:val="FootnoteReference"/>
          <w:color w:val="000000"/>
          <w:szCs w:val="24"/>
        </w:rPr>
        <w:footnoteReference w:id="147"/>
      </w:r>
    </w:p>
    <w:p w:rsidR="00B57B23" w:rsidRPr="00B01F31" w:rsidRDefault="00B57B23" w:rsidP="00B01F31">
      <w:pPr>
        <w:rPr>
          <w:bCs/>
          <w:color w:val="000000"/>
          <w:szCs w:val="24"/>
        </w:rPr>
      </w:pPr>
      <w:r w:rsidRPr="00B01F31">
        <w:rPr>
          <w:color w:val="000000"/>
          <w:szCs w:val="24"/>
        </w:rPr>
        <w:lastRenderedPageBreak/>
        <w:t xml:space="preserve">In the present case, the Applicant filed an action with the courts of the respondent State in August 2011, asking for the exploration license of the Wirikuya project to be declared null and void. The Applicant alleged that neither the exploration license nor the SEIS had been subject to prior consultation with the </w:t>
      </w:r>
      <w:r w:rsidRPr="00B01F31">
        <w:rPr>
          <w:bCs/>
          <w:color w:val="000000"/>
          <w:szCs w:val="24"/>
        </w:rPr>
        <w:t>Orífuna people living on Madruga’s territory.</w:t>
      </w:r>
      <w:r w:rsidRPr="00B01F31">
        <w:rPr>
          <w:rStyle w:val="FootnoteReference"/>
          <w:bCs/>
          <w:color w:val="000000"/>
          <w:szCs w:val="24"/>
        </w:rPr>
        <w:footnoteReference w:id="148"/>
      </w:r>
      <w:r w:rsidRPr="00B01F31">
        <w:rPr>
          <w:bCs/>
          <w:color w:val="000000"/>
          <w:szCs w:val="24"/>
        </w:rPr>
        <w:t xml:space="preserve"> The respondent State handed down a decision on the matter in January 2012, thus only a couple of months later.</w:t>
      </w:r>
      <w:r w:rsidRPr="00B01F31">
        <w:rPr>
          <w:rStyle w:val="FootnoteReference"/>
          <w:bCs/>
          <w:color w:val="000000"/>
          <w:szCs w:val="24"/>
        </w:rPr>
        <w:footnoteReference w:id="149"/>
      </w:r>
      <w:r w:rsidRPr="00B01F31">
        <w:rPr>
          <w:bCs/>
          <w:color w:val="000000"/>
          <w:szCs w:val="24"/>
        </w:rPr>
        <w:t xml:space="preserve"> Taking into account that two different states are involved and the issue concerns complex foreign policy decisions, the respondent State acted in a timely manner.</w:t>
      </w:r>
      <w:r w:rsidRPr="00B01F31">
        <w:rPr>
          <w:rStyle w:val="FootnoteReference"/>
          <w:bCs/>
          <w:color w:val="000000"/>
          <w:szCs w:val="24"/>
        </w:rPr>
        <w:footnoteReference w:id="150"/>
      </w:r>
      <w:r w:rsidRPr="00B01F31">
        <w:rPr>
          <w:bCs/>
          <w:color w:val="000000"/>
          <w:szCs w:val="24"/>
        </w:rPr>
        <w:t xml:space="preserve"> Furthermore, the Applicant was able to freely exercise its rights to defense and had full access to the courts of the respondent State, which were impartial and upheld the Applicant’s right to due process. </w:t>
      </w:r>
    </w:p>
    <w:p w:rsidR="00B57B23" w:rsidRPr="00B01F31" w:rsidRDefault="00B57B23" w:rsidP="00B01F31">
      <w:pPr>
        <w:rPr>
          <w:szCs w:val="24"/>
        </w:rPr>
      </w:pPr>
      <w:r w:rsidRPr="00B01F31">
        <w:rPr>
          <w:szCs w:val="24"/>
        </w:rPr>
        <w:t>For all aforementioned reasons, the respondent State protected the Applicant’s right to a fair trial under Art. 8, Art. 1(1) and Art. 2 ACHR, affording it access to independent and impartial courts of justice within a reasonable time.</w:t>
      </w:r>
      <w:r w:rsidRPr="00B01F31">
        <w:rPr>
          <w:color w:val="000000"/>
          <w:szCs w:val="24"/>
        </w:rPr>
        <w:t xml:space="preserve"> </w:t>
      </w:r>
    </w:p>
    <w:p w:rsidR="00B57B23" w:rsidRPr="00B01F31" w:rsidRDefault="00B57B23" w:rsidP="00B01F31">
      <w:pPr>
        <w:pStyle w:val="Heading4"/>
        <w:tabs>
          <w:tab w:val="clear" w:pos="864"/>
          <w:tab w:val="num" w:pos="709"/>
        </w:tabs>
        <w:spacing w:before="0" w:line="480" w:lineRule="auto"/>
        <w:ind w:left="709" w:hanging="722"/>
        <w:rPr>
          <w:b/>
          <w:bCs/>
          <w:sz w:val="24"/>
          <w:szCs w:val="24"/>
        </w:rPr>
      </w:pPr>
      <w:bookmarkStart w:id="71" w:name="_Toc320823112"/>
      <w:r w:rsidRPr="00B01F31">
        <w:rPr>
          <w:b/>
          <w:sz w:val="24"/>
          <w:szCs w:val="24"/>
        </w:rPr>
        <w:t xml:space="preserve">The respondent State fulfilled all its legal obligations with regard to the </w:t>
      </w:r>
      <w:r w:rsidRPr="00B01F31">
        <w:rPr>
          <w:b/>
          <w:bCs/>
          <w:sz w:val="24"/>
          <w:szCs w:val="24"/>
        </w:rPr>
        <w:t xml:space="preserve">right to judicial protection </w:t>
      </w:r>
      <w:r w:rsidRPr="00B01F31">
        <w:rPr>
          <w:b/>
          <w:sz w:val="24"/>
          <w:szCs w:val="24"/>
        </w:rPr>
        <w:t xml:space="preserve">in accordance with </w:t>
      </w:r>
      <w:r w:rsidRPr="00B01F31">
        <w:rPr>
          <w:b/>
          <w:bCs/>
          <w:sz w:val="24"/>
          <w:szCs w:val="24"/>
        </w:rPr>
        <w:t>Art. 25, Art. 1(1) and Art. 2 ACHR</w:t>
      </w:r>
      <w:bookmarkEnd w:id="71"/>
    </w:p>
    <w:p w:rsidR="00B57B23" w:rsidRPr="00B01F31" w:rsidRDefault="00B57B23" w:rsidP="00B01F31">
      <w:pPr>
        <w:rPr>
          <w:szCs w:val="24"/>
        </w:rPr>
      </w:pPr>
      <w:r w:rsidRPr="00B01F31">
        <w:rPr>
          <w:szCs w:val="24"/>
        </w:rPr>
        <w:t>The respondent State respected the Applicant’s right to judicial protection under Art. 25, Art. 1(1) and Art. 2 ACHR by providing the Applicant with effective judicial remedies against acts allegedly violating its fundamental rights.</w:t>
      </w:r>
    </w:p>
    <w:p w:rsidR="00B57B23" w:rsidRPr="00B01F31" w:rsidRDefault="00B57B23" w:rsidP="00B01F31">
      <w:pPr>
        <w:rPr>
          <w:color w:val="000000"/>
          <w:szCs w:val="24"/>
        </w:rPr>
      </w:pPr>
      <w:r w:rsidRPr="00B01F31">
        <w:rPr>
          <w:color w:val="000000"/>
          <w:szCs w:val="24"/>
        </w:rPr>
        <w:t>Art. 25(1) ACHR obliges states to offer all people under their jurisdiction an effective judicial recourse against acts that violate their fundamental rights.</w:t>
      </w:r>
      <w:r w:rsidRPr="00B01F31">
        <w:rPr>
          <w:rStyle w:val="FootnoteReference"/>
          <w:color w:val="000000"/>
          <w:szCs w:val="24"/>
        </w:rPr>
        <w:footnoteReference w:id="151"/>
      </w:r>
      <w:r w:rsidRPr="00B01F31">
        <w:rPr>
          <w:color w:val="000000"/>
          <w:szCs w:val="24"/>
        </w:rPr>
        <w:t xml:space="preserve"> In </w:t>
      </w:r>
      <w:r w:rsidRPr="00B01F31">
        <w:rPr>
          <w:bCs/>
          <w:i/>
          <w:szCs w:val="24"/>
        </w:rPr>
        <w:t xml:space="preserve">Human Rights Defender et al. v. </w:t>
      </w:r>
      <w:r w:rsidRPr="00B01F31">
        <w:rPr>
          <w:bCs/>
          <w:i/>
          <w:szCs w:val="24"/>
        </w:rPr>
        <w:lastRenderedPageBreak/>
        <w:t>Guatemala</w:t>
      </w:r>
      <w:r w:rsidRPr="00B01F31">
        <w:rPr>
          <w:szCs w:val="24"/>
        </w:rPr>
        <w:t>, the Court determined that, according to Art. 25 ACHR, the state has to provide effective legal remedies in accordance with the rules of due process.</w:t>
      </w:r>
      <w:r w:rsidRPr="00B01F31">
        <w:rPr>
          <w:rStyle w:val="FootnoteReference"/>
          <w:szCs w:val="24"/>
        </w:rPr>
        <w:footnoteReference w:id="152"/>
      </w:r>
      <w:r w:rsidRPr="00B01F31">
        <w:rPr>
          <w:szCs w:val="24"/>
        </w:rPr>
        <w:t xml:space="preserve"> </w:t>
      </w:r>
    </w:p>
    <w:p w:rsidR="00B57B23" w:rsidRPr="00B01F31" w:rsidRDefault="00B57B23" w:rsidP="00B01F31">
      <w:pPr>
        <w:rPr>
          <w:szCs w:val="24"/>
        </w:rPr>
      </w:pPr>
      <w:r w:rsidRPr="00B01F31">
        <w:rPr>
          <w:szCs w:val="24"/>
        </w:rPr>
        <w:t>Additionally, the legal recourses shall not only exist formally, they must also be effective. Thus, everyone must have a real opportunity to present a simple and prompt recourse leading to the judicial protection required.</w:t>
      </w:r>
      <w:r w:rsidRPr="00B01F31">
        <w:rPr>
          <w:rStyle w:val="FootnoteReference"/>
          <w:szCs w:val="24"/>
        </w:rPr>
        <w:footnoteReference w:id="153"/>
      </w:r>
      <w:r w:rsidRPr="00B01F31">
        <w:rPr>
          <w:szCs w:val="24"/>
        </w:rPr>
        <w:t xml:space="preserve"> The Court also stated in </w:t>
      </w:r>
      <w:r w:rsidRPr="00B01F31">
        <w:rPr>
          <w:i/>
          <w:szCs w:val="24"/>
        </w:rPr>
        <w:t>Kichwa Indigenous People of Sarayaku v. Ecuador</w:t>
      </w:r>
      <w:r w:rsidRPr="00B01F31">
        <w:rPr>
          <w:szCs w:val="24"/>
        </w:rPr>
        <w:t xml:space="preserve"> that the state must guarantee effective mechanisms to execute the judicial decisions so that the rights are effectively protected by the proper application of that ruling. Therefore, the effectiveness of the judgments and the judicial orders depend on their execution.</w:t>
      </w:r>
      <w:r w:rsidRPr="00B01F31">
        <w:rPr>
          <w:rStyle w:val="FootnoteReference"/>
          <w:szCs w:val="24"/>
        </w:rPr>
        <w:footnoteReference w:id="154"/>
      </w:r>
      <w:r w:rsidRPr="00B01F31">
        <w:rPr>
          <w:szCs w:val="24"/>
        </w:rPr>
        <w:t xml:space="preserve"> In addition, with regard to indigenous peoples, it is fundamental that states grant effective protection that takes into account the inherent particularities of indigenous peoples, their economic and social characteristics, as well as their customary law, values, practices and customs.</w:t>
      </w:r>
      <w:r w:rsidRPr="00B01F31">
        <w:rPr>
          <w:rStyle w:val="FootnoteReference"/>
          <w:szCs w:val="24"/>
        </w:rPr>
        <w:footnoteReference w:id="155"/>
      </w:r>
    </w:p>
    <w:p w:rsidR="00B57B23" w:rsidRPr="00B01F31" w:rsidRDefault="00B57B23" w:rsidP="00B01F31">
      <w:pPr>
        <w:rPr>
          <w:bCs/>
          <w:color w:val="000000"/>
          <w:szCs w:val="24"/>
        </w:rPr>
      </w:pPr>
      <w:r w:rsidRPr="00B01F31">
        <w:rPr>
          <w:szCs w:val="24"/>
        </w:rPr>
        <w:t xml:space="preserve">In the instant case, the </w:t>
      </w:r>
      <w:r w:rsidR="001E12DD">
        <w:rPr>
          <w:szCs w:val="24"/>
        </w:rPr>
        <w:t xml:space="preserve">indigenous </w:t>
      </w:r>
      <w:r w:rsidR="001E12DD">
        <w:rPr>
          <w:bCs/>
          <w:szCs w:val="24"/>
        </w:rPr>
        <w:t xml:space="preserve">Orífuna </w:t>
      </w:r>
      <w:r w:rsidRPr="00B01F31">
        <w:rPr>
          <w:bCs/>
          <w:szCs w:val="24"/>
        </w:rPr>
        <w:t>people are not inhabitants of</w:t>
      </w:r>
      <w:r w:rsidRPr="00B01F31">
        <w:rPr>
          <w:color w:val="000000"/>
          <w:szCs w:val="24"/>
        </w:rPr>
        <w:t xml:space="preserve"> </w:t>
      </w:r>
      <w:r w:rsidRPr="00B01F31">
        <w:rPr>
          <w:szCs w:val="24"/>
        </w:rPr>
        <w:t xml:space="preserve">the respondent State and live in the neighboring territory of Madruga. </w:t>
      </w:r>
      <w:r w:rsidRPr="00B01F31">
        <w:rPr>
          <w:color w:val="000000"/>
          <w:szCs w:val="24"/>
        </w:rPr>
        <w:t xml:space="preserve">The Supreme Court of the respondent State ruled the Applicant’s claim unfounded, underscoring that even though the </w:t>
      </w:r>
      <w:r w:rsidRPr="00B01F31">
        <w:rPr>
          <w:bCs/>
          <w:color w:val="000000"/>
          <w:szCs w:val="24"/>
        </w:rPr>
        <w:t>Orífuna people are considered as tribal people under ILO Convention 169, prior consultation surrounding foreign policy decision-making is not regulated in domestic or international law.</w:t>
      </w:r>
      <w:r w:rsidRPr="00B01F31">
        <w:rPr>
          <w:rStyle w:val="FootnoteReference"/>
          <w:bCs/>
          <w:color w:val="000000"/>
          <w:szCs w:val="24"/>
        </w:rPr>
        <w:footnoteReference w:id="156"/>
      </w:r>
      <w:r w:rsidRPr="00B01F31">
        <w:rPr>
          <w:bCs/>
          <w:color w:val="000000"/>
          <w:szCs w:val="24"/>
        </w:rPr>
        <w:t xml:space="preserve"> Therefore, the respondent</w:t>
      </w:r>
      <w:r w:rsidRPr="00B01F31">
        <w:rPr>
          <w:szCs w:val="24"/>
        </w:rPr>
        <w:t xml:space="preserve"> State takes specific characteristics of indigenous peoples into account, but refers to the fact that it is not the responsible body to examine this matter. Nevertheless and in compliance with Art. 6(1)(a) </w:t>
      </w:r>
      <w:r w:rsidRPr="00B01F31">
        <w:rPr>
          <w:bCs/>
          <w:color w:val="000000"/>
          <w:szCs w:val="24"/>
        </w:rPr>
        <w:t xml:space="preserve">ILO Convention 169, the respondent State fulfilled its international obligation </w:t>
      </w:r>
      <w:r w:rsidRPr="00B01F31">
        <w:rPr>
          <w:szCs w:val="24"/>
        </w:rPr>
        <w:lastRenderedPageBreak/>
        <w:t>by comprehensively informing the Madrugan authorities of the potential effects the Wirikuya project could have on Madrugan territory.</w:t>
      </w:r>
      <w:r w:rsidRPr="00B01F31">
        <w:rPr>
          <w:rStyle w:val="FootnoteReference"/>
          <w:szCs w:val="24"/>
        </w:rPr>
        <w:footnoteReference w:id="157"/>
      </w:r>
      <w:r w:rsidRPr="00B01F31">
        <w:rPr>
          <w:szCs w:val="24"/>
        </w:rPr>
        <w:t xml:space="preserve"> </w:t>
      </w:r>
    </w:p>
    <w:p w:rsidR="00B57B23" w:rsidRPr="00B01F31" w:rsidRDefault="00B57B23" w:rsidP="00B01F31">
      <w:pPr>
        <w:rPr>
          <w:szCs w:val="24"/>
        </w:rPr>
      </w:pPr>
      <w:r w:rsidRPr="00B01F31">
        <w:rPr>
          <w:szCs w:val="24"/>
        </w:rPr>
        <w:t>Therefore, the respondent State respected the Applicant’s right to judicial protection under Art. 25, Art. 1(1) and Art. 2 ACHR by providing the Applicant with effective judicial remedies.</w:t>
      </w:r>
    </w:p>
    <w:p w:rsidR="001C613B" w:rsidRPr="00B01F31" w:rsidRDefault="001C613B" w:rsidP="00B01F31">
      <w:pPr>
        <w:pStyle w:val="Heading1"/>
        <w:tabs>
          <w:tab w:val="clear" w:pos="432"/>
          <w:tab w:val="num" w:pos="709"/>
        </w:tabs>
        <w:spacing w:before="0" w:line="480" w:lineRule="auto"/>
        <w:jc w:val="both"/>
        <w:rPr>
          <w:b/>
          <w:bCs/>
          <w:sz w:val="24"/>
          <w:szCs w:val="24"/>
        </w:rPr>
      </w:pPr>
      <w:bookmarkStart w:id="72" w:name="_Toc320440147"/>
      <w:bookmarkStart w:id="73" w:name="_Toc320643223"/>
      <w:bookmarkStart w:id="74" w:name="_Toc320823113"/>
      <w:r w:rsidRPr="00B01F31">
        <w:rPr>
          <w:b/>
          <w:bCs/>
          <w:sz w:val="24"/>
          <w:szCs w:val="24"/>
        </w:rPr>
        <w:t>Request for Relief</w:t>
      </w:r>
      <w:bookmarkEnd w:id="72"/>
      <w:bookmarkEnd w:id="73"/>
      <w:bookmarkEnd w:id="74"/>
    </w:p>
    <w:p w:rsidR="001C613B" w:rsidRPr="00B01F31" w:rsidRDefault="001C613B" w:rsidP="00B01F31">
      <w:pPr>
        <w:widowControl w:val="0"/>
        <w:autoSpaceDE w:val="0"/>
        <w:autoSpaceDN w:val="0"/>
        <w:adjustRightInd w:val="0"/>
        <w:rPr>
          <w:szCs w:val="24"/>
          <w:lang w:eastAsia="en-US"/>
        </w:rPr>
      </w:pPr>
      <w:r w:rsidRPr="00B01F31">
        <w:rPr>
          <w:szCs w:val="24"/>
          <w:lang w:eastAsia="en-US"/>
        </w:rPr>
        <w:t>Based on the foregoing considerations, the respondent State of Santa Clara respectfully requests this Honorable Court to:</w:t>
      </w:r>
    </w:p>
    <w:p w:rsidR="001C613B" w:rsidRPr="00B01F31" w:rsidRDefault="001C613B" w:rsidP="00B01F31">
      <w:pPr>
        <w:rPr>
          <w:szCs w:val="24"/>
        </w:rPr>
      </w:pPr>
      <w:r w:rsidRPr="00B01F31">
        <w:rPr>
          <w:szCs w:val="24"/>
        </w:rPr>
        <w:t xml:space="preserve">1. Establish that the Court has no jurisdiction over the case given the reasons set forth in chapter IV. A.; </w:t>
      </w:r>
    </w:p>
    <w:p w:rsidR="001C613B" w:rsidRPr="00B01F31" w:rsidRDefault="001C613B" w:rsidP="00B01F31">
      <w:pPr>
        <w:rPr>
          <w:szCs w:val="24"/>
        </w:rPr>
      </w:pPr>
      <w:r w:rsidRPr="00B01F31">
        <w:rPr>
          <w:szCs w:val="24"/>
        </w:rPr>
        <w:t>2. Declare the Applicant’s petitions inadmissible;</w:t>
      </w:r>
    </w:p>
    <w:p w:rsidR="001C613B" w:rsidRPr="00B01F31" w:rsidRDefault="001C613B" w:rsidP="00B01F31">
      <w:pPr>
        <w:rPr>
          <w:szCs w:val="24"/>
        </w:rPr>
      </w:pPr>
      <w:r w:rsidRPr="00B01F31">
        <w:rPr>
          <w:szCs w:val="24"/>
        </w:rPr>
        <w:t>3. Alternatively, to hold that:</w:t>
      </w:r>
    </w:p>
    <w:p w:rsidR="001C613B" w:rsidRPr="00B01F31" w:rsidRDefault="001C613B" w:rsidP="00B01F31">
      <w:pPr>
        <w:rPr>
          <w:szCs w:val="24"/>
        </w:rPr>
      </w:pPr>
      <w:r w:rsidRPr="00B01F31">
        <w:rPr>
          <w:szCs w:val="24"/>
        </w:rPr>
        <w:tab/>
        <w:t xml:space="preserve">a. The respondent State protected all the rights as established in Art. 4, 5, 8, 16, 17, </w:t>
      </w:r>
      <w:r w:rsidRPr="00B01F31">
        <w:rPr>
          <w:szCs w:val="24"/>
        </w:rPr>
        <w:tab/>
        <w:t xml:space="preserve">25 ACHR in conjunction with Art. 1(1) and 2 ACHR with regard to Edmundo Camana </w:t>
      </w:r>
      <w:r w:rsidRPr="00B01F31">
        <w:rPr>
          <w:szCs w:val="24"/>
        </w:rPr>
        <w:tab/>
        <w:t>and his family.</w:t>
      </w:r>
    </w:p>
    <w:p w:rsidR="001C613B" w:rsidRPr="00B01F31" w:rsidRDefault="001C613B" w:rsidP="00B01F31">
      <w:pPr>
        <w:rPr>
          <w:szCs w:val="24"/>
        </w:rPr>
      </w:pPr>
      <w:r w:rsidRPr="00B01F31">
        <w:rPr>
          <w:szCs w:val="24"/>
        </w:rPr>
        <w:tab/>
        <w:t xml:space="preserve">b. The respondent State protected all the rights as established in Art. 5 (1) ACHR in </w:t>
      </w:r>
      <w:r w:rsidRPr="00B01F31">
        <w:rPr>
          <w:szCs w:val="24"/>
        </w:rPr>
        <w:tab/>
        <w:t xml:space="preserve">conjunction with Art. 1(1) and 2 ACHR with regard to the Edmundo Camana’s and his </w:t>
      </w:r>
      <w:r w:rsidRPr="00B01F31">
        <w:rPr>
          <w:szCs w:val="24"/>
        </w:rPr>
        <w:tab/>
        <w:t>family’s next of kin.</w:t>
      </w:r>
    </w:p>
    <w:p w:rsidR="001C613B" w:rsidRPr="00B01F31" w:rsidRDefault="001C613B" w:rsidP="00B01F31">
      <w:pPr>
        <w:rPr>
          <w:szCs w:val="24"/>
        </w:rPr>
      </w:pPr>
      <w:r w:rsidRPr="00B01F31">
        <w:rPr>
          <w:szCs w:val="24"/>
        </w:rPr>
        <w:tab/>
        <w:t xml:space="preserve">c. The respondent State protected all the </w:t>
      </w:r>
      <w:r w:rsidRPr="00B01F31">
        <w:rPr>
          <w:bCs/>
          <w:szCs w:val="24"/>
        </w:rPr>
        <w:t xml:space="preserve">rights as established in </w:t>
      </w:r>
      <w:r w:rsidRPr="00B01F31">
        <w:rPr>
          <w:szCs w:val="24"/>
        </w:rPr>
        <w:t xml:space="preserve">Art. 5, 8, 21, 25 and 26 </w:t>
      </w:r>
      <w:r w:rsidRPr="00B01F31">
        <w:rPr>
          <w:szCs w:val="24"/>
        </w:rPr>
        <w:tab/>
        <w:t>in conjunction with Art. 1(1) and 2 ACHR with regard to the Pichicha people;</w:t>
      </w:r>
    </w:p>
    <w:p w:rsidR="001C613B" w:rsidRPr="00B01F31" w:rsidRDefault="001C613B" w:rsidP="00B01F31">
      <w:pPr>
        <w:rPr>
          <w:szCs w:val="24"/>
        </w:rPr>
      </w:pPr>
      <w:r w:rsidRPr="00B01F31">
        <w:rPr>
          <w:szCs w:val="24"/>
        </w:rPr>
        <w:tab/>
        <w:t>d. The respondent State protected all the rights as established in Art. 8 and 25 in con-</w:t>
      </w:r>
      <w:r w:rsidRPr="00B01F31">
        <w:rPr>
          <w:szCs w:val="24"/>
        </w:rPr>
        <w:tab/>
        <w:t xml:space="preserve">junction with Art. 1(1) and 2 ACHR with regard to the </w:t>
      </w:r>
      <w:r w:rsidRPr="00B01F31">
        <w:rPr>
          <w:bCs/>
          <w:szCs w:val="24"/>
        </w:rPr>
        <w:t>Orífuna people.</w:t>
      </w:r>
    </w:p>
    <w:p w:rsidR="001C613B" w:rsidRPr="00B01F31" w:rsidRDefault="001C613B" w:rsidP="00B01F31">
      <w:pPr>
        <w:rPr>
          <w:szCs w:val="24"/>
        </w:rPr>
      </w:pPr>
    </w:p>
    <w:p w:rsidR="001C613B" w:rsidRPr="00B01F31" w:rsidRDefault="001C613B" w:rsidP="00B01F31">
      <w:pPr>
        <w:rPr>
          <w:szCs w:val="24"/>
        </w:rPr>
      </w:pPr>
      <w:r w:rsidRPr="00B01F31">
        <w:rPr>
          <w:szCs w:val="24"/>
        </w:rPr>
        <w:t>Respectfully,</w:t>
      </w:r>
    </w:p>
    <w:p w:rsidR="001C613B" w:rsidRPr="00B01F31" w:rsidRDefault="001C613B" w:rsidP="00B01F31">
      <w:pPr>
        <w:rPr>
          <w:szCs w:val="24"/>
        </w:rPr>
      </w:pPr>
      <w:r w:rsidRPr="00B01F31">
        <w:rPr>
          <w:szCs w:val="24"/>
        </w:rPr>
        <w:lastRenderedPageBreak/>
        <w:tab/>
        <w:t>The respondent State of Santa Clara</w:t>
      </w:r>
    </w:p>
    <w:p w:rsidR="008911E3" w:rsidRPr="00B01F31" w:rsidRDefault="008911E3" w:rsidP="00B01F31">
      <w:pPr>
        <w:rPr>
          <w:szCs w:val="24"/>
        </w:rPr>
      </w:pPr>
    </w:p>
    <w:sectPr w:rsidR="008911E3" w:rsidRPr="00B01F31" w:rsidSect="00CA6323">
      <w:headerReference w:type="even" r:id="rId10"/>
      <w:headerReference w:type="default" r:id="rId11"/>
      <w:footerReference w:type="even" r:id="rId12"/>
      <w:footerReference w:type="default" r:id="rId13"/>
      <w:headerReference w:type="first" r:id="rId14"/>
      <w:footerReference w:type="first" r:id="rId15"/>
      <w:pgSz w:w="12242" w:h="15842"/>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663" w:rsidRDefault="00162663">
      <w:pPr>
        <w:spacing w:line="240" w:lineRule="auto"/>
      </w:pPr>
      <w:r>
        <w:separator/>
      </w:r>
    </w:p>
  </w:endnote>
  <w:endnote w:type="continuationSeparator" w:id="0">
    <w:p w:rsidR="00162663" w:rsidRDefault="00162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D86" w:rsidRDefault="00AE5D86" w:rsidP="002626D8">
    <w:pPr>
      <w:pStyle w:val="Footer"/>
      <w:pBdr>
        <w:top w:val="single" w:sz="4" w:space="1" w:color="000000"/>
      </w:pBdr>
      <w:tabs>
        <w:tab w:val="left" w:pos="8973"/>
      </w:tabs>
      <w:jc w:val="center"/>
    </w:pPr>
    <w:r>
      <w:tab/>
    </w:r>
    <w:r>
      <w:tab/>
    </w:r>
    <w:r>
      <w:tab/>
    </w:r>
    <w:r>
      <w:tab/>
    </w:r>
    <w:r>
      <w:rPr>
        <w:rStyle w:val="PageNumber"/>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D86" w:rsidRDefault="00AE5D86" w:rsidP="00A664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5D86" w:rsidRDefault="00AE5D86" w:rsidP="00A75D87">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D86" w:rsidRDefault="00AE5D86" w:rsidP="00A664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3D33">
      <w:rPr>
        <w:rStyle w:val="PageNumber"/>
        <w:noProof/>
      </w:rPr>
      <w:t>20</w:t>
    </w:r>
    <w:r>
      <w:rPr>
        <w:rStyle w:val="PageNumber"/>
      </w:rPr>
      <w:fldChar w:fldCharType="end"/>
    </w:r>
  </w:p>
  <w:p w:rsidR="00AE5D86" w:rsidRDefault="00AE5D86" w:rsidP="00A75D87">
    <w:pPr>
      <w:pStyle w:val="Footer"/>
      <w:ind w:right="360"/>
      <w:jc w:val="center"/>
    </w:pPr>
    <w:r>
      <w:rPr>
        <w:rStyle w:val="PageNumber"/>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D86" w:rsidRDefault="00AE5D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663" w:rsidRDefault="00162663">
      <w:pPr>
        <w:spacing w:line="240" w:lineRule="auto"/>
      </w:pPr>
      <w:r>
        <w:separator/>
      </w:r>
    </w:p>
  </w:footnote>
  <w:footnote w:type="continuationSeparator" w:id="0">
    <w:p w:rsidR="00162663" w:rsidRDefault="00162663">
      <w:pPr>
        <w:spacing w:line="240" w:lineRule="auto"/>
      </w:pPr>
      <w:r>
        <w:continuationSeparator/>
      </w:r>
    </w:p>
  </w:footnote>
  <w:footnote w:id="1">
    <w:p w:rsidR="00AE5D86" w:rsidRPr="00FE71F5" w:rsidRDefault="00AE5D86" w:rsidP="009E4814">
      <w:pPr>
        <w:pStyle w:val="FootnoteText"/>
        <w:jc w:val="left"/>
      </w:pPr>
      <w:r w:rsidRPr="00FE71F5">
        <w:rPr>
          <w:rStyle w:val="FootnoteReference"/>
        </w:rPr>
        <w:footnoteRef/>
      </w:r>
      <w:r w:rsidRPr="00FE71F5">
        <w:t xml:space="preserve"> Hypothetical, p. 2, § 9.</w:t>
      </w:r>
    </w:p>
  </w:footnote>
  <w:footnote w:id="2">
    <w:p w:rsidR="00AE5D86" w:rsidRPr="00FE71F5" w:rsidRDefault="00AE5D86" w:rsidP="009E4814">
      <w:pPr>
        <w:pStyle w:val="FootnoteText"/>
        <w:jc w:val="left"/>
      </w:pPr>
      <w:r w:rsidRPr="00FE71F5">
        <w:rPr>
          <w:rStyle w:val="FootnoteReference"/>
        </w:rPr>
        <w:footnoteRef/>
      </w:r>
      <w:r w:rsidRPr="00FE71F5">
        <w:t xml:space="preserve"> Hypothetical, p. 4, § 17.</w:t>
      </w:r>
    </w:p>
  </w:footnote>
  <w:footnote w:id="3">
    <w:p w:rsidR="00AE5D86" w:rsidRPr="00FE71F5" w:rsidRDefault="00AE5D86" w:rsidP="00B57B23">
      <w:pPr>
        <w:pStyle w:val="FootnoteText"/>
        <w:jc w:val="left"/>
      </w:pPr>
      <w:r w:rsidRPr="00FE71F5">
        <w:rPr>
          <w:rStyle w:val="FootnoteReference"/>
        </w:rPr>
        <w:footnoteRef/>
      </w:r>
      <w:r w:rsidRPr="00FE71F5">
        <w:t xml:space="preserve"> Hypothetical, p. 4, § 17.</w:t>
      </w:r>
    </w:p>
  </w:footnote>
  <w:footnote w:id="4">
    <w:p w:rsidR="00AE5D86" w:rsidRPr="00FE71F5" w:rsidRDefault="00AE5D86" w:rsidP="009E4814">
      <w:pPr>
        <w:pStyle w:val="FootnoteText"/>
        <w:jc w:val="left"/>
      </w:pPr>
      <w:r w:rsidRPr="00FE71F5">
        <w:rPr>
          <w:rStyle w:val="FootnoteReference"/>
        </w:rPr>
        <w:footnoteRef/>
      </w:r>
      <w:r w:rsidRPr="00FE71F5">
        <w:t xml:space="preserve"> Hypothetical, p. 5, § 23.</w:t>
      </w:r>
    </w:p>
  </w:footnote>
  <w:footnote w:id="5">
    <w:p w:rsidR="00AE5D86" w:rsidRPr="00FE71F5" w:rsidRDefault="00AE5D86" w:rsidP="009E4814">
      <w:pPr>
        <w:pStyle w:val="FootnoteText"/>
        <w:jc w:val="left"/>
      </w:pPr>
      <w:r w:rsidRPr="00FE71F5">
        <w:rPr>
          <w:rStyle w:val="FootnoteReference"/>
        </w:rPr>
        <w:footnoteRef/>
      </w:r>
      <w:r w:rsidRPr="00FE71F5">
        <w:t xml:space="preserve"> Hypothetical, p. 4, § 19; Hypothetical, p. 5, § 27.</w:t>
      </w:r>
    </w:p>
  </w:footnote>
  <w:footnote w:id="6">
    <w:p w:rsidR="00AE5D86" w:rsidRPr="00FE71F5" w:rsidRDefault="00AE5D86" w:rsidP="009E4814">
      <w:pPr>
        <w:pStyle w:val="FootnoteText"/>
        <w:jc w:val="left"/>
      </w:pPr>
      <w:r w:rsidRPr="00FE71F5">
        <w:rPr>
          <w:rStyle w:val="FootnoteReference"/>
        </w:rPr>
        <w:footnoteRef/>
      </w:r>
      <w:r w:rsidRPr="00FE71F5">
        <w:t xml:space="preserve"> Clarification Questions, no. 23; Hypothetical, p. 6, § 29.</w:t>
      </w:r>
    </w:p>
  </w:footnote>
  <w:footnote w:id="7">
    <w:p w:rsidR="00AE5D86" w:rsidRPr="00FE71F5" w:rsidRDefault="00AE5D86" w:rsidP="009E4814">
      <w:pPr>
        <w:pStyle w:val="FootnoteText"/>
        <w:jc w:val="left"/>
      </w:pPr>
      <w:r w:rsidRPr="00FE71F5">
        <w:rPr>
          <w:rStyle w:val="FootnoteReference"/>
        </w:rPr>
        <w:footnoteRef/>
      </w:r>
      <w:r w:rsidRPr="00FE71F5">
        <w:t xml:space="preserve"> Hypothetical, p. 7, § 32.</w:t>
      </w:r>
    </w:p>
  </w:footnote>
  <w:footnote w:id="8">
    <w:p w:rsidR="00AE5D86" w:rsidRPr="00FE71F5" w:rsidRDefault="00AE5D86" w:rsidP="00A15425">
      <w:pPr>
        <w:pStyle w:val="FootnoteText"/>
        <w:tabs>
          <w:tab w:val="left" w:pos="284"/>
        </w:tabs>
        <w:jc w:val="left"/>
      </w:pPr>
      <w:r w:rsidRPr="00FE71F5">
        <w:rPr>
          <w:rStyle w:val="FootnoteReference"/>
        </w:rPr>
        <w:footnoteRef/>
      </w:r>
      <w:r w:rsidRPr="00FE71F5">
        <w:t xml:space="preserve"> </w:t>
      </w:r>
      <w:r w:rsidRPr="00FE71F5">
        <w:tab/>
        <w:t>Hypothetical, p. 7, §§ 33, 35, 36.</w:t>
      </w:r>
    </w:p>
  </w:footnote>
  <w:footnote w:id="9">
    <w:p w:rsidR="00AE5D86" w:rsidRPr="00FE71F5" w:rsidRDefault="00AE5D86" w:rsidP="00A15425">
      <w:pPr>
        <w:pStyle w:val="FootnoteText"/>
        <w:tabs>
          <w:tab w:val="left" w:pos="284"/>
        </w:tabs>
        <w:jc w:val="left"/>
      </w:pPr>
      <w:r w:rsidRPr="00FE71F5">
        <w:rPr>
          <w:rStyle w:val="FootnoteReference"/>
        </w:rPr>
        <w:footnoteRef/>
      </w:r>
      <w:r w:rsidRPr="00FE71F5">
        <w:t xml:space="preserve"> </w:t>
      </w:r>
      <w:r w:rsidRPr="00FE71F5">
        <w:tab/>
        <w:t>Art. 6(1)(a) ILO Convention 169; Hypothetical, p. 8, § 42; Hypothetical, p. 10, § 47.</w:t>
      </w:r>
    </w:p>
  </w:footnote>
  <w:footnote w:id="10">
    <w:p w:rsidR="00AE5D86" w:rsidRPr="00FE71F5" w:rsidRDefault="00AE5D86" w:rsidP="009E4814">
      <w:pPr>
        <w:pStyle w:val="FootnoteText"/>
        <w:jc w:val="left"/>
      </w:pPr>
      <w:r w:rsidRPr="00FE71F5">
        <w:rPr>
          <w:rStyle w:val="FootnoteReference"/>
        </w:rPr>
        <w:footnoteRef/>
      </w:r>
      <w:r w:rsidRPr="00FE71F5">
        <w:t xml:space="preserve"> Hypothetical, p. 7, § 36.</w:t>
      </w:r>
    </w:p>
  </w:footnote>
  <w:footnote w:id="11">
    <w:p w:rsidR="00AE5D86" w:rsidRPr="00FE71F5" w:rsidRDefault="00AE5D86" w:rsidP="009E4814">
      <w:pPr>
        <w:pStyle w:val="FootnoteText"/>
        <w:jc w:val="left"/>
      </w:pPr>
      <w:r w:rsidRPr="00FE71F5">
        <w:rPr>
          <w:rStyle w:val="FootnoteReference"/>
        </w:rPr>
        <w:footnoteRef/>
      </w:r>
      <w:r w:rsidRPr="00FE71F5">
        <w:t xml:space="preserve"> Hypothetical, p. 7, § 37; Hypothetical, p. 8, § 38.</w:t>
      </w:r>
    </w:p>
  </w:footnote>
  <w:footnote w:id="12">
    <w:p w:rsidR="00AE5D86" w:rsidRPr="00FE71F5" w:rsidRDefault="00AE5D86" w:rsidP="009E4814">
      <w:pPr>
        <w:pStyle w:val="FootnoteText"/>
        <w:jc w:val="left"/>
      </w:pPr>
      <w:r w:rsidRPr="00FE71F5">
        <w:rPr>
          <w:rStyle w:val="FootnoteReference"/>
        </w:rPr>
        <w:footnoteRef/>
      </w:r>
      <w:r w:rsidRPr="00FE71F5">
        <w:t xml:space="preserve"> Clarification Questions, no. 57; Hypothetical, p. 8, § 38.</w:t>
      </w:r>
    </w:p>
  </w:footnote>
  <w:footnote w:id="13">
    <w:p w:rsidR="00AE5D86" w:rsidRPr="00FE71F5" w:rsidRDefault="00AE5D86" w:rsidP="009E4814">
      <w:pPr>
        <w:pStyle w:val="FootnoteText"/>
        <w:jc w:val="left"/>
      </w:pPr>
      <w:r w:rsidRPr="00FE71F5">
        <w:rPr>
          <w:rStyle w:val="FootnoteReference"/>
        </w:rPr>
        <w:footnoteRef/>
      </w:r>
      <w:r w:rsidRPr="00FE71F5">
        <w:t xml:space="preserve"> Hypothetical, p. 8, § 41.</w:t>
      </w:r>
    </w:p>
  </w:footnote>
  <w:footnote w:id="14">
    <w:p w:rsidR="00AE5D86" w:rsidRPr="00FE71F5" w:rsidRDefault="00AE5D86" w:rsidP="009E4814">
      <w:pPr>
        <w:pStyle w:val="FootnoteText"/>
        <w:jc w:val="left"/>
      </w:pPr>
      <w:r w:rsidRPr="00FE71F5">
        <w:rPr>
          <w:rStyle w:val="FootnoteReference"/>
        </w:rPr>
        <w:footnoteRef/>
      </w:r>
      <w:r w:rsidRPr="00FE71F5">
        <w:t xml:space="preserve"> Hypothetical, p. 10, § 48.</w:t>
      </w:r>
    </w:p>
  </w:footnote>
  <w:footnote w:id="15">
    <w:p w:rsidR="00AE5D86" w:rsidRPr="00FE71F5" w:rsidRDefault="00AE5D86" w:rsidP="009E4814">
      <w:pPr>
        <w:pStyle w:val="FootnoteText"/>
        <w:jc w:val="left"/>
      </w:pPr>
      <w:r w:rsidRPr="00FE71F5">
        <w:rPr>
          <w:rStyle w:val="FootnoteReference"/>
        </w:rPr>
        <w:footnoteRef/>
      </w:r>
      <w:r w:rsidRPr="00FE71F5">
        <w:t xml:space="preserve"> Hypothetical, p. 10, §§ 49, 50, 52.</w:t>
      </w:r>
    </w:p>
  </w:footnote>
  <w:footnote w:id="16">
    <w:p w:rsidR="00AE5D86" w:rsidRPr="00FE71F5" w:rsidRDefault="00AE5D86" w:rsidP="009E4814">
      <w:pPr>
        <w:pStyle w:val="FootnoteText"/>
        <w:jc w:val="left"/>
      </w:pPr>
      <w:r w:rsidRPr="00FE71F5">
        <w:rPr>
          <w:rStyle w:val="FootnoteReference"/>
        </w:rPr>
        <w:footnoteRef/>
      </w:r>
      <w:r w:rsidRPr="00FE71F5">
        <w:t xml:space="preserve"> Hypothetical, p. 10, §§ 49, 50.</w:t>
      </w:r>
    </w:p>
  </w:footnote>
  <w:footnote w:id="17">
    <w:p w:rsidR="00AE5D86" w:rsidRPr="00FE71F5" w:rsidRDefault="00AE5D86" w:rsidP="009E4814">
      <w:pPr>
        <w:pStyle w:val="FootnoteText"/>
        <w:jc w:val="left"/>
      </w:pPr>
      <w:r w:rsidRPr="00FE71F5">
        <w:rPr>
          <w:rStyle w:val="FootnoteReference"/>
        </w:rPr>
        <w:footnoteRef/>
      </w:r>
      <w:r w:rsidRPr="00FE71F5">
        <w:t xml:space="preserve"> </w:t>
      </w:r>
      <w:r w:rsidRPr="00FE71F5">
        <w:rPr>
          <w:i/>
        </w:rPr>
        <w:t>Hugo Armendariz v. United States</w:t>
      </w:r>
      <w:r w:rsidRPr="00FE71F5">
        <w:t xml:space="preserve">, IACHR, Report No. 57/06, </w:t>
      </w:r>
      <w:r w:rsidRPr="00FE71F5">
        <w:rPr>
          <w:lang w:eastAsia="en-US"/>
        </w:rPr>
        <w:t xml:space="preserve">20 July 2006, </w:t>
      </w:r>
      <w:r w:rsidRPr="00FE71F5">
        <w:t xml:space="preserve">§ 46; </w:t>
      </w:r>
      <w:r w:rsidRPr="00FE71F5">
        <w:rPr>
          <w:i/>
        </w:rPr>
        <w:t>José Miguel Gudiel Álvarez and Ohters (“Diario Militar”) v. Guatemala</w:t>
      </w:r>
      <w:r w:rsidRPr="00FE71F5">
        <w:t xml:space="preserve">, Report No. 116/10, 22 October 2010, § 10; </w:t>
      </w:r>
      <w:r w:rsidRPr="00FE71F5">
        <w:rPr>
          <w:i/>
        </w:rPr>
        <w:t>Wayne Smith v. United States</w:t>
      </w:r>
      <w:r w:rsidRPr="00FE71F5">
        <w:t>, Report No. 56/06, 20 July 2006, § 53.</w:t>
      </w:r>
    </w:p>
  </w:footnote>
  <w:footnote w:id="18">
    <w:p w:rsidR="00AE5D86" w:rsidRPr="00FE71F5" w:rsidRDefault="00AE5D86" w:rsidP="009E4814">
      <w:pPr>
        <w:pStyle w:val="FootnoteText"/>
        <w:jc w:val="left"/>
      </w:pPr>
      <w:r w:rsidRPr="00FE71F5">
        <w:rPr>
          <w:rStyle w:val="FootnoteReference"/>
        </w:rPr>
        <w:footnoteRef/>
      </w:r>
      <w:r w:rsidRPr="00FE71F5">
        <w:t xml:space="preserve"> </w:t>
      </w:r>
      <w:r w:rsidRPr="00FE71F5">
        <w:rPr>
          <w:bCs/>
        </w:rPr>
        <w:t xml:space="preserve">C. Medina, The American Convention on Human Rights, Cambridge, Cambridge - Antwerp - Portland, </w:t>
      </w:r>
      <w:r w:rsidRPr="00FE71F5">
        <w:rPr>
          <w:bCs/>
          <w:lang w:eastAsia="en-US"/>
        </w:rPr>
        <w:t>2014,</w:t>
      </w:r>
      <w:r w:rsidRPr="00FE71F5">
        <w:rPr>
          <w:bCs/>
        </w:rPr>
        <w:t xml:space="preserve"> p. 198.</w:t>
      </w:r>
    </w:p>
  </w:footnote>
  <w:footnote w:id="19">
    <w:p w:rsidR="00AE5D86" w:rsidRPr="00FE71F5" w:rsidRDefault="00AE5D86" w:rsidP="009E4814">
      <w:pPr>
        <w:pStyle w:val="FootnoteText"/>
        <w:jc w:val="left"/>
      </w:pPr>
      <w:r w:rsidRPr="00FE71F5">
        <w:rPr>
          <w:rStyle w:val="FootnoteReference"/>
        </w:rPr>
        <w:footnoteRef/>
      </w:r>
      <w:r w:rsidRPr="00FE71F5">
        <w:t xml:space="preserve"> </w:t>
      </w:r>
      <w:r w:rsidRPr="00FE71F5">
        <w:rPr>
          <w:bCs/>
          <w:i/>
          <w:lang w:eastAsia="en-US"/>
        </w:rPr>
        <w:t>Banković and Others v. Belgium and Others,</w:t>
      </w:r>
      <w:r w:rsidRPr="00FE71F5">
        <w:rPr>
          <w:bCs/>
          <w:lang w:eastAsia="en-US"/>
        </w:rPr>
        <w:t xml:space="preserve"> ECtHR, App. No. 52207/99, 12 December 2001, § 59.</w:t>
      </w:r>
    </w:p>
  </w:footnote>
  <w:footnote w:id="20">
    <w:p w:rsidR="00AE5D86" w:rsidRPr="00FE71F5" w:rsidRDefault="00AE5D86" w:rsidP="009E4814">
      <w:pPr>
        <w:pStyle w:val="FootnoteText"/>
        <w:jc w:val="left"/>
      </w:pPr>
      <w:r w:rsidRPr="00FE71F5">
        <w:rPr>
          <w:rStyle w:val="FootnoteReference"/>
        </w:rPr>
        <w:footnoteRef/>
      </w:r>
      <w:r w:rsidRPr="00FE71F5">
        <w:t xml:space="preserve"> </w:t>
      </w:r>
      <w:r w:rsidRPr="00FE71F5">
        <w:rPr>
          <w:bCs/>
          <w:i/>
          <w:lang w:eastAsia="en-US"/>
        </w:rPr>
        <w:t>Banković and Others v. Belgium and Others,</w:t>
      </w:r>
      <w:r w:rsidRPr="00FE71F5">
        <w:rPr>
          <w:bCs/>
          <w:lang w:eastAsia="en-US"/>
        </w:rPr>
        <w:t xml:space="preserve"> </w:t>
      </w:r>
      <w:r w:rsidRPr="00FE71F5">
        <w:rPr>
          <w:i/>
        </w:rPr>
        <w:t>supra</w:t>
      </w:r>
      <w:r w:rsidRPr="00FE71F5">
        <w:t xml:space="preserve"> note 19,</w:t>
      </w:r>
      <w:r w:rsidRPr="00FE71F5">
        <w:rPr>
          <w:bCs/>
          <w:lang w:eastAsia="en-US"/>
        </w:rPr>
        <w:t xml:space="preserve"> § 71.</w:t>
      </w:r>
    </w:p>
  </w:footnote>
  <w:footnote w:id="21">
    <w:p w:rsidR="00AE5D86" w:rsidRPr="00FE71F5" w:rsidRDefault="00AE5D86" w:rsidP="009E4814">
      <w:pPr>
        <w:pStyle w:val="FootnoteText"/>
        <w:jc w:val="left"/>
        <w:rPr>
          <w:bCs/>
          <w:i/>
          <w:iCs/>
        </w:rPr>
      </w:pPr>
      <w:r w:rsidRPr="00FE71F5">
        <w:rPr>
          <w:rStyle w:val="FootnoteReference"/>
        </w:rPr>
        <w:footnoteRef/>
      </w:r>
      <w:r w:rsidRPr="00FE71F5">
        <w:t xml:space="preserve"> </w:t>
      </w:r>
      <w:r w:rsidRPr="00FE71F5">
        <w:rPr>
          <w:bCs/>
          <w:i/>
          <w:iCs/>
        </w:rPr>
        <w:t>Coard et al. v. United States</w:t>
      </w:r>
      <w:r w:rsidRPr="00FE71F5">
        <w:rPr>
          <w:bCs/>
          <w:iCs/>
        </w:rPr>
        <w:t xml:space="preserve">, IACHR, </w:t>
      </w:r>
      <w:r w:rsidRPr="00FE71F5">
        <w:rPr>
          <w:bCs/>
          <w:iCs/>
          <w:lang w:eastAsia="en-US"/>
        </w:rPr>
        <w:t xml:space="preserve">Report No. 109/99, 29 September 1999, </w:t>
      </w:r>
      <w:r w:rsidRPr="00FE71F5">
        <w:rPr>
          <w:bCs/>
          <w:iCs/>
        </w:rPr>
        <w:t xml:space="preserve">§ 37; </w:t>
      </w:r>
      <w:r w:rsidRPr="00FE71F5">
        <w:t xml:space="preserve">D. </w:t>
      </w:r>
      <w:r w:rsidRPr="00FE71F5">
        <w:rPr>
          <w:bCs/>
          <w:iCs/>
        </w:rPr>
        <w:t>Rodríguez</w:t>
      </w:r>
      <w:r w:rsidRPr="00FE71F5">
        <w:rPr>
          <w:bCs/>
        </w:rPr>
        <w:t>-</w:t>
      </w:r>
      <w:r w:rsidRPr="00FE71F5">
        <w:rPr>
          <w:bCs/>
          <w:iCs/>
        </w:rPr>
        <w:t>Pinzón and C. Martin, The Prohibition of Torture and Ill-Treatment in the Inter-American Human Rights System, Geneva, World Organisation Against Torture (OMCT), 2014, p. 67.</w:t>
      </w:r>
    </w:p>
  </w:footnote>
  <w:footnote w:id="22">
    <w:p w:rsidR="00AE5D86" w:rsidRPr="00622233" w:rsidRDefault="00AE5D86" w:rsidP="009E4814">
      <w:pPr>
        <w:pStyle w:val="FootnoteText"/>
        <w:jc w:val="left"/>
        <w:rPr>
          <w:lang w:val="es-ES"/>
        </w:rPr>
      </w:pPr>
      <w:r w:rsidRPr="00FE71F5">
        <w:rPr>
          <w:rStyle w:val="FootnoteReference"/>
        </w:rPr>
        <w:footnoteRef/>
      </w:r>
      <w:r w:rsidRPr="00622233">
        <w:rPr>
          <w:lang w:val="es-ES"/>
        </w:rPr>
        <w:t xml:space="preserve"> </w:t>
      </w:r>
      <w:r w:rsidRPr="00622233">
        <w:rPr>
          <w:i/>
          <w:iCs/>
          <w:lang w:val="es-ES"/>
        </w:rPr>
        <w:t xml:space="preserve">Herrera Ulloa v. Cosa Rica, </w:t>
      </w:r>
      <w:r w:rsidRPr="00622233">
        <w:rPr>
          <w:lang w:val="es-ES"/>
        </w:rPr>
        <w:t>IACtHR, 2 July 2004, § 81; Hypothetical, p. 10, § 49.</w:t>
      </w:r>
    </w:p>
  </w:footnote>
  <w:footnote w:id="23">
    <w:p w:rsidR="00AE5D86" w:rsidRPr="00FE71F5" w:rsidRDefault="00AE5D86" w:rsidP="009E4814">
      <w:pPr>
        <w:pStyle w:val="FootnoteText"/>
        <w:jc w:val="left"/>
        <w:rPr>
          <w:bCs/>
          <w:iCs/>
          <w:lang w:eastAsia="en-US"/>
        </w:rPr>
      </w:pPr>
      <w:r w:rsidRPr="00FE71F5">
        <w:rPr>
          <w:rStyle w:val="FootnoteReference"/>
        </w:rPr>
        <w:footnoteRef/>
      </w:r>
      <w:r w:rsidRPr="00FE71F5">
        <w:t xml:space="preserve"> </w:t>
      </w:r>
      <w:r w:rsidRPr="00FE71F5">
        <w:rPr>
          <w:i/>
          <w:lang w:eastAsia="en-US"/>
        </w:rPr>
        <w:t>Carlos Garc</w:t>
      </w:r>
      <w:r w:rsidRPr="00FE71F5">
        <w:rPr>
          <w:bCs/>
          <w:i/>
          <w:lang w:eastAsia="en-US"/>
        </w:rPr>
        <w:t>í</w:t>
      </w:r>
      <w:r w:rsidRPr="00FE71F5">
        <w:rPr>
          <w:i/>
          <w:lang w:eastAsia="en-US"/>
        </w:rPr>
        <w:t>a Saccone v. Argentina</w:t>
      </w:r>
      <w:r w:rsidRPr="00FE71F5">
        <w:rPr>
          <w:lang w:eastAsia="en-US"/>
        </w:rPr>
        <w:t xml:space="preserve">, IACHR, Report No. 8/98, 2 March 1998, </w:t>
      </w:r>
      <w:r w:rsidRPr="00FE71F5">
        <w:rPr>
          <w:bCs/>
          <w:iCs/>
          <w:lang w:eastAsia="en-US"/>
        </w:rPr>
        <w:t xml:space="preserve">§ 53; </w:t>
      </w:r>
      <w:r w:rsidRPr="00FE71F5">
        <w:t xml:space="preserve">L. Burgorgue-Larsen &amp; A. Ubeda de Torres, </w:t>
      </w:r>
      <w:r w:rsidRPr="00FE71F5">
        <w:rPr>
          <w:lang w:eastAsia="en-US"/>
        </w:rPr>
        <w:t>The Inter-American Court of Human Rights, Oxford, Oxford University Press, 2011, p. 60.</w:t>
      </w:r>
    </w:p>
  </w:footnote>
  <w:footnote w:id="24">
    <w:p w:rsidR="00AE5D86" w:rsidRPr="00FE71F5" w:rsidRDefault="00AE5D86" w:rsidP="009E4814">
      <w:pPr>
        <w:pStyle w:val="FootnoteText"/>
        <w:jc w:val="left"/>
      </w:pPr>
      <w:r w:rsidRPr="00FE71F5">
        <w:rPr>
          <w:rStyle w:val="FootnoteReference"/>
        </w:rPr>
        <w:footnoteRef/>
      </w:r>
      <w:r w:rsidRPr="00FE71F5">
        <w:t xml:space="preserve"> </w:t>
      </w:r>
      <w:r w:rsidRPr="00FE71F5">
        <w:rPr>
          <w:i/>
        </w:rPr>
        <w:t>Cabrera García and Montiel Flores v. Mexico</w:t>
      </w:r>
      <w:r w:rsidRPr="00FE71F5">
        <w:t>, IACtHR, 26 November 2010, § 16.</w:t>
      </w:r>
    </w:p>
  </w:footnote>
  <w:footnote w:id="25">
    <w:p w:rsidR="00AE5D86" w:rsidRPr="00FE71F5" w:rsidRDefault="00AE5D86" w:rsidP="009E4814">
      <w:pPr>
        <w:pStyle w:val="FootnoteText"/>
        <w:jc w:val="left"/>
        <w:rPr>
          <w:bCs/>
        </w:rPr>
      </w:pPr>
      <w:r w:rsidRPr="00FE71F5">
        <w:rPr>
          <w:rStyle w:val="FootnoteReference"/>
        </w:rPr>
        <w:footnoteRef/>
      </w:r>
      <w:r w:rsidRPr="00FE71F5">
        <w:t xml:space="preserve"> </w:t>
      </w:r>
      <w:r w:rsidRPr="00FE71F5">
        <w:rPr>
          <w:i/>
        </w:rPr>
        <w:t>Las Palmeras v. Colombia</w:t>
      </w:r>
      <w:r w:rsidRPr="00FE71F5">
        <w:t xml:space="preserve">, IACtHR, 6 December 2001, § 33; Jo M. </w:t>
      </w:r>
      <w:r w:rsidRPr="00FE71F5">
        <w:rPr>
          <w:bCs/>
        </w:rPr>
        <w:t xml:space="preserve">Pasqualucci, The Practice and Procedure of the Inter-American Court of Human Rights, Cambridge, Cambridge University Press, 2003, </w:t>
      </w:r>
      <w:r w:rsidRPr="00FE71F5">
        <w:t>p. 93.</w:t>
      </w:r>
    </w:p>
  </w:footnote>
  <w:footnote w:id="26">
    <w:p w:rsidR="00AE5D86" w:rsidRPr="00622233" w:rsidRDefault="00AE5D86" w:rsidP="009E4814">
      <w:pPr>
        <w:pStyle w:val="FootnoteText"/>
        <w:jc w:val="left"/>
        <w:rPr>
          <w:lang w:val="es-ES"/>
        </w:rPr>
      </w:pPr>
      <w:r w:rsidRPr="00FE71F5">
        <w:rPr>
          <w:rStyle w:val="FootnoteReference"/>
        </w:rPr>
        <w:footnoteRef/>
      </w:r>
      <w:r w:rsidRPr="00622233">
        <w:rPr>
          <w:lang w:val="es-ES"/>
        </w:rPr>
        <w:t xml:space="preserve"> D. </w:t>
      </w:r>
      <w:r w:rsidRPr="00622233">
        <w:rPr>
          <w:bCs/>
          <w:iCs/>
          <w:lang w:val="es-ES"/>
        </w:rPr>
        <w:t>Rodríguez</w:t>
      </w:r>
      <w:r w:rsidRPr="00622233">
        <w:rPr>
          <w:bCs/>
          <w:lang w:val="es-ES"/>
        </w:rPr>
        <w:t>-</w:t>
      </w:r>
      <w:r w:rsidRPr="00622233">
        <w:rPr>
          <w:bCs/>
          <w:iCs/>
          <w:lang w:val="es-ES"/>
        </w:rPr>
        <w:t xml:space="preserve">Pinzón and C. Martin, </w:t>
      </w:r>
      <w:r w:rsidRPr="00622233">
        <w:rPr>
          <w:i/>
          <w:lang w:val="es-ES"/>
        </w:rPr>
        <w:t>supra</w:t>
      </w:r>
      <w:r w:rsidRPr="00622233">
        <w:rPr>
          <w:lang w:val="es-ES"/>
        </w:rPr>
        <w:t xml:space="preserve"> note 21, </w:t>
      </w:r>
      <w:r w:rsidRPr="00622233">
        <w:rPr>
          <w:bCs/>
          <w:iCs/>
          <w:lang w:val="es-ES"/>
        </w:rPr>
        <w:t>p. 66.</w:t>
      </w:r>
    </w:p>
  </w:footnote>
  <w:footnote w:id="27">
    <w:p w:rsidR="00AE5D86" w:rsidRPr="00622233" w:rsidRDefault="00AE5D86" w:rsidP="009E4814">
      <w:pPr>
        <w:pStyle w:val="FootnoteText"/>
        <w:jc w:val="left"/>
        <w:rPr>
          <w:lang w:val="es-ES"/>
        </w:rPr>
      </w:pPr>
      <w:r w:rsidRPr="00FE71F5">
        <w:rPr>
          <w:rStyle w:val="FootnoteReference"/>
        </w:rPr>
        <w:footnoteRef/>
      </w:r>
      <w:r w:rsidRPr="00622233">
        <w:rPr>
          <w:lang w:val="es-ES"/>
        </w:rPr>
        <w:t xml:space="preserve"> D. </w:t>
      </w:r>
      <w:r w:rsidRPr="00622233">
        <w:rPr>
          <w:bCs/>
          <w:iCs/>
          <w:lang w:val="es-ES"/>
        </w:rPr>
        <w:t>Rodríguez</w:t>
      </w:r>
      <w:r w:rsidRPr="00622233">
        <w:rPr>
          <w:bCs/>
          <w:lang w:val="es-ES"/>
        </w:rPr>
        <w:t>-</w:t>
      </w:r>
      <w:r w:rsidRPr="00622233">
        <w:rPr>
          <w:bCs/>
          <w:iCs/>
          <w:lang w:val="es-ES"/>
        </w:rPr>
        <w:t>Pinzón and C. Martin</w:t>
      </w:r>
      <w:r w:rsidRPr="00622233">
        <w:rPr>
          <w:i/>
          <w:lang w:val="es-ES"/>
        </w:rPr>
        <w:t xml:space="preserve"> supra</w:t>
      </w:r>
      <w:r w:rsidRPr="00622233">
        <w:rPr>
          <w:lang w:val="es-ES"/>
        </w:rPr>
        <w:t xml:space="preserve"> note 21,</w:t>
      </w:r>
      <w:r w:rsidRPr="00622233">
        <w:rPr>
          <w:bCs/>
          <w:iCs/>
          <w:lang w:val="es-ES"/>
        </w:rPr>
        <w:t xml:space="preserve"> p. 66;</w:t>
      </w:r>
      <w:r w:rsidRPr="00622233">
        <w:rPr>
          <w:lang w:val="es-ES"/>
        </w:rPr>
        <w:t xml:space="preserve"> Jo M. </w:t>
      </w:r>
      <w:r w:rsidRPr="00622233">
        <w:rPr>
          <w:bCs/>
          <w:lang w:val="es-ES"/>
        </w:rPr>
        <w:t xml:space="preserve">Pasqualucci, </w:t>
      </w:r>
      <w:r w:rsidRPr="00622233">
        <w:rPr>
          <w:bCs/>
          <w:i/>
          <w:lang w:val="es-ES"/>
        </w:rPr>
        <w:t>supra</w:t>
      </w:r>
      <w:r w:rsidRPr="00622233">
        <w:rPr>
          <w:bCs/>
          <w:lang w:val="es-ES"/>
        </w:rPr>
        <w:t xml:space="preserve"> note 25, </w:t>
      </w:r>
      <w:r w:rsidRPr="00622233">
        <w:rPr>
          <w:lang w:val="es-ES"/>
        </w:rPr>
        <w:t>p. 93.</w:t>
      </w:r>
    </w:p>
  </w:footnote>
  <w:footnote w:id="28">
    <w:p w:rsidR="00AE5D86" w:rsidRPr="00622233" w:rsidRDefault="00AE5D86" w:rsidP="009E4814">
      <w:pPr>
        <w:pStyle w:val="FootnoteText"/>
        <w:jc w:val="left"/>
        <w:rPr>
          <w:lang w:val="es-ES"/>
        </w:rPr>
      </w:pPr>
      <w:r w:rsidRPr="00FE71F5">
        <w:rPr>
          <w:rStyle w:val="FootnoteReference"/>
        </w:rPr>
        <w:footnoteRef/>
      </w:r>
      <w:r w:rsidRPr="00622233">
        <w:rPr>
          <w:lang w:val="es-ES"/>
        </w:rPr>
        <w:t xml:space="preserve"> </w:t>
      </w:r>
      <w:r w:rsidRPr="00622233">
        <w:rPr>
          <w:lang w:val="es-ES" w:eastAsia="en-US"/>
        </w:rPr>
        <w:t>Hypothetical, p. 6, § 29; Hypothetical, p. 7, § 32.</w:t>
      </w:r>
    </w:p>
  </w:footnote>
  <w:footnote w:id="29">
    <w:p w:rsidR="00AE5D86" w:rsidRPr="00622233" w:rsidRDefault="00AE5D86" w:rsidP="009E4814">
      <w:pPr>
        <w:pStyle w:val="FootnoteText"/>
        <w:jc w:val="left"/>
        <w:rPr>
          <w:bCs/>
          <w:lang w:val="es-ES"/>
        </w:rPr>
      </w:pPr>
      <w:r w:rsidRPr="00FE71F5">
        <w:rPr>
          <w:rStyle w:val="FootnoteReference"/>
        </w:rPr>
        <w:footnoteRef/>
      </w:r>
      <w:r w:rsidRPr="00622233">
        <w:rPr>
          <w:lang w:val="es-ES"/>
        </w:rPr>
        <w:t xml:space="preserve"> Jo M. </w:t>
      </w:r>
      <w:r w:rsidRPr="00622233">
        <w:rPr>
          <w:bCs/>
          <w:lang w:val="es-ES"/>
        </w:rPr>
        <w:t xml:space="preserve">Pasqualucci, </w:t>
      </w:r>
      <w:r w:rsidRPr="00622233">
        <w:rPr>
          <w:bCs/>
          <w:i/>
          <w:lang w:val="es-ES"/>
        </w:rPr>
        <w:t>supra</w:t>
      </w:r>
      <w:r w:rsidRPr="00622233">
        <w:rPr>
          <w:bCs/>
          <w:lang w:val="es-ES"/>
        </w:rPr>
        <w:t xml:space="preserve"> note 25, </w:t>
      </w:r>
      <w:r w:rsidRPr="00622233">
        <w:rPr>
          <w:lang w:val="es-ES"/>
        </w:rPr>
        <w:t>p. 93.</w:t>
      </w:r>
    </w:p>
  </w:footnote>
  <w:footnote w:id="30">
    <w:p w:rsidR="00AE5D86" w:rsidRPr="00FE71F5" w:rsidRDefault="00AE5D86" w:rsidP="009E4814">
      <w:pPr>
        <w:pStyle w:val="FootnoteText"/>
        <w:jc w:val="left"/>
      </w:pPr>
      <w:r w:rsidRPr="00FE71F5">
        <w:rPr>
          <w:rStyle w:val="FootnoteReference"/>
        </w:rPr>
        <w:footnoteRef/>
      </w:r>
      <w:r w:rsidRPr="00FE71F5">
        <w:t xml:space="preserve"> Hypothetical, p. 8, §§ 40, 41.</w:t>
      </w:r>
    </w:p>
  </w:footnote>
  <w:footnote w:id="31">
    <w:p w:rsidR="00AE5D86" w:rsidRPr="00FE71F5" w:rsidRDefault="00AE5D86" w:rsidP="009E4814">
      <w:pPr>
        <w:pStyle w:val="FootnoteText"/>
        <w:jc w:val="left"/>
        <w:rPr>
          <w:lang w:eastAsia="en-US"/>
        </w:rPr>
      </w:pPr>
      <w:r w:rsidRPr="00FE71F5">
        <w:rPr>
          <w:rStyle w:val="FootnoteReference"/>
        </w:rPr>
        <w:footnoteRef/>
      </w:r>
      <w:r w:rsidRPr="00FE71F5">
        <w:t xml:space="preserve"> </w:t>
      </w:r>
      <w:r w:rsidRPr="00FE71F5">
        <w:rPr>
          <w:i/>
        </w:rPr>
        <w:t>Chaparro Álvarez and Lapo Íñiguez v. Ecuador</w:t>
      </w:r>
      <w:r w:rsidRPr="00FE71F5">
        <w:t xml:space="preserve">, IACtHR, 21 November 2007, § 16; </w:t>
      </w:r>
      <w:r w:rsidRPr="00FE71F5">
        <w:rPr>
          <w:bCs/>
          <w:i/>
          <w:iCs/>
          <w:lang w:eastAsia="en-US"/>
        </w:rPr>
        <w:t>Communities of the Sipakepense and Mam Mayan People of the Municipalities of Sipacapa and San Miguel Ixtahuacán v. Guatemala</w:t>
      </w:r>
      <w:r w:rsidRPr="00FE71F5">
        <w:rPr>
          <w:lang w:eastAsia="en-US"/>
        </w:rPr>
        <w:t xml:space="preserve">, IACHR, </w:t>
      </w:r>
      <w:r w:rsidRPr="00FE71F5">
        <w:rPr>
          <w:bCs/>
          <w:iCs/>
          <w:lang w:eastAsia="en-US"/>
        </w:rPr>
        <w:t xml:space="preserve">Report No. 20/14, 3 April 2014, </w:t>
      </w:r>
      <w:r w:rsidRPr="00FE71F5">
        <w:rPr>
          <w:lang w:eastAsia="en-US"/>
        </w:rPr>
        <w:t xml:space="preserve">§ 30; </w:t>
      </w:r>
      <w:r w:rsidRPr="00FE71F5">
        <w:rPr>
          <w:i/>
          <w:iCs/>
        </w:rPr>
        <w:t>Exceptions to the Exhaustion of Domestic Remedies (Arts. 46(1), 46(2)(a) and 46(2)(b) of the American Convention on Human Rights)</w:t>
      </w:r>
      <w:r w:rsidRPr="00FE71F5">
        <w:t>, Advisory Opinion OC-11/90, IACtHR, 10 August 1990, § 16.</w:t>
      </w:r>
    </w:p>
  </w:footnote>
  <w:footnote w:id="32">
    <w:p w:rsidR="00AE5D86" w:rsidRPr="00FE71F5" w:rsidRDefault="00AE5D86" w:rsidP="009E4814">
      <w:pPr>
        <w:pStyle w:val="FootnoteText"/>
        <w:jc w:val="left"/>
      </w:pPr>
      <w:r w:rsidRPr="00FE71F5">
        <w:rPr>
          <w:rStyle w:val="FootnoteReference"/>
        </w:rPr>
        <w:footnoteRef/>
      </w:r>
      <w:r w:rsidRPr="00FE71F5">
        <w:t xml:space="preserve"> D. </w:t>
      </w:r>
      <w:r w:rsidRPr="00FE71F5">
        <w:rPr>
          <w:bCs/>
        </w:rPr>
        <w:t>Harris and S. Livingstone,</w:t>
      </w:r>
      <w:r w:rsidRPr="00FE71F5">
        <w:rPr>
          <w:bCs/>
          <w:i/>
        </w:rPr>
        <w:t>“The Inter-American System of Human Rights”</w:t>
      </w:r>
      <w:r w:rsidRPr="00FE71F5">
        <w:rPr>
          <w:bCs/>
        </w:rPr>
        <w:t>, Oxford, Clarendon Press, 1998, p. 91.</w:t>
      </w:r>
    </w:p>
  </w:footnote>
  <w:footnote w:id="33">
    <w:p w:rsidR="00AE5D86" w:rsidRPr="00FE71F5" w:rsidRDefault="00AE5D86" w:rsidP="009E4814">
      <w:pPr>
        <w:pStyle w:val="FootnoteText"/>
        <w:jc w:val="left"/>
      </w:pPr>
      <w:r w:rsidRPr="00FE71F5">
        <w:rPr>
          <w:rStyle w:val="FootnoteReference"/>
        </w:rPr>
        <w:footnoteRef/>
      </w:r>
      <w:r w:rsidRPr="00FE71F5">
        <w:t xml:space="preserve"> </w:t>
      </w:r>
      <w:r w:rsidRPr="00FE71F5">
        <w:rPr>
          <w:i/>
        </w:rPr>
        <w:t xml:space="preserve">Judicial Guarantees in State of Emergency (Arts. 27(2), 25 and 8 American Convention on Human Rights), </w:t>
      </w:r>
      <w:r w:rsidRPr="00FE71F5">
        <w:t xml:space="preserve">Advisory Opinion </w:t>
      </w:r>
      <w:r w:rsidRPr="00FE71F5">
        <w:rPr>
          <w:bCs/>
        </w:rPr>
        <w:t xml:space="preserve">OC-9/87, </w:t>
      </w:r>
      <w:r w:rsidRPr="00FE71F5">
        <w:t xml:space="preserve">IACtHR, 6 October 1987, § 23; </w:t>
      </w:r>
      <w:r w:rsidRPr="002E50AC">
        <w:rPr>
          <w:i/>
        </w:rPr>
        <w:t>Kichwa Indigenous People of Sarayaku v. Ecuador, IACtHR, 27 June 2012,</w:t>
      </w:r>
      <w:r>
        <w:rPr>
          <w:i/>
        </w:rPr>
        <w:t xml:space="preserve"> </w:t>
      </w:r>
      <w:r w:rsidRPr="00FE71F5">
        <w:t>§ 272.</w:t>
      </w:r>
    </w:p>
  </w:footnote>
  <w:footnote w:id="34">
    <w:p w:rsidR="00AE5D86" w:rsidRPr="00622233" w:rsidRDefault="00AE5D86" w:rsidP="009E4814">
      <w:pPr>
        <w:pStyle w:val="FootnoteText"/>
        <w:jc w:val="left"/>
        <w:rPr>
          <w:lang w:val="pt-BR"/>
        </w:rPr>
      </w:pPr>
      <w:r w:rsidRPr="00FE71F5">
        <w:rPr>
          <w:rStyle w:val="FootnoteReference"/>
        </w:rPr>
        <w:footnoteRef/>
      </w:r>
      <w:r w:rsidRPr="00622233">
        <w:rPr>
          <w:lang w:val="pt-BR"/>
        </w:rPr>
        <w:t xml:space="preserve"> </w:t>
      </w:r>
      <w:r w:rsidRPr="00622233">
        <w:rPr>
          <w:i/>
          <w:lang w:val="pt-BR"/>
        </w:rPr>
        <w:t>Ricardo Urbano Poma v. Peru</w:t>
      </w:r>
      <w:r w:rsidRPr="00622233">
        <w:rPr>
          <w:lang w:val="pt-BR"/>
        </w:rPr>
        <w:t>, IACHR, Report No. 3/08, 4 March 2008, §§ 29, 30.</w:t>
      </w:r>
    </w:p>
  </w:footnote>
  <w:footnote w:id="35">
    <w:p w:rsidR="00AE5D86" w:rsidRPr="00FE71F5" w:rsidRDefault="00AE5D86" w:rsidP="009E4814">
      <w:pPr>
        <w:pStyle w:val="FootnoteText"/>
        <w:jc w:val="left"/>
      </w:pPr>
      <w:r w:rsidRPr="00FE71F5">
        <w:rPr>
          <w:rStyle w:val="FootnoteReference"/>
        </w:rPr>
        <w:footnoteRef/>
      </w:r>
      <w:r w:rsidRPr="00FE71F5">
        <w:t xml:space="preserve"> Hypothetical, p. 8, § 39.</w:t>
      </w:r>
    </w:p>
  </w:footnote>
  <w:footnote w:id="36">
    <w:p w:rsidR="00AE5D86" w:rsidRPr="00FE71F5" w:rsidRDefault="00AE5D86" w:rsidP="009E4814">
      <w:pPr>
        <w:pStyle w:val="FootnoteText"/>
        <w:jc w:val="left"/>
      </w:pPr>
      <w:r w:rsidRPr="00FE71F5">
        <w:rPr>
          <w:rStyle w:val="FootnoteReference"/>
        </w:rPr>
        <w:footnoteRef/>
      </w:r>
      <w:r w:rsidRPr="00FE71F5">
        <w:t xml:space="preserve"> Hypothetical, p. 8, § 40.</w:t>
      </w:r>
    </w:p>
  </w:footnote>
  <w:footnote w:id="37">
    <w:p w:rsidR="00AE5D86" w:rsidRPr="00FE71F5" w:rsidRDefault="00AE5D86" w:rsidP="009E4814">
      <w:pPr>
        <w:pStyle w:val="FootnoteText"/>
        <w:jc w:val="left"/>
      </w:pPr>
      <w:r w:rsidRPr="00FE71F5">
        <w:rPr>
          <w:rStyle w:val="FootnoteReference"/>
        </w:rPr>
        <w:footnoteRef/>
      </w:r>
      <w:r w:rsidRPr="00FE71F5">
        <w:t xml:space="preserve"> Clarification Questions, no. 5.</w:t>
      </w:r>
    </w:p>
  </w:footnote>
  <w:footnote w:id="38">
    <w:p w:rsidR="00AE5D86" w:rsidRPr="00FE71F5" w:rsidRDefault="00AE5D86" w:rsidP="009E4814">
      <w:pPr>
        <w:pStyle w:val="FootnoteText"/>
        <w:jc w:val="left"/>
      </w:pPr>
      <w:r w:rsidRPr="00FE71F5">
        <w:rPr>
          <w:rStyle w:val="FootnoteReference"/>
        </w:rPr>
        <w:footnoteRef/>
      </w:r>
      <w:r w:rsidRPr="00FE71F5">
        <w:t xml:space="preserve"> </w:t>
      </w:r>
      <w:r w:rsidRPr="00FE71F5">
        <w:rPr>
          <w:i/>
        </w:rPr>
        <w:t>Saramaka People v Suriname,</w:t>
      </w:r>
      <w:r w:rsidRPr="00FE71F5">
        <w:t xml:space="preserve"> IACtHR, 28 November 2007, § </w:t>
      </w:r>
      <w:r w:rsidRPr="00FE71F5">
        <w:rPr>
          <w:bCs/>
        </w:rPr>
        <w:t>41.</w:t>
      </w:r>
    </w:p>
  </w:footnote>
  <w:footnote w:id="39">
    <w:p w:rsidR="00AE5D86" w:rsidRPr="00FE71F5" w:rsidRDefault="00AE5D86" w:rsidP="009E4814">
      <w:pPr>
        <w:pStyle w:val="FootnoteText"/>
        <w:jc w:val="left"/>
      </w:pPr>
      <w:r w:rsidRPr="00FE71F5">
        <w:rPr>
          <w:rStyle w:val="FootnoteReference"/>
        </w:rPr>
        <w:footnoteRef/>
      </w:r>
      <w:r w:rsidRPr="00FE71F5">
        <w:t xml:space="preserve"> </w:t>
      </w:r>
      <w:r w:rsidRPr="00FE71F5">
        <w:rPr>
          <w:i/>
        </w:rPr>
        <w:t>Felipe Matías Calmo, Faustino Mejía Bautista et al. v. Guatemala</w:t>
      </w:r>
      <w:r w:rsidRPr="00FE71F5">
        <w:t xml:space="preserve">, IACHR, Report No. 55/14, 21 July 2014, § 26; L. Burgorgue-Larsen &amp; A. Ubeda de Torres, </w:t>
      </w:r>
      <w:r w:rsidRPr="00FE71F5">
        <w:rPr>
          <w:i/>
        </w:rPr>
        <w:t>supra</w:t>
      </w:r>
      <w:r w:rsidRPr="00FE71F5">
        <w:t xml:space="preserve"> note 23, </w:t>
      </w:r>
      <w:r w:rsidRPr="00FE71F5">
        <w:rPr>
          <w:lang w:eastAsia="en-US"/>
        </w:rPr>
        <w:t>p. 138.</w:t>
      </w:r>
    </w:p>
  </w:footnote>
  <w:footnote w:id="40">
    <w:p w:rsidR="00AE5D86" w:rsidRPr="00FE71F5" w:rsidRDefault="00AE5D86" w:rsidP="009E4814">
      <w:pPr>
        <w:pStyle w:val="FootnoteText"/>
        <w:jc w:val="left"/>
      </w:pPr>
      <w:r w:rsidRPr="00FE71F5">
        <w:rPr>
          <w:rStyle w:val="FootnoteReference"/>
        </w:rPr>
        <w:footnoteRef/>
      </w:r>
      <w:r w:rsidRPr="00FE71F5">
        <w:t xml:space="preserve"> </w:t>
      </w:r>
      <w:r w:rsidRPr="00FE71F5">
        <w:rPr>
          <w:i/>
          <w:iCs/>
        </w:rPr>
        <w:t>Exceptions to the Exhaustion of Domestic Remedies (Arts. 46(1), 46(2)(a) and 46(2)(b) of the American Convention on Human Rights),</w:t>
      </w:r>
      <w:r w:rsidRPr="00FE71F5">
        <w:t xml:space="preserve"> </w:t>
      </w:r>
      <w:r w:rsidRPr="00FE71F5">
        <w:rPr>
          <w:bCs/>
          <w:i/>
        </w:rPr>
        <w:t>supra</w:t>
      </w:r>
      <w:r w:rsidRPr="00FE71F5">
        <w:rPr>
          <w:bCs/>
        </w:rPr>
        <w:t xml:space="preserve"> note 31, </w:t>
      </w:r>
      <w:r w:rsidRPr="00FE71F5">
        <w:t>§ 28.</w:t>
      </w:r>
    </w:p>
  </w:footnote>
  <w:footnote w:id="41">
    <w:p w:rsidR="00AE5D86" w:rsidRPr="00622233" w:rsidRDefault="00AE5D86" w:rsidP="00CC44D9">
      <w:pPr>
        <w:pStyle w:val="FootnoteText"/>
        <w:ind w:left="142" w:hanging="142"/>
        <w:jc w:val="left"/>
        <w:rPr>
          <w:lang w:val="es-ES"/>
        </w:rPr>
      </w:pPr>
      <w:r w:rsidRPr="00FE71F5">
        <w:rPr>
          <w:rStyle w:val="FootnoteReference"/>
        </w:rPr>
        <w:footnoteRef/>
      </w:r>
      <w:r w:rsidRPr="00622233">
        <w:rPr>
          <w:lang w:val="es-ES"/>
        </w:rPr>
        <w:t xml:space="preserve"> C. </w:t>
      </w:r>
      <w:r w:rsidRPr="00622233">
        <w:rPr>
          <w:bCs/>
          <w:lang w:val="es-ES"/>
        </w:rPr>
        <w:t xml:space="preserve">Medina, </w:t>
      </w:r>
      <w:r w:rsidRPr="00622233">
        <w:rPr>
          <w:bCs/>
          <w:i/>
          <w:lang w:val="es-ES"/>
        </w:rPr>
        <w:t>supra</w:t>
      </w:r>
      <w:r w:rsidRPr="00622233">
        <w:rPr>
          <w:bCs/>
          <w:lang w:val="es-ES"/>
        </w:rPr>
        <w:t xml:space="preserve"> note 18, p. 178; </w:t>
      </w:r>
      <w:r w:rsidRPr="00622233">
        <w:rPr>
          <w:i/>
          <w:lang w:val="es-ES"/>
        </w:rPr>
        <w:t>Gudiel Álvarez et al. (Diario Militar) v. Guatemala</w:t>
      </w:r>
      <w:r w:rsidRPr="00622233">
        <w:rPr>
          <w:lang w:val="es-ES"/>
        </w:rPr>
        <w:t>, IACtHR, 20 November 2012, § 327.</w:t>
      </w:r>
    </w:p>
  </w:footnote>
  <w:footnote w:id="42">
    <w:p w:rsidR="00AE5D86" w:rsidRPr="00622233" w:rsidRDefault="00AE5D86" w:rsidP="00CC44D9">
      <w:pPr>
        <w:pStyle w:val="FootnoteText"/>
        <w:ind w:left="0" w:firstLine="0"/>
        <w:jc w:val="left"/>
        <w:rPr>
          <w:lang w:val="es-ES"/>
        </w:rPr>
      </w:pPr>
      <w:r w:rsidRPr="00FE71F5">
        <w:rPr>
          <w:rStyle w:val="FootnoteReference"/>
        </w:rPr>
        <w:footnoteRef/>
      </w:r>
      <w:r w:rsidRPr="00622233">
        <w:rPr>
          <w:lang w:val="es-ES"/>
        </w:rPr>
        <w:t xml:space="preserve"> Art. 8 ACHR; </w:t>
      </w:r>
      <w:r w:rsidRPr="00622233">
        <w:rPr>
          <w:bCs/>
          <w:lang w:val="es-ES"/>
        </w:rPr>
        <w:t xml:space="preserve">C. Medina, </w:t>
      </w:r>
      <w:r w:rsidRPr="00622233">
        <w:rPr>
          <w:bCs/>
          <w:i/>
          <w:lang w:val="es-ES"/>
        </w:rPr>
        <w:t>supra</w:t>
      </w:r>
      <w:r w:rsidRPr="00622233">
        <w:rPr>
          <w:bCs/>
          <w:lang w:val="es-ES"/>
        </w:rPr>
        <w:t xml:space="preserve"> note 18, p. 191.</w:t>
      </w:r>
    </w:p>
  </w:footnote>
  <w:footnote w:id="43">
    <w:p w:rsidR="00AE5D86" w:rsidRPr="00622233" w:rsidRDefault="00AE5D86" w:rsidP="00CC44D9">
      <w:pPr>
        <w:pStyle w:val="FootnoteText"/>
        <w:ind w:left="142" w:hanging="142"/>
        <w:jc w:val="left"/>
        <w:rPr>
          <w:lang w:val="es-ES"/>
        </w:rPr>
      </w:pPr>
      <w:r w:rsidRPr="00FE71F5">
        <w:rPr>
          <w:rStyle w:val="FootnoteReference"/>
        </w:rPr>
        <w:footnoteRef/>
      </w:r>
      <w:r w:rsidRPr="00622233">
        <w:rPr>
          <w:i/>
          <w:lang w:val="es-ES"/>
        </w:rPr>
        <w:t xml:space="preserve"> </w:t>
      </w:r>
      <w:r w:rsidRPr="00622233">
        <w:rPr>
          <w:bCs/>
          <w:lang w:val="es-ES"/>
        </w:rPr>
        <w:t xml:space="preserve">C. Medina, </w:t>
      </w:r>
      <w:r w:rsidRPr="00622233">
        <w:rPr>
          <w:bCs/>
          <w:i/>
          <w:lang w:val="es-ES"/>
        </w:rPr>
        <w:t>supra</w:t>
      </w:r>
      <w:r w:rsidRPr="00622233">
        <w:rPr>
          <w:bCs/>
          <w:lang w:val="es-ES"/>
        </w:rPr>
        <w:t xml:space="preserve"> note 18, p. 198; </w:t>
      </w:r>
      <w:r w:rsidRPr="00622233">
        <w:rPr>
          <w:i/>
          <w:lang w:val="es-ES"/>
        </w:rPr>
        <w:t>Gudiel Álvarez et al. (Diario Militar) v. Guatemala</w:t>
      </w:r>
      <w:r w:rsidRPr="00622233">
        <w:rPr>
          <w:lang w:val="es-ES"/>
        </w:rPr>
        <w:t xml:space="preserve">, </w:t>
      </w:r>
      <w:r w:rsidRPr="00622233">
        <w:rPr>
          <w:i/>
          <w:lang w:val="es-ES"/>
        </w:rPr>
        <w:t>supra</w:t>
      </w:r>
      <w:r w:rsidRPr="00622233">
        <w:rPr>
          <w:lang w:val="es-ES"/>
        </w:rPr>
        <w:t xml:space="preserve"> note 41, §§ 326-330; </w:t>
      </w:r>
      <w:r w:rsidRPr="00622233">
        <w:rPr>
          <w:i/>
          <w:lang w:val="es-ES"/>
        </w:rPr>
        <w:t>Massacres of El Mozote and nearby places v. El Salvador</w:t>
      </w:r>
      <w:r w:rsidRPr="00622233">
        <w:rPr>
          <w:lang w:val="es-ES"/>
        </w:rPr>
        <w:t xml:space="preserve">, IACtHR, 25 October 2012, § 317; </w:t>
      </w:r>
      <w:r w:rsidRPr="00622233">
        <w:rPr>
          <w:i/>
          <w:lang w:val="es-ES"/>
        </w:rPr>
        <w:t>Myrna Mack Chang v. Guatemala</w:t>
      </w:r>
      <w:r w:rsidRPr="00622233">
        <w:rPr>
          <w:lang w:val="es-ES"/>
        </w:rPr>
        <w:t>, IACtHR, 25 November 2003, § 277.</w:t>
      </w:r>
    </w:p>
  </w:footnote>
  <w:footnote w:id="44">
    <w:p w:rsidR="00AE5D86" w:rsidRPr="00622233" w:rsidRDefault="00AE5D86" w:rsidP="00CC44D9">
      <w:pPr>
        <w:pStyle w:val="FootnoteText"/>
        <w:ind w:left="142" w:hanging="142"/>
        <w:jc w:val="left"/>
        <w:rPr>
          <w:lang w:val="es-ES"/>
        </w:rPr>
      </w:pPr>
      <w:r w:rsidRPr="00FE71F5">
        <w:rPr>
          <w:rStyle w:val="FootnoteReference"/>
        </w:rPr>
        <w:footnoteRef/>
      </w:r>
      <w:r w:rsidRPr="00622233">
        <w:rPr>
          <w:lang w:val="es-ES"/>
        </w:rPr>
        <w:t xml:space="preserve"> </w:t>
      </w:r>
      <w:r w:rsidRPr="00622233">
        <w:rPr>
          <w:i/>
          <w:lang w:val="es-ES"/>
        </w:rPr>
        <w:t>Baldeón-García v. Perú</w:t>
      </w:r>
      <w:r w:rsidRPr="00622233">
        <w:rPr>
          <w:lang w:val="es-ES"/>
        </w:rPr>
        <w:t xml:space="preserve">, IACtHR, 6 April 2006, § 93; </w:t>
      </w:r>
      <w:r w:rsidRPr="00622233">
        <w:rPr>
          <w:i/>
          <w:lang w:val="es-ES"/>
        </w:rPr>
        <w:t>“Mapiripán Massacre” v. Colombia</w:t>
      </w:r>
      <w:r w:rsidRPr="00622233">
        <w:rPr>
          <w:lang w:val="es-ES"/>
        </w:rPr>
        <w:t xml:space="preserve">, IACtHR, 15 September 2005, § 223; </w:t>
      </w:r>
      <w:r w:rsidRPr="00622233">
        <w:rPr>
          <w:i/>
          <w:lang w:val="es-ES"/>
        </w:rPr>
        <w:t>Pueblo Bello Massacre v. Colombia</w:t>
      </w:r>
      <w:r w:rsidRPr="00622233">
        <w:rPr>
          <w:lang w:val="es-ES"/>
        </w:rPr>
        <w:t>, IACtHR, 31 January 2006, § 143.</w:t>
      </w:r>
    </w:p>
  </w:footnote>
  <w:footnote w:id="45">
    <w:p w:rsidR="00AE5D86" w:rsidRPr="00622233" w:rsidRDefault="00AE5D86" w:rsidP="00CC44D9">
      <w:pPr>
        <w:pStyle w:val="FootnoteText"/>
        <w:ind w:left="142" w:hanging="142"/>
        <w:jc w:val="left"/>
        <w:rPr>
          <w:lang w:val="es-ES"/>
        </w:rPr>
      </w:pPr>
      <w:r w:rsidRPr="00FE71F5">
        <w:rPr>
          <w:rStyle w:val="FootnoteReference"/>
        </w:rPr>
        <w:footnoteRef/>
      </w:r>
      <w:r w:rsidRPr="00622233">
        <w:rPr>
          <w:lang w:val="es-ES"/>
        </w:rPr>
        <w:t xml:space="preserve"> </w:t>
      </w:r>
      <w:r w:rsidRPr="00622233">
        <w:rPr>
          <w:i/>
          <w:lang w:val="es-ES"/>
        </w:rPr>
        <w:t>Juan Humberto Sánchez v. Honduras</w:t>
      </w:r>
      <w:r w:rsidRPr="00622233">
        <w:rPr>
          <w:lang w:val="es-ES"/>
        </w:rPr>
        <w:t>, IACtHR, 7 June 2003, § 120</w:t>
      </w:r>
      <w:r w:rsidRPr="00622233">
        <w:rPr>
          <w:i/>
          <w:lang w:val="es-ES"/>
        </w:rPr>
        <w:t>.</w:t>
      </w:r>
    </w:p>
  </w:footnote>
  <w:footnote w:id="46">
    <w:p w:rsidR="00AE5D86" w:rsidRPr="00FE71F5" w:rsidRDefault="00AE5D86" w:rsidP="00CC44D9">
      <w:pPr>
        <w:pStyle w:val="FootnoteText"/>
        <w:ind w:left="0" w:firstLine="0"/>
        <w:jc w:val="left"/>
      </w:pPr>
      <w:r w:rsidRPr="00FE71F5">
        <w:rPr>
          <w:rStyle w:val="FootnoteReference"/>
        </w:rPr>
        <w:footnoteRef/>
      </w:r>
      <w:r w:rsidRPr="00FE71F5">
        <w:t xml:space="preserve"> Hypothetical, p. 5, § 27; Hypothetical, p. 6, § 28.</w:t>
      </w:r>
    </w:p>
  </w:footnote>
  <w:footnote w:id="47">
    <w:p w:rsidR="00AE5D86" w:rsidRPr="00FE71F5" w:rsidRDefault="00AE5D86" w:rsidP="007665CF">
      <w:pPr>
        <w:pStyle w:val="FootnoteText"/>
        <w:ind w:left="0" w:firstLine="0"/>
        <w:jc w:val="left"/>
      </w:pPr>
      <w:r w:rsidRPr="00FE71F5">
        <w:rPr>
          <w:rStyle w:val="FootnoteReference"/>
        </w:rPr>
        <w:footnoteRef/>
      </w:r>
      <w:r w:rsidRPr="00FE71F5">
        <w:t xml:space="preserve"> Hypothetical, p. 5, § 27.</w:t>
      </w:r>
    </w:p>
  </w:footnote>
  <w:footnote w:id="48">
    <w:p w:rsidR="00AE5D86" w:rsidRPr="00FE71F5" w:rsidRDefault="00AE5D86" w:rsidP="00CC44D9">
      <w:pPr>
        <w:pStyle w:val="FootnoteText"/>
        <w:ind w:left="0" w:firstLine="0"/>
        <w:jc w:val="left"/>
      </w:pPr>
      <w:r w:rsidRPr="00FE71F5">
        <w:rPr>
          <w:rStyle w:val="FootnoteReference"/>
        </w:rPr>
        <w:footnoteRef/>
      </w:r>
      <w:r w:rsidRPr="00FE71F5">
        <w:t xml:space="preserve"> </w:t>
      </w:r>
      <w:r w:rsidRPr="00FE71F5">
        <w:rPr>
          <w:i/>
        </w:rPr>
        <w:t>Godínez</w:t>
      </w:r>
      <w:r w:rsidRPr="00FE71F5" w:rsidDel="00F4169E">
        <w:rPr>
          <w:i/>
        </w:rPr>
        <w:t xml:space="preserve"> </w:t>
      </w:r>
      <w:r w:rsidRPr="00FE71F5">
        <w:rPr>
          <w:i/>
        </w:rPr>
        <w:t>Cruz v. Honduras</w:t>
      </w:r>
      <w:r w:rsidRPr="00FE71F5">
        <w:t xml:space="preserve">, IACtHR, 20 January 1989, § 69; </w:t>
      </w:r>
      <w:r w:rsidRPr="00FE71F5">
        <w:rPr>
          <w:i/>
        </w:rPr>
        <w:t>Velásquez-Rodriguez v. Honduras</w:t>
      </w:r>
      <w:r w:rsidRPr="00FE71F5">
        <w:t>, IACtHR,</w:t>
      </w:r>
      <w:r w:rsidR="00876033">
        <w:t xml:space="preserve"> 29 July 1988,</w:t>
      </w:r>
      <w:r w:rsidRPr="00FE71F5">
        <w:t xml:space="preserve"> § 66.</w:t>
      </w:r>
    </w:p>
  </w:footnote>
  <w:footnote w:id="49">
    <w:p w:rsidR="00AE5D86" w:rsidRPr="00FE71F5" w:rsidRDefault="00AE5D86" w:rsidP="00CC44D9">
      <w:pPr>
        <w:pStyle w:val="FootnoteText"/>
        <w:ind w:left="0" w:firstLine="0"/>
        <w:jc w:val="left"/>
      </w:pPr>
      <w:r w:rsidRPr="00FE71F5">
        <w:rPr>
          <w:rStyle w:val="FootnoteReference"/>
        </w:rPr>
        <w:footnoteRef/>
      </w:r>
      <w:r w:rsidRPr="00FE71F5">
        <w:t xml:space="preserve"> </w:t>
      </w:r>
      <w:r w:rsidRPr="00FE71F5">
        <w:rPr>
          <w:i/>
        </w:rPr>
        <w:t>Herrera Ulloa v. Costa Rica</w:t>
      </w:r>
      <w:r w:rsidRPr="00FE71F5">
        <w:t xml:space="preserve">, </w:t>
      </w:r>
      <w:r w:rsidRPr="00FE71F5">
        <w:rPr>
          <w:bCs/>
          <w:i/>
        </w:rPr>
        <w:t>supra</w:t>
      </w:r>
      <w:r w:rsidRPr="00FE71F5">
        <w:rPr>
          <w:bCs/>
        </w:rPr>
        <w:t xml:space="preserve"> note 22, </w:t>
      </w:r>
      <w:r w:rsidRPr="00FE71F5">
        <w:t>§ 158.</w:t>
      </w:r>
    </w:p>
  </w:footnote>
  <w:footnote w:id="50">
    <w:p w:rsidR="00AE5D86" w:rsidRPr="00FE71F5" w:rsidRDefault="00AE5D86" w:rsidP="00CC44D9">
      <w:pPr>
        <w:pStyle w:val="FootnoteText"/>
        <w:ind w:left="142" w:hanging="142"/>
        <w:jc w:val="left"/>
      </w:pPr>
      <w:r w:rsidRPr="00FE71F5">
        <w:rPr>
          <w:rStyle w:val="FootnoteReference"/>
        </w:rPr>
        <w:footnoteRef/>
      </w:r>
      <w:r w:rsidRPr="00FE71F5">
        <w:t xml:space="preserve"> </w:t>
      </w:r>
      <w:r w:rsidRPr="00FE71F5">
        <w:rPr>
          <w:i/>
        </w:rPr>
        <w:t xml:space="preserve">Bámaca-Velásquez v. Guatemala, </w:t>
      </w:r>
      <w:r w:rsidRPr="00FE71F5">
        <w:t xml:space="preserve">IACtHR, 25 November 2000, § 191; </w:t>
      </w:r>
      <w:r w:rsidRPr="00FE71F5">
        <w:rPr>
          <w:i/>
        </w:rPr>
        <w:t>Constitutional Court v. Peru</w:t>
      </w:r>
      <w:r w:rsidRPr="00FE71F5">
        <w:t xml:space="preserve">, IACtHR, 31 January 2001, § 90; </w:t>
      </w:r>
      <w:r w:rsidRPr="00FE71F5">
        <w:rPr>
          <w:i/>
        </w:rPr>
        <w:t>Suarez-Rosero v. Ecuador</w:t>
      </w:r>
      <w:r w:rsidRPr="00FE71F5">
        <w:t xml:space="preserve">, IACtHR, 12 November 1997, § 63; </w:t>
      </w:r>
      <w:r w:rsidRPr="00FE71F5">
        <w:rPr>
          <w:i/>
        </w:rPr>
        <w:t>“White Van” Paniagua-Morales et al. v. Guatemala</w:t>
      </w:r>
      <w:r w:rsidRPr="00FE71F5">
        <w:t>, IACtHR, 8 March 1998, § 164.</w:t>
      </w:r>
    </w:p>
  </w:footnote>
  <w:footnote w:id="51">
    <w:p w:rsidR="00AE5D86" w:rsidRPr="00FE71F5" w:rsidRDefault="00AE5D86" w:rsidP="00CC44D9">
      <w:pPr>
        <w:pStyle w:val="FootnoteText"/>
        <w:ind w:left="0" w:firstLine="0"/>
        <w:jc w:val="left"/>
      </w:pPr>
      <w:r w:rsidRPr="00FE71F5">
        <w:rPr>
          <w:rStyle w:val="FootnoteReference"/>
        </w:rPr>
        <w:footnoteRef/>
      </w:r>
      <w:r w:rsidRPr="00FE71F5">
        <w:t xml:space="preserve"> </w:t>
      </w:r>
      <w:r w:rsidRPr="00622233">
        <w:rPr>
          <w:i/>
        </w:rPr>
        <w:t>Suarez-Rosero v. Ecuador</w:t>
      </w:r>
      <w:r w:rsidRPr="00622233">
        <w:t xml:space="preserve">, </w:t>
      </w:r>
      <w:r w:rsidRPr="00FE71F5">
        <w:rPr>
          <w:i/>
        </w:rPr>
        <w:t>supra</w:t>
      </w:r>
      <w:r w:rsidRPr="00FE71F5">
        <w:t xml:space="preserve"> </w:t>
      </w:r>
      <w:r>
        <w:t>note 50,</w:t>
      </w:r>
      <w:r w:rsidRPr="00622233">
        <w:t xml:space="preserve"> </w:t>
      </w:r>
      <w:r w:rsidRPr="00FE71F5">
        <w:t>§ 63.</w:t>
      </w:r>
    </w:p>
  </w:footnote>
  <w:footnote w:id="52">
    <w:p w:rsidR="00AE5D86" w:rsidRPr="00FE71F5" w:rsidRDefault="00AE5D86" w:rsidP="00CC44D9">
      <w:pPr>
        <w:pStyle w:val="FootnoteText"/>
        <w:ind w:left="0" w:firstLine="0"/>
        <w:jc w:val="left"/>
      </w:pPr>
      <w:r w:rsidRPr="00FE71F5">
        <w:rPr>
          <w:rStyle w:val="FootnoteReference"/>
        </w:rPr>
        <w:footnoteRef/>
      </w:r>
      <w:r w:rsidRPr="00FE71F5">
        <w:t xml:space="preserve"> </w:t>
      </w:r>
      <w:r w:rsidRPr="00FE71F5">
        <w:rPr>
          <w:i/>
        </w:rPr>
        <w:t>Godinez Cruz v. Honduras</w:t>
      </w:r>
      <w:r w:rsidRPr="00FE71F5">
        <w:t xml:space="preserve">, </w:t>
      </w:r>
      <w:r w:rsidRPr="00FE71F5">
        <w:rPr>
          <w:i/>
        </w:rPr>
        <w:t>supra</w:t>
      </w:r>
      <w:r w:rsidRPr="00FE71F5">
        <w:t xml:space="preserve"> </w:t>
      </w:r>
      <w:r>
        <w:t>note 48</w:t>
      </w:r>
      <w:r w:rsidRPr="00FE71F5">
        <w:t xml:space="preserve">, § 69; </w:t>
      </w:r>
      <w:r w:rsidRPr="00FE71F5">
        <w:rPr>
          <w:i/>
        </w:rPr>
        <w:t>Velásquez-Rodriguez v. Honduras</w:t>
      </w:r>
      <w:r w:rsidRPr="00FE71F5">
        <w:t xml:space="preserve">, </w:t>
      </w:r>
      <w:r w:rsidRPr="00FE71F5">
        <w:rPr>
          <w:i/>
        </w:rPr>
        <w:t>supra</w:t>
      </w:r>
      <w:r>
        <w:t xml:space="preserve"> note 48</w:t>
      </w:r>
      <w:r w:rsidRPr="00FE71F5">
        <w:t>, § 66.</w:t>
      </w:r>
    </w:p>
  </w:footnote>
  <w:footnote w:id="53">
    <w:p w:rsidR="00AE5D86" w:rsidRPr="00FE71F5" w:rsidRDefault="00AE5D86" w:rsidP="00CC44D9">
      <w:pPr>
        <w:pStyle w:val="FootnoteText"/>
        <w:ind w:left="0" w:firstLine="0"/>
        <w:jc w:val="left"/>
      </w:pPr>
      <w:r w:rsidRPr="00FE71F5">
        <w:rPr>
          <w:rStyle w:val="FootnoteReference"/>
        </w:rPr>
        <w:footnoteRef/>
      </w:r>
      <w:r w:rsidRPr="00FE71F5">
        <w:t xml:space="preserve"> </w:t>
      </w:r>
      <w:r w:rsidRPr="00FE71F5">
        <w:rPr>
          <w:i/>
        </w:rPr>
        <w:t>Godinez Cruz v. Honduras</w:t>
      </w:r>
      <w:r w:rsidRPr="00FE71F5">
        <w:t xml:space="preserve">, </w:t>
      </w:r>
      <w:r w:rsidRPr="00FE71F5">
        <w:rPr>
          <w:i/>
        </w:rPr>
        <w:t>supra</w:t>
      </w:r>
      <w:r>
        <w:t xml:space="preserve"> note 48</w:t>
      </w:r>
      <w:r w:rsidRPr="00FE71F5">
        <w:t>, §§ 70, 71.</w:t>
      </w:r>
    </w:p>
  </w:footnote>
  <w:footnote w:id="54">
    <w:p w:rsidR="00AE5D86" w:rsidRPr="00FE71F5" w:rsidRDefault="00AE5D86" w:rsidP="00CC44D9">
      <w:pPr>
        <w:pStyle w:val="FootnoteText"/>
        <w:ind w:left="0" w:firstLine="0"/>
        <w:jc w:val="left"/>
      </w:pPr>
      <w:r w:rsidRPr="00FE71F5">
        <w:rPr>
          <w:rStyle w:val="FootnoteReference"/>
        </w:rPr>
        <w:footnoteRef/>
      </w:r>
      <w:r w:rsidRPr="00FE71F5">
        <w:t xml:space="preserve"> Hypothetical, p. 6, § 28.</w:t>
      </w:r>
    </w:p>
  </w:footnote>
  <w:footnote w:id="55">
    <w:p w:rsidR="00AE5D86" w:rsidRPr="00FE71F5" w:rsidRDefault="00AE5D86" w:rsidP="00CC44D9">
      <w:pPr>
        <w:pStyle w:val="FootnoteText"/>
        <w:ind w:left="0" w:firstLine="0"/>
        <w:jc w:val="left"/>
      </w:pPr>
      <w:r w:rsidRPr="00FE71F5">
        <w:rPr>
          <w:rStyle w:val="FootnoteReference"/>
        </w:rPr>
        <w:footnoteRef/>
      </w:r>
      <w:r w:rsidRPr="00FE71F5">
        <w:t xml:space="preserve"> </w:t>
      </w:r>
      <w:r w:rsidRPr="00FE71F5">
        <w:rPr>
          <w:i/>
        </w:rPr>
        <w:t>Velásquez-Rodríguez v. Honduras, supra</w:t>
      </w:r>
      <w:r>
        <w:t xml:space="preserve"> note 48</w:t>
      </w:r>
      <w:r w:rsidRPr="00FE71F5">
        <w:t>, § 67.</w:t>
      </w:r>
    </w:p>
  </w:footnote>
  <w:footnote w:id="56">
    <w:p w:rsidR="00AE5D86" w:rsidRPr="00FE71F5" w:rsidRDefault="00AE5D86" w:rsidP="00CC44D9">
      <w:pPr>
        <w:pStyle w:val="FootnoteText"/>
        <w:ind w:left="0" w:firstLine="0"/>
        <w:jc w:val="left"/>
      </w:pPr>
      <w:r w:rsidRPr="00FE71F5">
        <w:rPr>
          <w:rStyle w:val="FootnoteReference"/>
        </w:rPr>
        <w:footnoteRef/>
      </w:r>
      <w:r w:rsidRPr="00FE71F5">
        <w:t xml:space="preserve"> See chapter </w:t>
      </w:r>
      <w:r w:rsidRPr="00FE71F5">
        <w:rPr>
          <w:i/>
        </w:rPr>
        <w:t xml:space="preserve">IV.A.2 </w:t>
      </w:r>
      <w:r w:rsidRPr="00FE71F5">
        <w:t>above, p. 14.</w:t>
      </w:r>
    </w:p>
  </w:footnote>
  <w:footnote w:id="57">
    <w:p w:rsidR="00AE5D86" w:rsidRPr="00FE71F5" w:rsidRDefault="00AE5D86" w:rsidP="00CC44D9">
      <w:pPr>
        <w:pStyle w:val="FootnoteText"/>
        <w:ind w:left="0" w:firstLine="0"/>
        <w:jc w:val="left"/>
      </w:pPr>
      <w:r w:rsidRPr="00FE71F5">
        <w:rPr>
          <w:rStyle w:val="FootnoteReference"/>
        </w:rPr>
        <w:footnoteRef/>
      </w:r>
      <w:r w:rsidRPr="00FE71F5">
        <w:t xml:space="preserve"> Hypothetical, p. 6, § 29.</w:t>
      </w:r>
    </w:p>
  </w:footnote>
  <w:footnote w:id="58">
    <w:p w:rsidR="00AE5D86" w:rsidRPr="00FE71F5" w:rsidRDefault="00AE5D86" w:rsidP="00CC44D9">
      <w:pPr>
        <w:pStyle w:val="FootnoteText"/>
        <w:ind w:left="0" w:firstLine="0"/>
        <w:jc w:val="left"/>
      </w:pPr>
      <w:r w:rsidRPr="00FE71F5">
        <w:rPr>
          <w:rStyle w:val="FootnoteReference"/>
        </w:rPr>
        <w:footnoteRef/>
      </w:r>
      <w:r w:rsidRPr="00FE71F5">
        <w:t xml:space="preserve"> Hypothetical, p. 4, § 17.</w:t>
      </w:r>
    </w:p>
  </w:footnote>
  <w:footnote w:id="59">
    <w:p w:rsidR="00AE5D86" w:rsidRPr="00622233" w:rsidRDefault="00AE5D86" w:rsidP="00CC44D9">
      <w:pPr>
        <w:pStyle w:val="FootnoteText"/>
        <w:ind w:left="0" w:firstLine="0"/>
        <w:jc w:val="left"/>
        <w:rPr>
          <w:lang w:val="pt-BR"/>
        </w:rPr>
      </w:pPr>
      <w:r w:rsidRPr="00FE71F5">
        <w:rPr>
          <w:rStyle w:val="FootnoteReference"/>
        </w:rPr>
        <w:footnoteRef/>
      </w:r>
      <w:r w:rsidRPr="00622233">
        <w:rPr>
          <w:lang w:val="pt-BR"/>
        </w:rPr>
        <w:t xml:space="preserve"> </w:t>
      </w:r>
      <w:r w:rsidRPr="00622233">
        <w:rPr>
          <w:i/>
          <w:lang w:val="pt-BR"/>
        </w:rPr>
        <w:t>Neira-Alegría et al. v. Peru</w:t>
      </w:r>
      <w:r w:rsidRPr="00622233">
        <w:rPr>
          <w:lang w:val="pt-BR"/>
        </w:rPr>
        <w:t>, IACtHR, 19 January 1995, § 86.</w:t>
      </w:r>
    </w:p>
  </w:footnote>
  <w:footnote w:id="60">
    <w:p w:rsidR="00AE5D86" w:rsidRPr="00622233" w:rsidRDefault="00AE5D86" w:rsidP="00CC44D9">
      <w:pPr>
        <w:pStyle w:val="FootnoteText"/>
        <w:ind w:left="142" w:hanging="142"/>
        <w:jc w:val="left"/>
        <w:rPr>
          <w:lang w:val="pt-BR"/>
        </w:rPr>
      </w:pPr>
      <w:r w:rsidRPr="00FE71F5">
        <w:rPr>
          <w:rStyle w:val="FootnoteReference"/>
        </w:rPr>
        <w:footnoteRef/>
      </w:r>
      <w:r w:rsidRPr="00622233">
        <w:rPr>
          <w:lang w:val="pt-BR"/>
        </w:rPr>
        <w:t xml:space="preserve"> </w:t>
      </w:r>
      <w:r w:rsidRPr="00622233">
        <w:rPr>
          <w:i/>
          <w:lang w:val="pt-BR"/>
        </w:rPr>
        <w:t>Cantoral-Huamaní and García-Santa Cruz v. Peru</w:t>
      </w:r>
      <w:r w:rsidRPr="00622233">
        <w:rPr>
          <w:lang w:val="pt-BR"/>
        </w:rPr>
        <w:t xml:space="preserve">, IACtHR, 10 July 2007, § 141; </w:t>
      </w:r>
      <w:r w:rsidRPr="00622233">
        <w:rPr>
          <w:i/>
          <w:lang w:val="pt-BR"/>
        </w:rPr>
        <w:t>Huilca-Tecse v. Peru</w:t>
      </w:r>
      <w:r w:rsidRPr="00622233">
        <w:rPr>
          <w:lang w:val="pt-BR"/>
        </w:rPr>
        <w:t xml:space="preserve">, IACtHR, 3 March 2005, § 76; </w:t>
      </w:r>
      <w:r w:rsidRPr="00622233">
        <w:rPr>
          <w:i/>
          <w:lang w:val="pt-BR"/>
        </w:rPr>
        <w:t>Kawas-Fernández v. Honduras</w:t>
      </w:r>
      <w:r w:rsidRPr="00622233">
        <w:rPr>
          <w:lang w:val="pt-BR"/>
        </w:rPr>
        <w:t>, IACtHR, 3 April 2009, § 144.</w:t>
      </w:r>
    </w:p>
  </w:footnote>
  <w:footnote w:id="61">
    <w:p w:rsidR="00AE5D86" w:rsidRPr="00FE71F5" w:rsidRDefault="00AE5D86" w:rsidP="00CC44D9">
      <w:pPr>
        <w:pStyle w:val="FootnoteText"/>
        <w:ind w:left="0" w:firstLine="0"/>
        <w:jc w:val="left"/>
      </w:pPr>
      <w:r w:rsidRPr="00FE71F5">
        <w:rPr>
          <w:rStyle w:val="FootnoteReference"/>
        </w:rPr>
        <w:footnoteRef/>
      </w:r>
      <w:r w:rsidRPr="00FE71F5">
        <w:t xml:space="preserve"> Hypothetical, p. 4, § 17.</w:t>
      </w:r>
    </w:p>
  </w:footnote>
  <w:footnote w:id="62">
    <w:p w:rsidR="00AE5D86" w:rsidRPr="00FE71F5" w:rsidRDefault="00AE5D86" w:rsidP="00CC44D9">
      <w:pPr>
        <w:pStyle w:val="FootnoteText"/>
        <w:ind w:left="0" w:firstLine="0"/>
        <w:jc w:val="left"/>
      </w:pPr>
      <w:r w:rsidRPr="00FE71F5">
        <w:rPr>
          <w:rStyle w:val="FootnoteReference"/>
        </w:rPr>
        <w:footnoteRef/>
      </w:r>
      <w:r w:rsidRPr="00FE71F5">
        <w:t xml:space="preserve"> Hypothetical, p. 5, § 23.</w:t>
      </w:r>
    </w:p>
  </w:footnote>
  <w:footnote w:id="63">
    <w:p w:rsidR="00AE5D86" w:rsidRPr="00FE71F5" w:rsidRDefault="00AE5D86" w:rsidP="00CC44D9">
      <w:pPr>
        <w:pStyle w:val="FootnoteText"/>
        <w:ind w:left="0" w:firstLine="0"/>
        <w:jc w:val="left"/>
      </w:pPr>
      <w:r w:rsidRPr="00FE71F5">
        <w:rPr>
          <w:rStyle w:val="FootnoteReference"/>
        </w:rPr>
        <w:footnoteRef/>
      </w:r>
      <w:r w:rsidRPr="00FE71F5">
        <w:t xml:space="preserve"> D. </w:t>
      </w:r>
      <w:r w:rsidRPr="00FE71F5">
        <w:rPr>
          <w:bCs/>
        </w:rPr>
        <w:t>Harris and S. Livingstone,</w:t>
      </w:r>
      <w:r w:rsidRPr="00FE71F5">
        <w:rPr>
          <w:bCs/>
          <w:i/>
        </w:rPr>
        <w:t xml:space="preserve"> supra</w:t>
      </w:r>
      <w:r w:rsidRPr="00FE71F5">
        <w:rPr>
          <w:bCs/>
        </w:rPr>
        <w:t xml:space="preserve"> note 32, p. 271.</w:t>
      </w:r>
    </w:p>
  </w:footnote>
  <w:footnote w:id="64">
    <w:p w:rsidR="00AE5D86" w:rsidRPr="00FE71F5" w:rsidRDefault="00AE5D86" w:rsidP="00CC44D9">
      <w:pPr>
        <w:pStyle w:val="FootnoteText"/>
        <w:ind w:left="142" w:hanging="142"/>
        <w:jc w:val="left"/>
      </w:pPr>
      <w:r w:rsidRPr="00FE71F5">
        <w:rPr>
          <w:rStyle w:val="FootnoteReference"/>
        </w:rPr>
        <w:footnoteRef/>
      </w:r>
      <w:r w:rsidRPr="00FE71F5">
        <w:t xml:space="preserve"> </w:t>
      </w:r>
      <w:r w:rsidRPr="00FE71F5">
        <w:rPr>
          <w:i/>
        </w:rPr>
        <w:t>Gudiel Álvarez et al. (Diario Militar) v. Guatemala</w:t>
      </w:r>
      <w:r w:rsidRPr="00FE71F5">
        <w:t xml:space="preserve">, </w:t>
      </w:r>
      <w:r w:rsidRPr="00FE71F5">
        <w:rPr>
          <w:i/>
        </w:rPr>
        <w:t>supra</w:t>
      </w:r>
      <w:r w:rsidRPr="00FE71F5">
        <w:t xml:space="preserve"> note 41, § 312; </w:t>
      </w:r>
      <w:r w:rsidRPr="00FE71F5">
        <w:rPr>
          <w:i/>
        </w:rPr>
        <w:t>Pacheco Tineo Family v. Plurinational State of Bolivia</w:t>
      </w:r>
      <w:r w:rsidRPr="00FE71F5">
        <w:t>, IACtHR, 25 November 2003, § 226.</w:t>
      </w:r>
    </w:p>
  </w:footnote>
  <w:footnote w:id="65">
    <w:p w:rsidR="00AE5D86" w:rsidRPr="00FE71F5" w:rsidRDefault="00AE5D86" w:rsidP="00CC44D9">
      <w:pPr>
        <w:pStyle w:val="FootnoteText"/>
        <w:ind w:left="142" w:hanging="142"/>
        <w:jc w:val="left"/>
      </w:pPr>
      <w:r w:rsidRPr="00FE71F5">
        <w:rPr>
          <w:rStyle w:val="FootnoteReference"/>
        </w:rPr>
        <w:footnoteRef/>
      </w:r>
      <w:r w:rsidRPr="00FE71F5">
        <w:t xml:space="preserve"> </w:t>
      </w:r>
      <w:r w:rsidRPr="00FE71F5">
        <w:rPr>
          <w:i/>
        </w:rPr>
        <w:t>Expelled Dominicans and Haitians v. Dominican Republic</w:t>
      </w:r>
      <w:r w:rsidRPr="00FE71F5">
        <w:t xml:space="preserve">, IACtHR, 28 August 2014, § 414; Juridical Condition and Human Rights of the Child (Advisory Opinion OC-17/02), IACtHR, 28 August 2002, § 47; </w:t>
      </w:r>
      <w:r w:rsidRPr="00FE71F5">
        <w:rPr>
          <w:i/>
        </w:rPr>
        <w:t>“Las Dos Erres” Massacre v. Guatemala,</w:t>
      </w:r>
      <w:r w:rsidRPr="00FE71F5">
        <w:t xml:space="preserve"> IACtHR, 24 November 2009, § 189; </w:t>
      </w:r>
      <w:r w:rsidRPr="00FE71F5">
        <w:rPr>
          <w:i/>
        </w:rPr>
        <w:t>Norín Catrimán et al. (Leaders, Members and Activist of the Mapuche Indigenous People) v. Chile</w:t>
      </w:r>
      <w:r w:rsidRPr="00FE71F5">
        <w:t>, IACtHR, 29 May 2014, § 404.</w:t>
      </w:r>
    </w:p>
  </w:footnote>
  <w:footnote w:id="66">
    <w:p w:rsidR="00AE5D86" w:rsidRPr="00FE71F5" w:rsidRDefault="00AE5D86" w:rsidP="00CC44D9">
      <w:pPr>
        <w:pStyle w:val="FootnoteText"/>
        <w:ind w:left="142" w:hanging="142"/>
        <w:jc w:val="left"/>
      </w:pPr>
      <w:r w:rsidRPr="00FE71F5">
        <w:rPr>
          <w:rStyle w:val="FootnoteReference"/>
        </w:rPr>
        <w:footnoteRef/>
      </w:r>
      <w:r w:rsidRPr="00FE71F5">
        <w:t xml:space="preserve"> </w:t>
      </w:r>
      <w:r w:rsidRPr="00FE71F5">
        <w:rPr>
          <w:i/>
        </w:rPr>
        <w:t>Chitay Nech et al. v. Guatemala</w:t>
      </w:r>
      <w:r w:rsidRPr="00FE71F5">
        <w:t xml:space="preserve">, IACtHR, 25 May 2010, § 157; </w:t>
      </w:r>
      <w:r w:rsidRPr="00FE71F5">
        <w:rPr>
          <w:i/>
        </w:rPr>
        <w:t xml:space="preserve">Expelled Dominicans and Haitians v. Dominican Republic, supra </w:t>
      </w:r>
      <w:r w:rsidRPr="00FE71F5">
        <w:t>note</w:t>
      </w:r>
      <w:r>
        <w:t xml:space="preserve"> 65</w:t>
      </w:r>
      <w:r w:rsidRPr="00FE71F5">
        <w:t xml:space="preserve">, § 414; Juridical Condition and Human Rights of the Child (Advisory Opinion OC-17/02), </w:t>
      </w:r>
      <w:r w:rsidRPr="00FE71F5">
        <w:rPr>
          <w:i/>
        </w:rPr>
        <w:t xml:space="preserve">supra </w:t>
      </w:r>
      <w:r w:rsidRPr="00FE71F5">
        <w:t>note 67, § 71.</w:t>
      </w:r>
    </w:p>
  </w:footnote>
  <w:footnote w:id="67">
    <w:p w:rsidR="00AE5D86" w:rsidRPr="00FE71F5" w:rsidRDefault="00AE5D86" w:rsidP="00CC44D9">
      <w:pPr>
        <w:pStyle w:val="FootnoteText"/>
        <w:ind w:left="0" w:firstLine="0"/>
        <w:jc w:val="left"/>
      </w:pPr>
      <w:r w:rsidRPr="00FE71F5">
        <w:rPr>
          <w:rStyle w:val="FootnoteReference"/>
        </w:rPr>
        <w:footnoteRef/>
      </w:r>
      <w:r w:rsidRPr="00FE71F5">
        <w:t xml:space="preserve"> </w:t>
      </w:r>
      <w:r w:rsidRPr="00FE71F5">
        <w:rPr>
          <w:i/>
        </w:rPr>
        <w:t xml:space="preserve">Expelled Dominicans and Haitians v. Dominican Republic, supra </w:t>
      </w:r>
      <w:r>
        <w:t>note 65</w:t>
      </w:r>
      <w:r w:rsidRPr="00FE71F5">
        <w:t>, § 418.</w:t>
      </w:r>
    </w:p>
  </w:footnote>
  <w:footnote w:id="68">
    <w:p w:rsidR="00AE5D86" w:rsidRPr="00FE71F5" w:rsidRDefault="00AE5D86" w:rsidP="00CC44D9">
      <w:pPr>
        <w:pStyle w:val="FootnoteText"/>
        <w:ind w:left="0" w:firstLine="0"/>
        <w:jc w:val="left"/>
      </w:pPr>
      <w:r w:rsidRPr="00FE71F5">
        <w:rPr>
          <w:rStyle w:val="FootnoteReference"/>
        </w:rPr>
        <w:footnoteRef/>
      </w:r>
      <w:r w:rsidRPr="00FE71F5">
        <w:t xml:space="preserve"> Hypothetical, p. 4, § 17.</w:t>
      </w:r>
    </w:p>
  </w:footnote>
  <w:footnote w:id="69">
    <w:p w:rsidR="00AE5D86" w:rsidRPr="00FE71F5" w:rsidRDefault="00AE5D86" w:rsidP="00CC44D9">
      <w:pPr>
        <w:pStyle w:val="FootnoteText"/>
        <w:ind w:left="0" w:firstLine="0"/>
        <w:jc w:val="left"/>
      </w:pPr>
      <w:r w:rsidRPr="00FE71F5">
        <w:rPr>
          <w:rStyle w:val="FootnoteReference"/>
        </w:rPr>
        <w:footnoteRef/>
      </w:r>
      <w:r w:rsidRPr="00FE71F5">
        <w:t xml:space="preserve"> Clarification Question, no. 34.</w:t>
      </w:r>
    </w:p>
  </w:footnote>
  <w:footnote w:id="70">
    <w:p w:rsidR="00AE5D86" w:rsidRPr="00FE71F5" w:rsidRDefault="00AE5D86" w:rsidP="00CC44D9">
      <w:pPr>
        <w:pStyle w:val="FootnoteText"/>
        <w:ind w:left="0" w:firstLine="0"/>
        <w:jc w:val="left"/>
      </w:pPr>
      <w:r w:rsidRPr="00FE71F5">
        <w:rPr>
          <w:rStyle w:val="FootnoteReference"/>
        </w:rPr>
        <w:footnoteRef/>
      </w:r>
      <w:r w:rsidRPr="00FE71F5">
        <w:t xml:space="preserve"> Hypothetical, p. 4, § 17.</w:t>
      </w:r>
    </w:p>
  </w:footnote>
  <w:footnote w:id="71">
    <w:p w:rsidR="00AE5D86" w:rsidRPr="00FE71F5" w:rsidRDefault="00AE5D86" w:rsidP="00CC44D9">
      <w:pPr>
        <w:pStyle w:val="FootnoteText"/>
        <w:ind w:left="142" w:hanging="142"/>
        <w:jc w:val="left"/>
      </w:pPr>
      <w:r w:rsidRPr="00FE71F5">
        <w:rPr>
          <w:rStyle w:val="FootnoteReference"/>
        </w:rPr>
        <w:footnoteRef/>
      </w:r>
      <w:r w:rsidRPr="00FE71F5">
        <w:t xml:space="preserve"> </w:t>
      </w:r>
      <w:r w:rsidRPr="00FE71F5">
        <w:rPr>
          <w:i/>
        </w:rPr>
        <w:t>Albán-Cornejo et al. v. Ecuador</w:t>
      </w:r>
      <w:r w:rsidRPr="00FE71F5">
        <w:t xml:space="preserve">, IACtHR, 22 November 2007, § 46; </w:t>
      </w:r>
      <w:r w:rsidRPr="00FE71F5">
        <w:rPr>
          <w:i/>
        </w:rPr>
        <w:t>Cantoral-Huamaní and García-Santa Cruz v. Peru</w:t>
      </w:r>
      <w:r w:rsidRPr="00FE71F5">
        <w:t xml:space="preserve">, </w:t>
      </w:r>
      <w:r w:rsidRPr="00FE71F5">
        <w:rPr>
          <w:i/>
        </w:rPr>
        <w:t>supra</w:t>
      </w:r>
      <w:r w:rsidRPr="00FE71F5">
        <w:t xml:space="preserve"> note </w:t>
      </w:r>
      <w:r>
        <w:t>60</w:t>
      </w:r>
      <w:r w:rsidRPr="00FE71F5">
        <w:t xml:space="preserve">, § 112; </w:t>
      </w:r>
      <w:r w:rsidRPr="00FE71F5">
        <w:rPr>
          <w:i/>
        </w:rPr>
        <w:t>Heliodoro Portugal v. Panama</w:t>
      </w:r>
      <w:r w:rsidRPr="00FE71F5">
        <w:t xml:space="preserve">, IACtHR, 12 August 2008, § 163; </w:t>
      </w:r>
      <w:r w:rsidRPr="00FE71F5">
        <w:rPr>
          <w:i/>
        </w:rPr>
        <w:t>Goiburú et al. v. Paraguay</w:t>
      </w:r>
      <w:r w:rsidRPr="00FE71F5">
        <w:t>, IACtHR, 22 September 2006, §§ 96, 97.</w:t>
      </w:r>
    </w:p>
  </w:footnote>
  <w:footnote w:id="72">
    <w:p w:rsidR="00AE5D86" w:rsidRPr="00FE71F5" w:rsidRDefault="00AE5D86" w:rsidP="00CC44D9">
      <w:pPr>
        <w:pStyle w:val="FootnoteText"/>
        <w:ind w:left="142" w:hanging="142"/>
        <w:jc w:val="left"/>
      </w:pPr>
      <w:r w:rsidRPr="00FE71F5">
        <w:rPr>
          <w:rStyle w:val="FootnoteReference"/>
        </w:rPr>
        <w:footnoteRef/>
      </w:r>
      <w:r w:rsidRPr="00FE71F5">
        <w:t xml:space="preserve"> </w:t>
      </w:r>
      <w:r w:rsidRPr="00FE71F5">
        <w:rPr>
          <w:i/>
        </w:rPr>
        <w:t>Blake v. Guatemala</w:t>
      </w:r>
      <w:r w:rsidRPr="00FE71F5">
        <w:t xml:space="preserve">, IACtHR, 24 January 1998, §§ 113, 114; </w:t>
      </w:r>
      <w:r w:rsidRPr="00FE71F5">
        <w:rPr>
          <w:i/>
        </w:rPr>
        <w:t>Gómez-Palomino v. Peru</w:t>
      </w:r>
      <w:r w:rsidRPr="00FE71F5">
        <w:t xml:space="preserve">, IACtHR, 22 November 2005, § 61; </w:t>
      </w:r>
      <w:r w:rsidRPr="00FE71F5">
        <w:rPr>
          <w:i/>
        </w:rPr>
        <w:t>“Mapiripán Massacre” v. Colombia</w:t>
      </w:r>
      <w:r w:rsidRPr="00FE71F5">
        <w:t xml:space="preserve">, </w:t>
      </w:r>
      <w:r w:rsidRPr="00FE71F5">
        <w:rPr>
          <w:i/>
        </w:rPr>
        <w:t>supra</w:t>
      </w:r>
      <w:r w:rsidRPr="00FE71F5">
        <w:t xml:space="preserve"> note 44, §§ 144, 146.</w:t>
      </w:r>
    </w:p>
  </w:footnote>
  <w:footnote w:id="73">
    <w:p w:rsidR="00AE5D86" w:rsidRPr="00FE71F5" w:rsidRDefault="00AE5D86" w:rsidP="00CC44D9">
      <w:pPr>
        <w:pStyle w:val="FootnoteText"/>
        <w:ind w:left="0" w:firstLine="0"/>
        <w:jc w:val="left"/>
      </w:pPr>
      <w:r w:rsidRPr="00FE71F5">
        <w:rPr>
          <w:rStyle w:val="FootnoteReference"/>
        </w:rPr>
        <w:footnoteRef/>
      </w:r>
      <w:r w:rsidRPr="00FE71F5">
        <w:t xml:space="preserve"> </w:t>
      </w:r>
      <w:r w:rsidRPr="00FE71F5">
        <w:rPr>
          <w:i/>
        </w:rPr>
        <w:t>Juan Humberto Sánchez v. Honduras</w:t>
      </w:r>
      <w:r w:rsidRPr="00FE71F5">
        <w:t xml:space="preserve">, </w:t>
      </w:r>
      <w:r w:rsidRPr="00FE71F5">
        <w:rPr>
          <w:i/>
        </w:rPr>
        <w:t>supra</w:t>
      </w:r>
      <w:r w:rsidRPr="00FE71F5">
        <w:t xml:space="preserve"> note 45, § 186; see also chapter </w:t>
      </w:r>
      <w:r w:rsidRPr="00FE71F5">
        <w:rPr>
          <w:i/>
        </w:rPr>
        <w:t xml:space="preserve">IV.B.1.a) </w:t>
      </w:r>
      <w:r w:rsidRPr="00FE71F5">
        <w:t>above</w:t>
      </w:r>
    </w:p>
  </w:footnote>
  <w:footnote w:id="74">
    <w:p w:rsidR="00AE5D86" w:rsidRPr="00622233" w:rsidRDefault="00AE5D86" w:rsidP="00CC44D9">
      <w:pPr>
        <w:pStyle w:val="FootnoteText"/>
        <w:ind w:left="0" w:firstLine="0"/>
        <w:jc w:val="left"/>
        <w:rPr>
          <w:lang w:val="es-ES"/>
        </w:rPr>
      </w:pPr>
      <w:r w:rsidRPr="00FE71F5">
        <w:rPr>
          <w:rStyle w:val="FootnoteReference"/>
        </w:rPr>
        <w:footnoteRef/>
      </w:r>
      <w:r w:rsidRPr="00622233">
        <w:rPr>
          <w:lang w:val="es-ES"/>
        </w:rPr>
        <w:t xml:space="preserve"> </w:t>
      </w:r>
      <w:r w:rsidRPr="00622233">
        <w:rPr>
          <w:i/>
          <w:lang w:val="es-ES"/>
        </w:rPr>
        <w:t>Blake v. Guatemala</w:t>
      </w:r>
      <w:r w:rsidRPr="00622233">
        <w:rPr>
          <w:lang w:val="es-ES"/>
        </w:rPr>
        <w:t xml:space="preserve">, IACtHR, </w:t>
      </w:r>
      <w:r w:rsidRPr="00622233">
        <w:rPr>
          <w:i/>
          <w:lang w:val="es-ES"/>
        </w:rPr>
        <w:t xml:space="preserve">supra </w:t>
      </w:r>
      <w:r w:rsidRPr="00622233">
        <w:rPr>
          <w:lang w:val="es-ES"/>
        </w:rPr>
        <w:t>note 72, § 114.</w:t>
      </w:r>
    </w:p>
  </w:footnote>
  <w:footnote w:id="75">
    <w:p w:rsidR="00AE5D86" w:rsidRPr="00622233" w:rsidRDefault="00AE5D86" w:rsidP="00CC44D9">
      <w:pPr>
        <w:pStyle w:val="FootnoteText"/>
        <w:ind w:left="0" w:firstLine="0"/>
        <w:jc w:val="left"/>
        <w:rPr>
          <w:lang w:val="es-ES"/>
        </w:rPr>
      </w:pPr>
      <w:r w:rsidRPr="00FE71F5">
        <w:rPr>
          <w:rStyle w:val="FootnoteReference"/>
        </w:rPr>
        <w:footnoteRef/>
      </w:r>
      <w:r w:rsidRPr="00622233">
        <w:rPr>
          <w:lang w:val="es-ES"/>
        </w:rPr>
        <w:t xml:space="preserve"> Hypothetical, p. 7, § 32.</w:t>
      </w:r>
    </w:p>
  </w:footnote>
  <w:footnote w:id="76">
    <w:p w:rsidR="00AE5D86" w:rsidRPr="00622233" w:rsidRDefault="00AE5D86" w:rsidP="009E4814">
      <w:pPr>
        <w:pStyle w:val="FootnoteText"/>
        <w:jc w:val="left"/>
        <w:rPr>
          <w:lang w:val="es-ES"/>
        </w:rPr>
      </w:pPr>
      <w:r w:rsidRPr="00FE71F5">
        <w:rPr>
          <w:rStyle w:val="FootnoteReference"/>
        </w:rPr>
        <w:footnoteRef/>
      </w:r>
      <w:r w:rsidRPr="00622233">
        <w:rPr>
          <w:lang w:val="es-ES"/>
        </w:rPr>
        <w:t xml:space="preserve"> Hypothetical, p. 8, § 38.</w:t>
      </w:r>
    </w:p>
  </w:footnote>
  <w:footnote w:id="77">
    <w:p w:rsidR="00AE5D86" w:rsidRPr="00622233" w:rsidRDefault="00AE5D86" w:rsidP="009E4814">
      <w:pPr>
        <w:pStyle w:val="FootnoteText"/>
        <w:jc w:val="left"/>
        <w:rPr>
          <w:lang w:val="es-ES"/>
        </w:rPr>
      </w:pPr>
      <w:r w:rsidRPr="00FE71F5">
        <w:rPr>
          <w:rStyle w:val="FootnoteReference"/>
        </w:rPr>
        <w:footnoteRef/>
      </w:r>
      <w:r w:rsidRPr="00622233">
        <w:rPr>
          <w:lang w:val="es-ES"/>
        </w:rPr>
        <w:t xml:space="preserve"> </w:t>
      </w:r>
      <w:r w:rsidRPr="00622233">
        <w:rPr>
          <w:bCs/>
          <w:i/>
          <w:lang w:val="es-ES"/>
        </w:rPr>
        <w:t xml:space="preserve">Acosta-Calderón </w:t>
      </w:r>
      <w:r w:rsidRPr="00622233">
        <w:rPr>
          <w:bCs/>
          <w:i/>
          <w:iCs/>
          <w:lang w:val="es-ES"/>
        </w:rPr>
        <w:t xml:space="preserve">v. </w:t>
      </w:r>
      <w:r w:rsidRPr="00622233">
        <w:rPr>
          <w:bCs/>
          <w:i/>
          <w:lang w:val="es-ES"/>
        </w:rPr>
        <w:t>Ecuador</w:t>
      </w:r>
      <w:r w:rsidRPr="00622233">
        <w:rPr>
          <w:bCs/>
          <w:lang w:val="es-ES"/>
        </w:rPr>
        <w:t xml:space="preserve">, IACtHR, 24 June 2005, § 141; </w:t>
      </w:r>
      <w:r w:rsidRPr="00622233">
        <w:rPr>
          <w:bCs/>
          <w:iCs/>
          <w:lang w:val="es-ES"/>
        </w:rPr>
        <w:t>U.N., Report No. 13, December 2013, § 27.</w:t>
      </w:r>
    </w:p>
  </w:footnote>
  <w:footnote w:id="78">
    <w:p w:rsidR="00AE5D86" w:rsidRPr="00FE71F5" w:rsidRDefault="00AE5D86" w:rsidP="009E4814">
      <w:pPr>
        <w:pStyle w:val="FootnoteText"/>
        <w:jc w:val="left"/>
        <w:rPr>
          <w:bCs/>
          <w:iCs/>
        </w:rPr>
      </w:pPr>
      <w:r w:rsidRPr="00FE71F5">
        <w:rPr>
          <w:rStyle w:val="FootnoteReference"/>
        </w:rPr>
        <w:footnoteRef/>
      </w:r>
      <w:r w:rsidRPr="00FE71F5">
        <w:t xml:space="preserve"> </w:t>
      </w:r>
      <w:r w:rsidRPr="00FE71F5">
        <w:rPr>
          <w:bCs/>
          <w:iCs/>
        </w:rPr>
        <w:t xml:space="preserve">U.N., </w:t>
      </w:r>
      <w:r w:rsidRPr="00FE71F5">
        <w:rPr>
          <w:bCs/>
          <w:i/>
          <w:iCs/>
        </w:rPr>
        <w:t>supra</w:t>
      </w:r>
      <w:r>
        <w:rPr>
          <w:bCs/>
          <w:iCs/>
        </w:rPr>
        <w:t xml:space="preserve"> note 77</w:t>
      </w:r>
      <w:r w:rsidRPr="00FE71F5">
        <w:rPr>
          <w:bCs/>
          <w:iCs/>
        </w:rPr>
        <w:t>, § 28.</w:t>
      </w:r>
    </w:p>
  </w:footnote>
  <w:footnote w:id="79">
    <w:p w:rsidR="00AE5D86" w:rsidRPr="00FE71F5" w:rsidRDefault="00AE5D86" w:rsidP="009E4814">
      <w:pPr>
        <w:pStyle w:val="FootnoteText"/>
        <w:jc w:val="left"/>
      </w:pPr>
      <w:r w:rsidRPr="00FE71F5">
        <w:rPr>
          <w:rStyle w:val="FootnoteReference"/>
        </w:rPr>
        <w:footnoteRef/>
      </w:r>
      <w:r w:rsidRPr="00FE71F5">
        <w:t xml:space="preserve"> </w:t>
      </w:r>
      <w:r w:rsidRPr="00FE71F5">
        <w:rPr>
          <w:i/>
          <w:iCs/>
        </w:rPr>
        <w:t>Loayza-Tamayo v. Peru</w:t>
      </w:r>
      <w:r w:rsidRPr="00FE71F5">
        <w:t>, IACtHR, 17 September 2000, § 57.</w:t>
      </w:r>
    </w:p>
  </w:footnote>
  <w:footnote w:id="80">
    <w:p w:rsidR="00AE5D86" w:rsidRPr="00FE71F5" w:rsidRDefault="00AE5D86" w:rsidP="009E4814">
      <w:pPr>
        <w:pStyle w:val="FootnoteText"/>
        <w:jc w:val="left"/>
      </w:pPr>
      <w:r w:rsidRPr="00FE71F5">
        <w:rPr>
          <w:rStyle w:val="FootnoteReference"/>
        </w:rPr>
        <w:footnoteRef/>
      </w:r>
      <w:r w:rsidRPr="00FE71F5">
        <w:t xml:space="preserve"> </w:t>
      </w:r>
      <w:r w:rsidRPr="00FE71F5">
        <w:rPr>
          <w:i/>
        </w:rPr>
        <w:t>Moiwana Community v. Suriname</w:t>
      </w:r>
      <w:r w:rsidRPr="00FE71F5">
        <w:t>, IACtHR, 15 June 2005,</w:t>
      </w:r>
      <w:r w:rsidRPr="00FE71F5">
        <w:rPr>
          <w:i/>
        </w:rPr>
        <w:t xml:space="preserve"> </w:t>
      </w:r>
      <w:r w:rsidRPr="00FE71F5">
        <w:t>§ 94.</w:t>
      </w:r>
    </w:p>
  </w:footnote>
  <w:footnote w:id="81">
    <w:p w:rsidR="00AE5D86" w:rsidRPr="00FE71F5" w:rsidRDefault="00AE5D86" w:rsidP="009E4814">
      <w:pPr>
        <w:pStyle w:val="FootnoteText"/>
        <w:jc w:val="left"/>
        <w:rPr>
          <w:b/>
          <w:bCs/>
        </w:rPr>
      </w:pPr>
      <w:r w:rsidRPr="00FE71F5">
        <w:rPr>
          <w:rStyle w:val="FootnoteReference"/>
        </w:rPr>
        <w:footnoteRef/>
      </w:r>
      <w:r w:rsidRPr="00FE71F5">
        <w:t xml:space="preserve"> </w:t>
      </w:r>
      <w:r w:rsidRPr="00FE71F5">
        <w:rPr>
          <w:i/>
        </w:rPr>
        <w:t>Moiwana Community v. Suriname,</w:t>
      </w:r>
      <w:r w:rsidRPr="00FE71F5">
        <w:t xml:space="preserve"> </w:t>
      </w:r>
      <w:r w:rsidRPr="00FE71F5">
        <w:rPr>
          <w:bCs/>
          <w:i/>
          <w:iCs/>
        </w:rPr>
        <w:t xml:space="preserve">supra </w:t>
      </w:r>
      <w:r>
        <w:rPr>
          <w:bCs/>
          <w:iCs/>
        </w:rPr>
        <w:t>note 80</w:t>
      </w:r>
      <w:r w:rsidRPr="00FE71F5">
        <w:rPr>
          <w:bCs/>
          <w:iCs/>
        </w:rPr>
        <w:t xml:space="preserve">, </w:t>
      </w:r>
      <w:r w:rsidRPr="00FE71F5">
        <w:t xml:space="preserve">§ 195; </w:t>
      </w:r>
      <w:r w:rsidRPr="00FE71F5">
        <w:rPr>
          <w:i/>
        </w:rPr>
        <w:t>Saramaka People v. Suriname,</w:t>
      </w:r>
      <w:r w:rsidRPr="00FE71F5">
        <w:t xml:space="preserve"> </w:t>
      </w:r>
      <w:r w:rsidRPr="00FE71F5">
        <w:rPr>
          <w:bCs/>
          <w:i/>
        </w:rPr>
        <w:t>supra</w:t>
      </w:r>
      <w:r w:rsidRPr="00FE71F5">
        <w:rPr>
          <w:bCs/>
        </w:rPr>
        <w:t xml:space="preserve"> note 38, </w:t>
      </w:r>
      <w:r w:rsidRPr="00FE71F5">
        <w:t>§ 90.</w:t>
      </w:r>
    </w:p>
  </w:footnote>
  <w:footnote w:id="82">
    <w:p w:rsidR="00AE5D86" w:rsidRPr="00FE71F5" w:rsidRDefault="00AE5D86" w:rsidP="009E4814">
      <w:pPr>
        <w:pStyle w:val="FootnoteText"/>
        <w:jc w:val="left"/>
      </w:pPr>
      <w:r w:rsidRPr="00FE71F5">
        <w:rPr>
          <w:rStyle w:val="FootnoteReference"/>
        </w:rPr>
        <w:footnoteRef/>
      </w:r>
      <w:r w:rsidRPr="00FE71F5">
        <w:t xml:space="preserve"> </w:t>
      </w:r>
      <w:r w:rsidRPr="00FE71F5">
        <w:rPr>
          <w:i/>
        </w:rPr>
        <w:t>Moiwana Community v. Suriname,</w:t>
      </w:r>
      <w:r w:rsidRPr="00FE71F5">
        <w:t xml:space="preserve"> </w:t>
      </w:r>
      <w:r w:rsidRPr="00FE71F5">
        <w:rPr>
          <w:bCs/>
          <w:i/>
          <w:iCs/>
        </w:rPr>
        <w:t xml:space="preserve">supra </w:t>
      </w:r>
      <w:r>
        <w:rPr>
          <w:bCs/>
          <w:iCs/>
        </w:rPr>
        <w:t>note 80</w:t>
      </w:r>
      <w:r w:rsidRPr="00FE71F5">
        <w:rPr>
          <w:bCs/>
          <w:iCs/>
        </w:rPr>
        <w:t xml:space="preserve">, </w:t>
      </w:r>
      <w:r w:rsidRPr="00FE71F5">
        <w:t>§ 101.</w:t>
      </w:r>
    </w:p>
  </w:footnote>
  <w:footnote w:id="83">
    <w:p w:rsidR="00AE5D86" w:rsidRPr="00FE71F5" w:rsidRDefault="00AE5D86" w:rsidP="009E4814">
      <w:pPr>
        <w:pStyle w:val="FootnoteText"/>
        <w:jc w:val="left"/>
        <w:rPr>
          <w:bCs/>
          <w:iCs/>
        </w:rPr>
      </w:pPr>
      <w:r w:rsidRPr="00FE71F5">
        <w:rPr>
          <w:rStyle w:val="FootnoteReference"/>
        </w:rPr>
        <w:footnoteRef/>
      </w:r>
      <w:r w:rsidRPr="00FE71F5">
        <w:t xml:space="preserve"> </w:t>
      </w:r>
      <w:r w:rsidRPr="00FE71F5">
        <w:rPr>
          <w:i/>
        </w:rPr>
        <w:t>Saramaka People v. Suriname,</w:t>
      </w:r>
      <w:r w:rsidRPr="00FE71F5">
        <w:t xml:space="preserve"> </w:t>
      </w:r>
      <w:r w:rsidRPr="00FE71F5">
        <w:rPr>
          <w:bCs/>
          <w:i/>
        </w:rPr>
        <w:t>supra</w:t>
      </w:r>
      <w:r w:rsidRPr="00FE71F5">
        <w:rPr>
          <w:bCs/>
        </w:rPr>
        <w:t xml:space="preserve"> note 38, </w:t>
      </w:r>
      <w:r w:rsidRPr="00FE71F5">
        <w:t xml:space="preserve">§ 126; </w:t>
      </w:r>
      <w:r w:rsidRPr="00FE71F5">
        <w:rPr>
          <w:bCs/>
          <w:iCs/>
        </w:rPr>
        <w:t>U.N. Human Rights Committee, Apirana Mahuika v. New Zealand, 13 October 1995, § 3.1.</w:t>
      </w:r>
    </w:p>
  </w:footnote>
  <w:footnote w:id="84">
    <w:p w:rsidR="00AE5D86" w:rsidRPr="00FE71F5" w:rsidRDefault="00AE5D86" w:rsidP="009E4814">
      <w:pPr>
        <w:pStyle w:val="FootnoteText"/>
        <w:jc w:val="left"/>
      </w:pPr>
      <w:r w:rsidRPr="00FE71F5">
        <w:rPr>
          <w:rStyle w:val="FootnoteReference"/>
        </w:rPr>
        <w:footnoteRef/>
      </w:r>
      <w:r w:rsidRPr="00FE71F5">
        <w:t xml:space="preserve"> Hypothetical, p. 7, § 37; Hypothetical, p. 8, § 38.</w:t>
      </w:r>
    </w:p>
  </w:footnote>
  <w:footnote w:id="85">
    <w:p w:rsidR="00AE5D86" w:rsidRPr="00FE71F5" w:rsidRDefault="00AE5D86" w:rsidP="009E4814">
      <w:pPr>
        <w:pStyle w:val="FootnoteText"/>
        <w:jc w:val="left"/>
      </w:pPr>
      <w:r w:rsidRPr="00FE71F5">
        <w:rPr>
          <w:rStyle w:val="FootnoteReference"/>
        </w:rPr>
        <w:footnoteRef/>
      </w:r>
      <w:r w:rsidRPr="00FE71F5">
        <w:t xml:space="preserve"> Clarification Question, no. 14.</w:t>
      </w:r>
    </w:p>
  </w:footnote>
  <w:footnote w:id="86">
    <w:p w:rsidR="00AE5D86" w:rsidRPr="00FE71F5" w:rsidRDefault="00AE5D86" w:rsidP="009E4814">
      <w:pPr>
        <w:pStyle w:val="FootnoteText"/>
        <w:jc w:val="left"/>
      </w:pPr>
      <w:r w:rsidRPr="00FE71F5">
        <w:rPr>
          <w:rStyle w:val="FootnoteReference"/>
        </w:rPr>
        <w:footnoteRef/>
      </w:r>
      <w:r w:rsidRPr="00FE71F5">
        <w:t xml:space="preserve"> Clarification Question, no. 57.</w:t>
      </w:r>
    </w:p>
  </w:footnote>
  <w:footnote w:id="87">
    <w:p w:rsidR="00AE5D86" w:rsidRPr="00FE71F5" w:rsidRDefault="00AE5D86" w:rsidP="009E4814">
      <w:pPr>
        <w:pStyle w:val="FootnoteText"/>
        <w:jc w:val="left"/>
      </w:pPr>
      <w:r w:rsidRPr="00FE71F5">
        <w:rPr>
          <w:rStyle w:val="FootnoteReference"/>
        </w:rPr>
        <w:footnoteRef/>
      </w:r>
      <w:r w:rsidRPr="00FE71F5">
        <w:t xml:space="preserve"> Clarification Question, no. 57.</w:t>
      </w:r>
    </w:p>
  </w:footnote>
  <w:footnote w:id="88">
    <w:p w:rsidR="00AE5D86" w:rsidRPr="00FE71F5" w:rsidRDefault="00AE5D86" w:rsidP="009E4814">
      <w:pPr>
        <w:pStyle w:val="FootnoteText"/>
        <w:jc w:val="left"/>
      </w:pPr>
      <w:r w:rsidRPr="00FE71F5">
        <w:rPr>
          <w:rStyle w:val="FootnoteReference"/>
        </w:rPr>
        <w:footnoteRef/>
      </w:r>
      <w:r w:rsidRPr="00FE71F5">
        <w:t xml:space="preserve"> Hypothetical, p. 8, § 38.</w:t>
      </w:r>
    </w:p>
  </w:footnote>
  <w:footnote w:id="89">
    <w:p w:rsidR="00AE5D86" w:rsidRPr="00FE71F5" w:rsidRDefault="00AE5D86" w:rsidP="009E4814">
      <w:pPr>
        <w:pStyle w:val="FootnoteText"/>
        <w:jc w:val="left"/>
      </w:pPr>
      <w:r w:rsidRPr="00FE71F5">
        <w:rPr>
          <w:rStyle w:val="FootnoteReference"/>
        </w:rPr>
        <w:footnoteRef/>
      </w:r>
      <w:r w:rsidRPr="00FE71F5">
        <w:t xml:space="preserve"> Hypothetical, p. 8, § 38.</w:t>
      </w:r>
    </w:p>
  </w:footnote>
  <w:footnote w:id="90">
    <w:p w:rsidR="00AE5D86" w:rsidRPr="00FE71F5" w:rsidRDefault="00AE5D86" w:rsidP="009E4814">
      <w:pPr>
        <w:pStyle w:val="FootnoteText"/>
        <w:jc w:val="left"/>
      </w:pPr>
      <w:r w:rsidRPr="00FE71F5">
        <w:rPr>
          <w:rStyle w:val="FootnoteReference"/>
        </w:rPr>
        <w:footnoteRef/>
      </w:r>
      <w:r w:rsidRPr="00FE71F5">
        <w:t xml:space="preserve"> Y. </w:t>
      </w:r>
      <w:r w:rsidRPr="00FE71F5">
        <w:rPr>
          <w:bCs/>
        </w:rPr>
        <w:t xml:space="preserve">Haeck, O. Ruiz-Chiriboga and C. Burbano-Herrera, </w:t>
      </w:r>
      <w:r w:rsidRPr="00FE71F5">
        <w:rPr>
          <w:bCs/>
          <w:i/>
        </w:rPr>
        <w:t>“The Inter-American Court of Human Rights”</w:t>
      </w:r>
      <w:r w:rsidRPr="00FE71F5">
        <w:rPr>
          <w:bCs/>
        </w:rPr>
        <w:t xml:space="preserve">, Cambridge - Antwerp - Portland, 2015, pp. 257, 258; </w:t>
      </w:r>
      <w:r w:rsidRPr="00FE71F5">
        <w:rPr>
          <w:bCs/>
          <w:i/>
        </w:rPr>
        <w:t>Yakye Axa Indigenous Community v. Paraguay</w:t>
      </w:r>
      <w:r w:rsidRPr="00FE71F5">
        <w:rPr>
          <w:bCs/>
        </w:rPr>
        <w:t>, IACtHR, 17 June 2005, § 221.</w:t>
      </w:r>
    </w:p>
  </w:footnote>
  <w:footnote w:id="91">
    <w:p w:rsidR="00AE5D86" w:rsidRPr="00FE71F5" w:rsidRDefault="00AE5D86" w:rsidP="009E4814">
      <w:pPr>
        <w:pStyle w:val="FootnoteText"/>
        <w:jc w:val="left"/>
      </w:pPr>
      <w:r w:rsidRPr="00FE71F5">
        <w:rPr>
          <w:rStyle w:val="FootnoteReference"/>
        </w:rPr>
        <w:footnoteRef/>
      </w:r>
      <w:r w:rsidRPr="00FE71F5">
        <w:t xml:space="preserve"> Clarification Question, no. 57.</w:t>
      </w:r>
    </w:p>
  </w:footnote>
  <w:footnote w:id="92">
    <w:p w:rsidR="00AE5D86" w:rsidRPr="00FE71F5" w:rsidRDefault="00AE5D86" w:rsidP="009E4814">
      <w:pPr>
        <w:pStyle w:val="FootnoteText"/>
        <w:jc w:val="left"/>
      </w:pPr>
      <w:r w:rsidRPr="00FE71F5">
        <w:rPr>
          <w:rStyle w:val="FootnoteReference"/>
        </w:rPr>
        <w:footnoteRef/>
      </w:r>
      <w:r w:rsidRPr="00FE71F5">
        <w:t xml:space="preserve"> Hypothetical, p. 7, § 36; Hypothetical, p. 8, §§ 38, 39.</w:t>
      </w:r>
    </w:p>
  </w:footnote>
  <w:footnote w:id="93">
    <w:p w:rsidR="00AE5D86" w:rsidRPr="00FE71F5" w:rsidRDefault="00AE5D86" w:rsidP="00B57B23">
      <w:pPr>
        <w:pStyle w:val="FootnoteText"/>
        <w:jc w:val="left"/>
      </w:pPr>
      <w:r w:rsidRPr="00FE71F5">
        <w:rPr>
          <w:rStyle w:val="FootnoteReference"/>
        </w:rPr>
        <w:footnoteRef/>
      </w:r>
      <w:r w:rsidRPr="00FE71F5">
        <w:t xml:space="preserve"> </w:t>
      </w:r>
      <w:r w:rsidRPr="00FE71F5">
        <w:rPr>
          <w:i/>
        </w:rPr>
        <w:t>Yakye Axa Indigenous Community v. Paraguay</w:t>
      </w:r>
      <w:r w:rsidRPr="00FE71F5">
        <w:t xml:space="preserve">, </w:t>
      </w:r>
      <w:r w:rsidRPr="00FE71F5">
        <w:rPr>
          <w:i/>
        </w:rPr>
        <w:t>supra</w:t>
      </w:r>
      <w:r>
        <w:t xml:space="preserve"> note 90</w:t>
      </w:r>
      <w:r w:rsidRPr="00FE71F5">
        <w:t>, § 55.</w:t>
      </w:r>
    </w:p>
  </w:footnote>
  <w:footnote w:id="94">
    <w:p w:rsidR="00AE5D86" w:rsidRPr="00FE71F5" w:rsidRDefault="00AE5D86" w:rsidP="00B57B23">
      <w:pPr>
        <w:pStyle w:val="FootnoteText"/>
        <w:jc w:val="left"/>
      </w:pPr>
      <w:r w:rsidRPr="00FE71F5">
        <w:rPr>
          <w:rStyle w:val="FootnoteReference"/>
        </w:rPr>
        <w:footnoteRef/>
      </w:r>
      <w:r w:rsidRPr="00FE71F5">
        <w:t xml:space="preserve"> C. </w:t>
      </w:r>
      <w:r w:rsidRPr="00FE71F5">
        <w:rPr>
          <w:bCs/>
        </w:rPr>
        <w:t xml:space="preserve">Medina, </w:t>
      </w:r>
      <w:r w:rsidRPr="00FE71F5">
        <w:rPr>
          <w:bCs/>
          <w:i/>
        </w:rPr>
        <w:t>supra</w:t>
      </w:r>
      <w:r w:rsidRPr="00FE71F5">
        <w:rPr>
          <w:bCs/>
        </w:rPr>
        <w:t xml:space="preserve"> note 18, p. 178.</w:t>
      </w:r>
    </w:p>
  </w:footnote>
  <w:footnote w:id="95">
    <w:p w:rsidR="00AE5D86" w:rsidRPr="00622233" w:rsidRDefault="00AE5D86" w:rsidP="00B57B23">
      <w:pPr>
        <w:pStyle w:val="FootnoteText"/>
        <w:jc w:val="left"/>
        <w:rPr>
          <w:lang w:val="pt-BR"/>
        </w:rPr>
      </w:pPr>
      <w:r w:rsidRPr="00FE71F5">
        <w:rPr>
          <w:rStyle w:val="FootnoteReference"/>
        </w:rPr>
        <w:footnoteRef/>
      </w:r>
      <w:r w:rsidRPr="00622233">
        <w:rPr>
          <w:lang w:val="pt-BR"/>
        </w:rPr>
        <w:t xml:space="preserve"> </w:t>
      </w:r>
      <w:r w:rsidRPr="00622233">
        <w:rPr>
          <w:bCs/>
          <w:lang w:val="pt-BR"/>
        </w:rPr>
        <w:t xml:space="preserve">C. Medina, </w:t>
      </w:r>
      <w:r w:rsidRPr="00622233">
        <w:rPr>
          <w:bCs/>
          <w:i/>
          <w:lang w:val="pt-BR"/>
        </w:rPr>
        <w:t>supra</w:t>
      </w:r>
      <w:r w:rsidRPr="00622233">
        <w:rPr>
          <w:bCs/>
          <w:lang w:val="pt-BR"/>
        </w:rPr>
        <w:t xml:space="preserve"> note 18, p. 191.</w:t>
      </w:r>
    </w:p>
  </w:footnote>
  <w:footnote w:id="96">
    <w:p w:rsidR="00AE5D86" w:rsidRPr="00622233" w:rsidRDefault="00AE5D86" w:rsidP="00B57B23">
      <w:pPr>
        <w:pStyle w:val="FootnoteText"/>
        <w:jc w:val="left"/>
        <w:rPr>
          <w:lang w:val="pt-BR"/>
        </w:rPr>
      </w:pPr>
      <w:r w:rsidRPr="00FE71F5">
        <w:rPr>
          <w:rStyle w:val="FootnoteReference"/>
        </w:rPr>
        <w:footnoteRef/>
      </w:r>
      <w:r w:rsidRPr="00622233">
        <w:rPr>
          <w:lang w:val="pt-BR"/>
        </w:rPr>
        <w:t xml:space="preserve"> </w:t>
      </w:r>
      <w:r w:rsidRPr="00622233">
        <w:rPr>
          <w:bCs/>
          <w:lang w:val="pt-BR"/>
        </w:rPr>
        <w:t xml:space="preserve">C. Medina, </w:t>
      </w:r>
      <w:r w:rsidRPr="00622233">
        <w:rPr>
          <w:bCs/>
          <w:i/>
          <w:lang w:val="pt-BR"/>
        </w:rPr>
        <w:t>supra</w:t>
      </w:r>
      <w:r w:rsidRPr="00622233">
        <w:rPr>
          <w:bCs/>
          <w:lang w:val="pt-BR"/>
        </w:rPr>
        <w:t xml:space="preserve"> note 18, p. 198. </w:t>
      </w:r>
    </w:p>
  </w:footnote>
  <w:footnote w:id="97">
    <w:p w:rsidR="00AE5D86" w:rsidRPr="00FE71F5" w:rsidRDefault="00AE5D86" w:rsidP="00B57B23">
      <w:pPr>
        <w:pStyle w:val="FootnoteText"/>
        <w:jc w:val="left"/>
      </w:pPr>
      <w:r w:rsidRPr="00FE71F5">
        <w:rPr>
          <w:rStyle w:val="FootnoteReference"/>
        </w:rPr>
        <w:footnoteRef/>
      </w:r>
      <w:r w:rsidRPr="00FE71F5">
        <w:t xml:space="preserve"> </w:t>
      </w:r>
      <w:r w:rsidRPr="00FE71F5">
        <w:rPr>
          <w:i/>
        </w:rPr>
        <w:t>Yakye Axa Indigenous Community v. Paraguay</w:t>
      </w:r>
      <w:r w:rsidRPr="00FE71F5">
        <w:t xml:space="preserve">, </w:t>
      </w:r>
      <w:r w:rsidRPr="00FE71F5">
        <w:rPr>
          <w:i/>
        </w:rPr>
        <w:t>supra</w:t>
      </w:r>
      <w:r>
        <w:t xml:space="preserve"> note 90</w:t>
      </w:r>
      <w:r w:rsidRPr="00FE71F5">
        <w:t>, § 65.</w:t>
      </w:r>
    </w:p>
  </w:footnote>
  <w:footnote w:id="98">
    <w:p w:rsidR="00AE5D86" w:rsidRPr="00FE71F5" w:rsidRDefault="00AE5D86" w:rsidP="00876033">
      <w:pPr>
        <w:pStyle w:val="FootnoteText"/>
        <w:tabs>
          <w:tab w:val="left" w:pos="426"/>
        </w:tabs>
        <w:jc w:val="left"/>
      </w:pPr>
      <w:r w:rsidRPr="00FE71F5">
        <w:rPr>
          <w:rStyle w:val="FootnoteReference"/>
        </w:rPr>
        <w:footnoteRef/>
      </w:r>
      <w:r w:rsidR="00876033">
        <w:tab/>
        <w:t xml:space="preserve"> </w:t>
      </w:r>
      <w:r w:rsidRPr="00FE71F5">
        <w:rPr>
          <w:bCs/>
          <w:i/>
        </w:rPr>
        <w:t>Sawhoyamaxa Indigenous Community v. Paraguay,</w:t>
      </w:r>
      <w:r w:rsidRPr="00FE71F5">
        <w:t xml:space="preserve"> IACtHR, 29 March 2006, </w:t>
      </w:r>
      <w:r w:rsidRPr="00FE71F5">
        <w:rPr>
          <w:bCs/>
        </w:rPr>
        <w:t>§§ 109, 110.</w:t>
      </w:r>
    </w:p>
  </w:footnote>
  <w:footnote w:id="99">
    <w:p w:rsidR="00AE5D86" w:rsidRPr="00FE71F5" w:rsidRDefault="00AE5D86" w:rsidP="00876033">
      <w:pPr>
        <w:pStyle w:val="FootnoteText"/>
        <w:tabs>
          <w:tab w:val="left" w:pos="425"/>
        </w:tabs>
        <w:jc w:val="left"/>
      </w:pPr>
      <w:r w:rsidRPr="00FE71F5">
        <w:rPr>
          <w:rStyle w:val="FootnoteReference"/>
        </w:rPr>
        <w:footnoteRef/>
      </w:r>
      <w:r w:rsidRPr="00FE71F5">
        <w:t xml:space="preserve"> </w:t>
      </w:r>
      <w:r w:rsidR="00876033">
        <w:tab/>
        <w:t xml:space="preserve"> </w:t>
      </w:r>
      <w:r w:rsidRPr="00FE71F5">
        <w:t>Hypothetical, p. 8, § 39.</w:t>
      </w:r>
    </w:p>
  </w:footnote>
  <w:footnote w:id="100">
    <w:p w:rsidR="00AE5D86" w:rsidRPr="00FE71F5" w:rsidRDefault="00AE5D86" w:rsidP="00B57B23">
      <w:pPr>
        <w:pStyle w:val="FootnoteText"/>
        <w:jc w:val="left"/>
      </w:pPr>
      <w:r w:rsidRPr="00FE71F5">
        <w:rPr>
          <w:rStyle w:val="FootnoteReference"/>
        </w:rPr>
        <w:footnoteRef/>
      </w:r>
      <w:r w:rsidRPr="00FE71F5">
        <w:t xml:space="preserve"> Hypothetical, p. 8, §§ 40, 41.</w:t>
      </w:r>
    </w:p>
  </w:footnote>
  <w:footnote w:id="101">
    <w:p w:rsidR="00AE5D86" w:rsidRPr="00FE71F5" w:rsidRDefault="00AE5D86" w:rsidP="00B57B23">
      <w:pPr>
        <w:pStyle w:val="FootnoteText"/>
        <w:ind w:left="227" w:hanging="227"/>
        <w:jc w:val="left"/>
      </w:pPr>
      <w:r w:rsidRPr="00FE71F5">
        <w:rPr>
          <w:rStyle w:val="FootnoteReference"/>
        </w:rPr>
        <w:footnoteRef/>
      </w:r>
      <w:r w:rsidRPr="00FE71F5">
        <w:t xml:space="preserve"> </w:t>
      </w:r>
      <w:r w:rsidRPr="00FE71F5">
        <w:rPr>
          <w:bCs/>
          <w:i/>
        </w:rPr>
        <w:t>Sawhoyamaxa Indigenous Community v. Paraguay,</w:t>
      </w:r>
      <w:r w:rsidRPr="00FE71F5">
        <w:t xml:space="preserve"> </w:t>
      </w:r>
      <w:r w:rsidRPr="00FE71F5">
        <w:rPr>
          <w:i/>
        </w:rPr>
        <w:t xml:space="preserve">supra </w:t>
      </w:r>
      <w:r>
        <w:t>note 98</w:t>
      </w:r>
      <w:r w:rsidRPr="00FE71F5">
        <w:t>,</w:t>
      </w:r>
      <w:r w:rsidRPr="00FE71F5">
        <w:rPr>
          <w:bCs/>
        </w:rPr>
        <w:t xml:space="preserve"> </w:t>
      </w:r>
      <w:r w:rsidRPr="00FE71F5">
        <w:t xml:space="preserve">§ </w:t>
      </w:r>
      <w:r w:rsidRPr="00FE71F5">
        <w:rPr>
          <w:bCs/>
        </w:rPr>
        <w:t xml:space="preserve">164; </w:t>
      </w:r>
      <w:r w:rsidRPr="00FE71F5">
        <w:rPr>
          <w:i/>
        </w:rPr>
        <w:t xml:space="preserve">The </w:t>
      </w:r>
      <w:r w:rsidRPr="00FE71F5">
        <w:rPr>
          <w:i/>
          <w:iCs/>
        </w:rPr>
        <w:t>Afro-descendant Communities displaced from the Cacarica River Basin (Operation Genesis) v. Colombia</w:t>
      </w:r>
      <w:r w:rsidRPr="00FE71F5">
        <w:rPr>
          <w:iCs/>
        </w:rPr>
        <w:t>, IACtHR, 30 November 2013, § 21.</w:t>
      </w:r>
    </w:p>
  </w:footnote>
  <w:footnote w:id="102">
    <w:p w:rsidR="00AE5D86" w:rsidRPr="00622233" w:rsidRDefault="00AE5D86" w:rsidP="00B57B23">
      <w:pPr>
        <w:pStyle w:val="FootnoteText"/>
        <w:jc w:val="left"/>
        <w:rPr>
          <w:lang w:val="pt-BR"/>
        </w:rPr>
      </w:pPr>
      <w:r w:rsidRPr="00FE71F5">
        <w:rPr>
          <w:rStyle w:val="FootnoteReference"/>
        </w:rPr>
        <w:footnoteRef/>
      </w:r>
      <w:r w:rsidRPr="00622233">
        <w:rPr>
          <w:lang w:val="pt-BR"/>
        </w:rPr>
        <w:t xml:space="preserve"> </w:t>
      </w:r>
      <w:r w:rsidRPr="00622233">
        <w:rPr>
          <w:bCs/>
          <w:lang w:val="pt-BR"/>
        </w:rPr>
        <w:t xml:space="preserve">C. Medina, </w:t>
      </w:r>
      <w:r w:rsidRPr="00622233">
        <w:rPr>
          <w:bCs/>
          <w:i/>
          <w:lang w:val="pt-BR"/>
        </w:rPr>
        <w:t>supra</w:t>
      </w:r>
      <w:r w:rsidRPr="00622233">
        <w:rPr>
          <w:bCs/>
          <w:lang w:val="pt-BR"/>
        </w:rPr>
        <w:t xml:space="preserve"> note 18, p. 198.</w:t>
      </w:r>
    </w:p>
  </w:footnote>
  <w:footnote w:id="103">
    <w:p w:rsidR="00AE5D86" w:rsidRPr="00622233" w:rsidRDefault="00AE5D86" w:rsidP="00B57B23">
      <w:pPr>
        <w:pStyle w:val="FootnoteText"/>
        <w:jc w:val="left"/>
        <w:rPr>
          <w:lang w:val="pt-BR"/>
        </w:rPr>
      </w:pPr>
      <w:r w:rsidRPr="00FE71F5">
        <w:rPr>
          <w:rStyle w:val="FootnoteReference"/>
        </w:rPr>
        <w:footnoteRef/>
      </w:r>
      <w:r w:rsidRPr="00622233">
        <w:rPr>
          <w:lang w:val="pt-BR"/>
        </w:rPr>
        <w:t xml:space="preserve"> </w:t>
      </w:r>
      <w:r w:rsidRPr="00622233">
        <w:rPr>
          <w:bCs/>
          <w:lang w:val="pt-BR"/>
        </w:rPr>
        <w:t xml:space="preserve">C. Medina, </w:t>
      </w:r>
      <w:r w:rsidRPr="00622233">
        <w:rPr>
          <w:bCs/>
          <w:i/>
          <w:lang w:val="pt-BR"/>
        </w:rPr>
        <w:t>supra</w:t>
      </w:r>
      <w:r w:rsidRPr="00622233">
        <w:rPr>
          <w:bCs/>
          <w:lang w:val="pt-BR"/>
        </w:rPr>
        <w:t xml:space="preserve"> note 18, p. 235.</w:t>
      </w:r>
    </w:p>
  </w:footnote>
  <w:footnote w:id="104">
    <w:p w:rsidR="00AE5D86" w:rsidRPr="00622233" w:rsidRDefault="00AE5D86" w:rsidP="00B57B23">
      <w:pPr>
        <w:pStyle w:val="FootnoteText"/>
        <w:jc w:val="left"/>
        <w:rPr>
          <w:lang w:val="pt-BR"/>
        </w:rPr>
      </w:pPr>
      <w:r w:rsidRPr="00FE71F5">
        <w:rPr>
          <w:rStyle w:val="FootnoteReference"/>
        </w:rPr>
        <w:footnoteRef/>
      </w:r>
      <w:r w:rsidRPr="00622233">
        <w:rPr>
          <w:lang w:val="pt-BR"/>
        </w:rPr>
        <w:t xml:space="preserve"> </w:t>
      </w:r>
      <w:r w:rsidRPr="00622233">
        <w:rPr>
          <w:i/>
          <w:lang w:val="pt-BR"/>
        </w:rPr>
        <w:t>Saramaka People v. Suriname,</w:t>
      </w:r>
      <w:r w:rsidRPr="00622233">
        <w:rPr>
          <w:lang w:val="pt-BR"/>
        </w:rPr>
        <w:t xml:space="preserve"> </w:t>
      </w:r>
      <w:r w:rsidRPr="00622233">
        <w:rPr>
          <w:bCs/>
          <w:i/>
          <w:lang w:val="pt-BR"/>
        </w:rPr>
        <w:t>supra</w:t>
      </w:r>
      <w:r w:rsidRPr="00622233">
        <w:rPr>
          <w:bCs/>
          <w:lang w:val="pt-BR"/>
        </w:rPr>
        <w:t xml:space="preserve"> note 38, </w:t>
      </w:r>
      <w:r w:rsidRPr="00622233">
        <w:rPr>
          <w:lang w:val="pt-BR"/>
        </w:rPr>
        <w:t>§ 177.</w:t>
      </w:r>
    </w:p>
  </w:footnote>
  <w:footnote w:id="105">
    <w:p w:rsidR="00AE5D86" w:rsidRPr="00622233" w:rsidRDefault="00AE5D86" w:rsidP="00B57B23">
      <w:pPr>
        <w:pStyle w:val="FootnoteText"/>
        <w:jc w:val="left"/>
        <w:rPr>
          <w:lang w:val="pt-BR"/>
        </w:rPr>
      </w:pPr>
      <w:r w:rsidRPr="00FE71F5">
        <w:rPr>
          <w:rStyle w:val="FootnoteReference"/>
        </w:rPr>
        <w:footnoteRef/>
      </w:r>
      <w:r w:rsidRPr="00622233">
        <w:rPr>
          <w:lang w:val="pt-BR"/>
        </w:rPr>
        <w:t xml:space="preserve"> </w:t>
      </w:r>
      <w:r w:rsidRPr="00622233">
        <w:rPr>
          <w:bCs/>
          <w:i/>
          <w:lang w:val="pt-BR"/>
        </w:rPr>
        <w:t>Mayagna (Sumo) Awas Tingni Community v. Nicaragua</w:t>
      </w:r>
      <w:r w:rsidRPr="00622233">
        <w:rPr>
          <w:lang w:val="pt-BR"/>
        </w:rPr>
        <w:t xml:space="preserve">, IACtHR, 31 August 2001, </w:t>
      </w:r>
      <w:r w:rsidRPr="00622233">
        <w:rPr>
          <w:bCs/>
          <w:lang w:val="pt-BR"/>
        </w:rPr>
        <w:t>§§ 135, 136.</w:t>
      </w:r>
    </w:p>
  </w:footnote>
  <w:footnote w:id="106">
    <w:p w:rsidR="00AE5D86" w:rsidRPr="00622233" w:rsidRDefault="00AE5D86" w:rsidP="00B57B23">
      <w:pPr>
        <w:pStyle w:val="FootnoteText"/>
        <w:jc w:val="left"/>
        <w:rPr>
          <w:lang w:val="pt-BR"/>
        </w:rPr>
      </w:pPr>
      <w:r w:rsidRPr="00FE71F5">
        <w:rPr>
          <w:rStyle w:val="FootnoteReference"/>
        </w:rPr>
        <w:footnoteRef/>
      </w:r>
      <w:r w:rsidRPr="00622233">
        <w:rPr>
          <w:lang w:val="pt-BR"/>
        </w:rPr>
        <w:t xml:space="preserve"> </w:t>
      </w:r>
      <w:r w:rsidRPr="00622233">
        <w:rPr>
          <w:i/>
          <w:lang w:val="pt-BR"/>
        </w:rPr>
        <w:t>Saramaka People v. Suriname,</w:t>
      </w:r>
      <w:r w:rsidRPr="00622233">
        <w:rPr>
          <w:lang w:val="pt-BR"/>
        </w:rPr>
        <w:t xml:space="preserve"> </w:t>
      </w:r>
      <w:r w:rsidRPr="00622233">
        <w:rPr>
          <w:bCs/>
          <w:i/>
          <w:lang w:val="pt-BR"/>
        </w:rPr>
        <w:t>supra</w:t>
      </w:r>
      <w:r w:rsidRPr="00622233">
        <w:rPr>
          <w:bCs/>
          <w:lang w:val="pt-BR"/>
        </w:rPr>
        <w:t xml:space="preserve"> note 38, </w:t>
      </w:r>
      <w:r w:rsidRPr="00622233">
        <w:rPr>
          <w:lang w:val="pt-BR"/>
        </w:rPr>
        <w:t>§ 178.</w:t>
      </w:r>
    </w:p>
  </w:footnote>
  <w:footnote w:id="107">
    <w:p w:rsidR="00AE5D86" w:rsidRPr="00622233" w:rsidRDefault="00AE5D86" w:rsidP="00B57B23">
      <w:pPr>
        <w:pStyle w:val="FootnoteText"/>
        <w:jc w:val="left"/>
        <w:rPr>
          <w:lang w:val="pt-BR"/>
        </w:rPr>
      </w:pPr>
      <w:r w:rsidRPr="00FE71F5">
        <w:rPr>
          <w:rStyle w:val="FootnoteReference"/>
        </w:rPr>
        <w:footnoteRef/>
      </w:r>
      <w:r w:rsidRPr="00622233">
        <w:rPr>
          <w:lang w:val="pt-BR"/>
        </w:rPr>
        <w:t xml:space="preserve"> </w:t>
      </w:r>
      <w:r w:rsidRPr="00622233">
        <w:rPr>
          <w:bCs/>
          <w:i/>
          <w:lang w:val="pt-BR"/>
        </w:rPr>
        <w:t xml:space="preserve">Velásquez-Rodríguez </w:t>
      </w:r>
      <w:r w:rsidRPr="00622233">
        <w:rPr>
          <w:bCs/>
          <w:i/>
          <w:iCs/>
          <w:lang w:val="pt-BR"/>
        </w:rPr>
        <w:t xml:space="preserve">v. </w:t>
      </w:r>
      <w:r w:rsidRPr="00622233">
        <w:rPr>
          <w:bCs/>
          <w:i/>
          <w:lang w:val="pt-BR"/>
        </w:rPr>
        <w:t>Honduras</w:t>
      </w:r>
      <w:r w:rsidRPr="00622233">
        <w:rPr>
          <w:bCs/>
          <w:lang w:val="pt-BR"/>
        </w:rPr>
        <w:t xml:space="preserve">, </w:t>
      </w:r>
      <w:r w:rsidRPr="00622233">
        <w:rPr>
          <w:bCs/>
          <w:i/>
          <w:lang w:val="pt-BR"/>
        </w:rPr>
        <w:t>supra</w:t>
      </w:r>
      <w:r w:rsidR="00876033" w:rsidRPr="00622233">
        <w:rPr>
          <w:bCs/>
          <w:lang w:val="pt-BR"/>
        </w:rPr>
        <w:t xml:space="preserve"> note 48</w:t>
      </w:r>
      <w:r w:rsidRPr="00622233">
        <w:rPr>
          <w:bCs/>
          <w:lang w:val="pt-BR"/>
        </w:rPr>
        <w:t>, § 66.</w:t>
      </w:r>
    </w:p>
  </w:footnote>
  <w:footnote w:id="108">
    <w:p w:rsidR="00AE5D86" w:rsidRPr="00622233" w:rsidRDefault="00AE5D86" w:rsidP="00B57B23">
      <w:pPr>
        <w:pStyle w:val="FootnoteText"/>
        <w:jc w:val="left"/>
        <w:rPr>
          <w:lang w:val="pt-BR"/>
        </w:rPr>
      </w:pPr>
      <w:r w:rsidRPr="00FE71F5">
        <w:rPr>
          <w:rStyle w:val="FootnoteReference"/>
        </w:rPr>
        <w:footnoteRef/>
      </w:r>
      <w:r w:rsidRPr="00622233">
        <w:rPr>
          <w:lang w:val="pt-BR"/>
        </w:rPr>
        <w:t xml:space="preserve"> </w:t>
      </w:r>
      <w:r w:rsidRPr="00622233">
        <w:rPr>
          <w:bCs/>
          <w:i/>
          <w:lang w:val="pt-BR"/>
        </w:rPr>
        <w:t xml:space="preserve">Velásquez-Rodríguez </w:t>
      </w:r>
      <w:r w:rsidRPr="00622233">
        <w:rPr>
          <w:bCs/>
          <w:i/>
          <w:iCs/>
          <w:lang w:val="pt-BR"/>
        </w:rPr>
        <w:t xml:space="preserve">v. </w:t>
      </w:r>
      <w:r w:rsidRPr="00622233">
        <w:rPr>
          <w:bCs/>
          <w:i/>
          <w:lang w:val="pt-BR"/>
        </w:rPr>
        <w:t>Honduras</w:t>
      </w:r>
      <w:r w:rsidRPr="00622233">
        <w:rPr>
          <w:bCs/>
          <w:lang w:val="pt-BR"/>
        </w:rPr>
        <w:t xml:space="preserve">, </w:t>
      </w:r>
      <w:r w:rsidRPr="00622233">
        <w:rPr>
          <w:bCs/>
          <w:i/>
          <w:lang w:val="pt-BR"/>
        </w:rPr>
        <w:t>supra</w:t>
      </w:r>
      <w:r w:rsidR="00876033" w:rsidRPr="00622233">
        <w:rPr>
          <w:bCs/>
          <w:lang w:val="pt-BR"/>
        </w:rPr>
        <w:t xml:space="preserve"> note 48</w:t>
      </w:r>
      <w:r w:rsidRPr="00622233">
        <w:rPr>
          <w:bCs/>
          <w:lang w:val="pt-BR"/>
        </w:rPr>
        <w:t xml:space="preserve">, </w:t>
      </w:r>
      <w:r w:rsidRPr="00622233">
        <w:rPr>
          <w:lang w:val="pt-BR"/>
        </w:rPr>
        <w:t>§§ 64, 72.</w:t>
      </w:r>
    </w:p>
  </w:footnote>
  <w:footnote w:id="109">
    <w:p w:rsidR="00AE5D86" w:rsidRPr="00622233" w:rsidRDefault="00AE5D86" w:rsidP="00B57B23">
      <w:pPr>
        <w:pStyle w:val="FootnoteText"/>
        <w:jc w:val="left"/>
        <w:rPr>
          <w:bCs/>
          <w:lang w:val="pt-BR"/>
        </w:rPr>
      </w:pPr>
      <w:r w:rsidRPr="00FE71F5">
        <w:rPr>
          <w:rStyle w:val="FootnoteReference"/>
        </w:rPr>
        <w:footnoteRef/>
      </w:r>
      <w:r w:rsidRPr="00622233">
        <w:rPr>
          <w:lang w:val="pt-BR"/>
        </w:rPr>
        <w:t xml:space="preserve"> D. </w:t>
      </w:r>
      <w:r w:rsidRPr="00622233">
        <w:rPr>
          <w:bCs/>
          <w:lang w:val="pt-BR"/>
        </w:rPr>
        <w:t>Harris and S. Livingstone,</w:t>
      </w:r>
      <w:r w:rsidRPr="00622233">
        <w:rPr>
          <w:bCs/>
          <w:i/>
          <w:lang w:val="pt-BR"/>
        </w:rPr>
        <w:t xml:space="preserve"> supra</w:t>
      </w:r>
      <w:r w:rsidRPr="00622233">
        <w:rPr>
          <w:bCs/>
          <w:lang w:val="pt-BR"/>
        </w:rPr>
        <w:t xml:space="preserve"> note 32, p. 91.</w:t>
      </w:r>
    </w:p>
  </w:footnote>
  <w:footnote w:id="110">
    <w:p w:rsidR="00AE5D86" w:rsidRPr="00FE71F5" w:rsidRDefault="00AE5D86" w:rsidP="00B57B23">
      <w:pPr>
        <w:pStyle w:val="FootnoteText"/>
        <w:tabs>
          <w:tab w:val="left" w:pos="227"/>
          <w:tab w:val="left" w:pos="284"/>
        </w:tabs>
        <w:ind w:left="0" w:firstLine="0"/>
        <w:jc w:val="left"/>
      </w:pPr>
      <w:r w:rsidRPr="00FE71F5">
        <w:rPr>
          <w:rStyle w:val="FootnoteReference"/>
        </w:rPr>
        <w:footnoteRef/>
      </w:r>
      <w:r w:rsidRPr="00FE71F5">
        <w:t xml:space="preserve"> </w:t>
      </w:r>
      <w:r w:rsidRPr="00FE71F5">
        <w:rPr>
          <w:lang w:eastAsia="en-US"/>
        </w:rPr>
        <w:t xml:space="preserve">Hypothetical, p. 8, §§ 39, 40, 41; </w:t>
      </w:r>
      <w:r w:rsidRPr="00FE71F5">
        <w:rPr>
          <w:bCs/>
          <w:i/>
        </w:rPr>
        <w:t>Sawhoyamaxa Indigenous Community v. Paraguay,</w:t>
      </w:r>
      <w:r w:rsidRPr="00FE71F5">
        <w:t xml:space="preserve"> </w:t>
      </w:r>
      <w:r w:rsidRPr="00FE71F5">
        <w:rPr>
          <w:i/>
        </w:rPr>
        <w:t xml:space="preserve">supra </w:t>
      </w:r>
      <w:r w:rsidRPr="00FE71F5">
        <w:t xml:space="preserve">note </w:t>
      </w:r>
      <w:r>
        <w:t>98</w:t>
      </w:r>
      <w:r w:rsidRPr="00FE71F5">
        <w:t>,</w:t>
      </w:r>
      <w:r w:rsidRPr="00FE71F5">
        <w:rPr>
          <w:bCs/>
        </w:rPr>
        <w:t xml:space="preserve"> </w:t>
      </w:r>
      <w:r w:rsidRPr="00FE71F5">
        <w:t xml:space="preserve">§ </w:t>
      </w:r>
      <w:r w:rsidRPr="00FE71F5">
        <w:rPr>
          <w:bCs/>
        </w:rPr>
        <w:t>164.</w:t>
      </w:r>
    </w:p>
  </w:footnote>
  <w:footnote w:id="111">
    <w:p w:rsidR="00AE5D86" w:rsidRPr="00FE71F5" w:rsidRDefault="00AE5D86" w:rsidP="00B57B23">
      <w:pPr>
        <w:pStyle w:val="FootnoteText"/>
        <w:jc w:val="left"/>
      </w:pPr>
      <w:r w:rsidRPr="00FE71F5">
        <w:rPr>
          <w:rStyle w:val="FootnoteReference"/>
        </w:rPr>
        <w:footnoteRef/>
      </w:r>
      <w:r w:rsidRPr="00FE71F5">
        <w:t xml:space="preserve"> </w:t>
      </w:r>
      <w:r w:rsidRPr="00FE71F5">
        <w:rPr>
          <w:lang w:eastAsia="en-US"/>
        </w:rPr>
        <w:t>Hypothetical, p. 8, § 40.</w:t>
      </w:r>
    </w:p>
  </w:footnote>
  <w:footnote w:id="112">
    <w:p w:rsidR="00AE5D86" w:rsidRPr="00FE71F5" w:rsidRDefault="00AE5D86" w:rsidP="00B57B23">
      <w:pPr>
        <w:pStyle w:val="FootnoteText"/>
        <w:jc w:val="left"/>
      </w:pPr>
      <w:r w:rsidRPr="00FE71F5">
        <w:rPr>
          <w:rStyle w:val="FootnoteReference"/>
        </w:rPr>
        <w:footnoteRef/>
      </w:r>
      <w:r w:rsidRPr="00FE71F5">
        <w:t xml:space="preserve"> Clarification Questions, no. 5.</w:t>
      </w:r>
    </w:p>
  </w:footnote>
  <w:footnote w:id="113">
    <w:p w:rsidR="00AE5D86" w:rsidRPr="00FE71F5" w:rsidRDefault="00AE5D86" w:rsidP="00B57B23">
      <w:pPr>
        <w:pStyle w:val="FootnoteText"/>
        <w:jc w:val="left"/>
      </w:pPr>
      <w:r w:rsidRPr="00FE71F5">
        <w:rPr>
          <w:rStyle w:val="FootnoteReference"/>
        </w:rPr>
        <w:footnoteRef/>
      </w:r>
      <w:r w:rsidRPr="00FE71F5">
        <w:t xml:space="preserve"> </w:t>
      </w:r>
      <w:r w:rsidRPr="00FE71F5">
        <w:rPr>
          <w:lang w:eastAsia="en-US"/>
        </w:rPr>
        <w:t>Hypothetical, p. 8, § 40.</w:t>
      </w:r>
    </w:p>
  </w:footnote>
  <w:footnote w:id="114">
    <w:p w:rsidR="00AE5D86" w:rsidRPr="00FE71F5" w:rsidRDefault="00AE5D86" w:rsidP="00B57B23">
      <w:pPr>
        <w:pStyle w:val="FootnoteText"/>
        <w:jc w:val="left"/>
      </w:pPr>
      <w:r w:rsidRPr="00FE71F5">
        <w:rPr>
          <w:rStyle w:val="FootnoteReference"/>
        </w:rPr>
        <w:footnoteRef/>
      </w:r>
      <w:r w:rsidRPr="00FE71F5">
        <w:t xml:space="preserve"> Hypothetical, p. 8, § 39.</w:t>
      </w:r>
    </w:p>
  </w:footnote>
  <w:footnote w:id="115">
    <w:p w:rsidR="00AE5D86" w:rsidRPr="00FE71F5" w:rsidRDefault="00AE5D86" w:rsidP="00B57B23">
      <w:pPr>
        <w:pStyle w:val="FootnoteText"/>
      </w:pPr>
      <w:r w:rsidRPr="00FE71F5">
        <w:rPr>
          <w:rStyle w:val="FootnoteReference"/>
        </w:rPr>
        <w:footnoteRef/>
      </w:r>
      <w:r w:rsidRPr="00FE71F5">
        <w:t xml:space="preserve"> </w:t>
      </w:r>
      <w:r w:rsidRPr="00FE71F5">
        <w:rPr>
          <w:bCs/>
          <w:i/>
        </w:rPr>
        <w:t>Mayagna (Sumo) Awas Tingni Community v. Nicaragua</w:t>
      </w:r>
      <w:r w:rsidRPr="00FE71F5">
        <w:t xml:space="preserve">, IACtHR, 31 August 2001, </w:t>
      </w:r>
      <w:r w:rsidRPr="00FE71F5">
        <w:rPr>
          <w:bCs/>
        </w:rPr>
        <w:t>§§ 135, 136.</w:t>
      </w:r>
    </w:p>
  </w:footnote>
  <w:footnote w:id="116">
    <w:p w:rsidR="00AE5D86" w:rsidRPr="00FE71F5" w:rsidRDefault="00AE5D86" w:rsidP="00B57B23">
      <w:pPr>
        <w:pStyle w:val="FootnoteText"/>
        <w:jc w:val="left"/>
      </w:pPr>
      <w:r w:rsidRPr="00FE71F5">
        <w:rPr>
          <w:rStyle w:val="FootnoteReference"/>
        </w:rPr>
        <w:footnoteRef/>
      </w:r>
      <w:r w:rsidRPr="00FE71F5">
        <w:t xml:space="preserve"> L. Burgorgue-Larsen &amp; A. Ubeda de Torres, </w:t>
      </w:r>
      <w:r w:rsidRPr="00FE71F5">
        <w:rPr>
          <w:i/>
        </w:rPr>
        <w:t>supra</w:t>
      </w:r>
      <w:r w:rsidRPr="00FE71F5">
        <w:t xml:space="preserve"> note 23, </w:t>
      </w:r>
      <w:r w:rsidRPr="00FE71F5">
        <w:rPr>
          <w:lang w:eastAsia="en-US"/>
        </w:rPr>
        <w:t xml:space="preserve">p. 624; </w:t>
      </w:r>
      <w:r w:rsidRPr="00FE71F5">
        <w:rPr>
          <w:bCs/>
          <w:i/>
        </w:rPr>
        <w:t>Sawhoyamaxa Indigenous Community v. Paraguay,</w:t>
      </w:r>
      <w:r w:rsidRPr="00FE71F5">
        <w:t xml:space="preserve"> </w:t>
      </w:r>
      <w:r w:rsidRPr="00FE71F5">
        <w:rPr>
          <w:i/>
        </w:rPr>
        <w:t xml:space="preserve">supra </w:t>
      </w:r>
      <w:r>
        <w:t>note 98</w:t>
      </w:r>
      <w:r w:rsidRPr="00FE71F5">
        <w:t>,</w:t>
      </w:r>
      <w:r w:rsidRPr="00FE71F5">
        <w:rPr>
          <w:bCs/>
        </w:rPr>
        <w:t xml:space="preserve"> </w:t>
      </w:r>
      <w:r w:rsidRPr="00FE71F5">
        <w:t xml:space="preserve">§ </w:t>
      </w:r>
      <w:r w:rsidRPr="00FE71F5">
        <w:rPr>
          <w:bCs/>
        </w:rPr>
        <w:t>121.</w:t>
      </w:r>
    </w:p>
  </w:footnote>
  <w:footnote w:id="117">
    <w:p w:rsidR="00AE5D86" w:rsidRPr="00FE71F5" w:rsidRDefault="00AE5D86" w:rsidP="00B57B23">
      <w:pPr>
        <w:pStyle w:val="FootnoteText"/>
        <w:jc w:val="left"/>
      </w:pPr>
      <w:r w:rsidRPr="00FE71F5">
        <w:rPr>
          <w:rStyle w:val="FootnoteReference"/>
        </w:rPr>
        <w:footnoteRef/>
      </w:r>
      <w:r w:rsidRPr="00FE71F5">
        <w:t xml:space="preserve"> L. Burgorgue-Larsen &amp; A. Ubeda de Torres, </w:t>
      </w:r>
      <w:r w:rsidRPr="00FE71F5">
        <w:rPr>
          <w:i/>
        </w:rPr>
        <w:t>supra</w:t>
      </w:r>
      <w:r w:rsidRPr="00FE71F5">
        <w:t xml:space="preserve"> note 23, </w:t>
      </w:r>
      <w:r w:rsidRPr="00FE71F5">
        <w:rPr>
          <w:lang w:eastAsia="en-US"/>
        </w:rPr>
        <w:t xml:space="preserve">p. 624; </w:t>
      </w:r>
      <w:r w:rsidRPr="00FE71F5">
        <w:rPr>
          <w:i/>
        </w:rPr>
        <w:t>Saramaka People v. Suriname,</w:t>
      </w:r>
      <w:r w:rsidRPr="00FE71F5">
        <w:t xml:space="preserve"> </w:t>
      </w:r>
      <w:r w:rsidRPr="00FE71F5">
        <w:rPr>
          <w:bCs/>
          <w:i/>
        </w:rPr>
        <w:t>supra</w:t>
      </w:r>
      <w:r w:rsidRPr="00FE71F5">
        <w:rPr>
          <w:bCs/>
        </w:rPr>
        <w:t xml:space="preserve"> note 38, </w:t>
      </w:r>
      <w:r w:rsidRPr="00FE71F5">
        <w:t xml:space="preserve">§ 91; </w:t>
      </w:r>
      <w:r w:rsidRPr="00FE71F5">
        <w:rPr>
          <w:bCs/>
          <w:i/>
        </w:rPr>
        <w:t>Sawhoyamaxa Indigenous Community v. Paraguay,</w:t>
      </w:r>
      <w:r w:rsidRPr="00FE71F5">
        <w:t xml:space="preserve"> </w:t>
      </w:r>
      <w:r w:rsidRPr="00FE71F5">
        <w:rPr>
          <w:i/>
        </w:rPr>
        <w:t xml:space="preserve">supra </w:t>
      </w:r>
      <w:r>
        <w:t>note 98</w:t>
      </w:r>
      <w:r w:rsidRPr="00FE71F5">
        <w:t>,</w:t>
      </w:r>
      <w:r w:rsidRPr="00FE71F5">
        <w:rPr>
          <w:bCs/>
        </w:rPr>
        <w:t xml:space="preserve"> § 120.</w:t>
      </w:r>
    </w:p>
  </w:footnote>
  <w:footnote w:id="118">
    <w:p w:rsidR="00AE5D86" w:rsidRPr="00FE71F5" w:rsidRDefault="00AE5D86" w:rsidP="00B57B23">
      <w:pPr>
        <w:pStyle w:val="FootnoteText"/>
        <w:jc w:val="left"/>
      </w:pPr>
      <w:r w:rsidRPr="00FE71F5">
        <w:rPr>
          <w:rStyle w:val="FootnoteReference"/>
        </w:rPr>
        <w:footnoteRef/>
      </w:r>
      <w:r w:rsidRPr="00FE71F5">
        <w:rPr>
          <w:i/>
        </w:rPr>
        <w:t xml:space="preserve"> Saramaka People v. Suriname,</w:t>
      </w:r>
      <w:r w:rsidRPr="00FE71F5">
        <w:t xml:space="preserve"> </w:t>
      </w:r>
      <w:r w:rsidRPr="00FE71F5">
        <w:rPr>
          <w:bCs/>
          <w:i/>
        </w:rPr>
        <w:t>supra</w:t>
      </w:r>
      <w:r w:rsidRPr="00FE71F5">
        <w:rPr>
          <w:bCs/>
        </w:rPr>
        <w:t xml:space="preserve"> note 38, </w:t>
      </w:r>
      <w:r w:rsidRPr="00FE71F5">
        <w:t>§ 127.</w:t>
      </w:r>
    </w:p>
  </w:footnote>
  <w:footnote w:id="119">
    <w:p w:rsidR="00AE5D86" w:rsidRPr="00FE71F5" w:rsidRDefault="00AE5D86" w:rsidP="00B57B23">
      <w:pPr>
        <w:pStyle w:val="FootnoteText"/>
        <w:jc w:val="left"/>
      </w:pPr>
      <w:r w:rsidRPr="00FE71F5">
        <w:rPr>
          <w:rStyle w:val="FootnoteReference"/>
        </w:rPr>
        <w:footnoteRef/>
      </w:r>
      <w:r w:rsidRPr="00FE71F5">
        <w:t xml:space="preserve"> </w:t>
      </w:r>
      <w:r w:rsidRPr="00FE71F5">
        <w:rPr>
          <w:i/>
        </w:rPr>
        <w:t>Saramaka People v. Suriname,</w:t>
      </w:r>
      <w:r w:rsidRPr="00FE71F5">
        <w:t xml:space="preserve"> </w:t>
      </w:r>
      <w:r w:rsidRPr="00FE71F5">
        <w:rPr>
          <w:bCs/>
          <w:i/>
        </w:rPr>
        <w:t>supra</w:t>
      </w:r>
      <w:r w:rsidRPr="00FE71F5">
        <w:rPr>
          <w:bCs/>
        </w:rPr>
        <w:t xml:space="preserve"> note 38, </w:t>
      </w:r>
      <w:r w:rsidRPr="00FE71F5">
        <w:t>§ 127.</w:t>
      </w:r>
    </w:p>
  </w:footnote>
  <w:footnote w:id="120">
    <w:p w:rsidR="00AE5D86" w:rsidRPr="00FE71F5" w:rsidRDefault="00AE5D86" w:rsidP="00B57B23">
      <w:pPr>
        <w:pStyle w:val="FootnoteText"/>
        <w:jc w:val="left"/>
      </w:pPr>
      <w:r w:rsidRPr="00FE71F5">
        <w:rPr>
          <w:rStyle w:val="FootnoteReference"/>
        </w:rPr>
        <w:footnoteRef/>
      </w:r>
      <w:r w:rsidRPr="00FE71F5">
        <w:t xml:space="preserve"> </w:t>
      </w:r>
      <w:r w:rsidRPr="00FE71F5">
        <w:rPr>
          <w:i/>
        </w:rPr>
        <w:t>Saramaka People v. Suriname,</w:t>
      </w:r>
      <w:r w:rsidRPr="00FE71F5">
        <w:t xml:space="preserve"> </w:t>
      </w:r>
      <w:r w:rsidRPr="00FE71F5">
        <w:rPr>
          <w:bCs/>
          <w:i/>
        </w:rPr>
        <w:t>supra</w:t>
      </w:r>
      <w:r w:rsidRPr="00FE71F5">
        <w:rPr>
          <w:bCs/>
        </w:rPr>
        <w:t xml:space="preserve"> note 38, </w:t>
      </w:r>
      <w:r w:rsidRPr="00FE71F5">
        <w:t>§ 126.</w:t>
      </w:r>
    </w:p>
  </w:footnote>
  <w:footnote w:id="121">
    <w:p w:rsidR="00AE5D86" w:rsidRPr="00FE71F5" w:rsidRDefault="00AE5D86" w:rsidP="00B57B23">
      <w:pPr>
        <w:pStyle w:val="FootnoteText"/>
        <w:jc w:val="left"/>
      </w:pPr>
      <w:r w:rsidRPr="00FE71F5">
        <w:rPr>
          <w:rStyle w:val="FootnoteReference"/>
        </w:rPr>
        <w:footnoteRef/>
      </w:r>
      <w:r w:rsidRPr="00FE71F5">
        <w:t xml:space="preserve"> Clarification Questions, no. 57. </w:t>
      </w:r>
    </w:p>
  </w:footnote>
  <w:footnote w:id="122">
    <w:p w:rsidR="00AE5D86" w:rsidRPr="00FE71F5" w:rsidRDefault="00AE5D86" w:rsidP="00B57B23">
      <w:pPr>
        <w:pStyle w:val="FootnoteText"/>
        <w:jc w:val="left"/>
      </w:pPr>
      <w:r w:rsidRPr="00FE71F5">
        <w:rPr>
          <w:rStyle w:val="FootnoteReference"/>
        </w:rPr>
        <w:footnoteRef/>
      </w:r>
      <w:r w:rsidRPr="00FE71F5">
        <w:t xml:space="preserve"> Hypothetical, p. 8, § 38; </w:t>
      </w:r>
      <w:r w:rsidRPr="00FE71F5">
        <w:rPr>
          <w:i/>
        </w:rPr>
        <w:t>Saramaka People v. Suriname,</w:t>
      </w:r>
      <w:r w:rsidRPr="00FE71F5">
        <w:t xml:space="preserve"> </w:t>
      </w:r>
      <w:r w:rsidRPr="00FE71F5">
        <w:rPr>
          <w:bCs/>
          <w:i/>
        </w:rPr>
        <w:t>supra</w:t>
      </w:r>
      <w:r w:rsidRPr="00FE71F5">
        <w:rPr>
          <w:bCs/>
        </w:rPr>
        <w:t xml:space="preserve"> note 38, </w:t>
      </w:r>
      <w:r w:rsidRPr="00FE71F5">
        <w:t>§ 127.</w:t>
      </w:r>
    </w:p>
  </w:footnote>
  <w:footnote w:id="123">
    <w:p w:rsidR="00AE5D86" w:rsidRPr="00FE71F5" w:rsidRDefault="00AE5D86" w:rsidP="00B57B23">
      <w:pPr>
        <w:pStyle w:val="FootnoteText"/>
        <w:jc w:val="left"/>
      </w:pPr>
      <w:r w:rsidRPr="00FE71F5">
        <w:rPr>
          <w:rStyle w:val="FootnoteReference"/>
        </w:rPr>
        <w:footnoteRef/>
      </w:r>
      <w:r w:rsidRPr="00FE71F5">
        <w:t xml:space="preserve"> Hypothetical, p. 8, § 38.</w:t>
      </w:r>
    </w:p>
  </w:footnote>
  <w:footnote w:id="124">
    <w:p w:rsidR="00AE5D86" w:rsidRPr="00FE71F5" w:rsidRDefault="00AE5D86" w:rsidP="00B57B23">
      <w:pPr>
        <w:pStyle w:val="FootnoteText"/>
        <w:jc w:val="left"/>
      </w:pPr>
      <w:r w:rsidRPr="00FE71F5">
        <w:rPr>
          <w:rStyle w:val="FootnoteReference"/>
        </w:rPr>
        <w:footnoteRef/>
      </w:r>
      <w:r w:rsidRPr="00FE71F5">
        <w:t xml:space="preserve"> Hypothetical, p. 8, § 39.</w:t>
      </w:r>
    </w:p>
  </w:footnote>
  <w:footnote w:id="125">
    <w:p w:rsidR="00AE5D86" w:rsidRPr="00FE71F5" w:rsidRDefault="00AE5D86" w:rsidP="00B57B23">
      <w:pPr>
        <w:pStyle w:val="FootnoteText"/>
        <w:jc w:val="left"/>
      </w:pPr>
      <w:r w:rsidRPr="00FE71F5">
        <w:rPr>
          <w:rStyle w:val="FootnoteReference"/>
        </w:rPr>
        <w:footnoteRef/>
      </w:r>
      <w:r w:rsidRPr="00FE71F5">
        <w:t xml:space="preserve"> </w:t>
      </w:r>
      <w:r w:rsidRPr="00FE71F5">
        <w:rPr>
          <w:i/>
        </w:rPr>
        <w:t>Saramaka People v. Suriname,</w:t>
      </w:r>
      <w:r w:rsidRPr="00FE71F5">
        <w:t xml:space="preserve"> </w:t>
      </w:r>
      <w:r w:rsidRPr="00FE71F5">
        <w:rPr>
          <w:bCs/>
          <w:i/>
        </w:rPr>
        <w:t>supra</w:t>
      </w:r>
      <w:r w:rsidRPr="00FE71F5">
        <w:rPr>
          <w:bCs/>
        </w:rPr>
        <w:t xml:space="preserve"> note 38,</w:t>
      </w:r>
      <w:r w:rsidRPr="00FE71F5">
        <w:t xml:space="preserve"> § 129.</w:t>
      </w:r>
    </w:p>
  </w:footnote>
  <w:footnote w:id="126">
    <w:p w:rsidR="00AE5D86" w:rsidRPr="00FE71F5" w:rsidRDefault="00AE5D86" w:rsidP="00B57B23">
      <w:pPr>
        <w:pStyle w:val="FootnoteText"/>
        <w:jc w:val="left"/>
        <w:rPr>
          <w:bCs/>
          <w:iCs/>
        </w:rPr>
      </w:pPr>
      <w:r w:rsidRPr="00FE71F5">
        <w:rPr>
          <w:rStyle w:val="FootnoteReference"/>
        </w:rPr>
        <w:footnoteRef/>
      </w:r>
      <w:r w:rsidRPr="00FE71F5">
        <w:t xml:space="preserve"> </w:t>
      </w:r>
      <w:r w:rsidRPr="00FE71F5">
        <w:rPr>
          <w:bCs/>
          <w:iCs/>
        </w:rPr>
        <w:t>U.N., Report of the Special Rapporteur on the rights of indigenous peoples, James Anaya, 6 July 2012, §§ 62, 80.</w:t>
      </w:r>
    </w:p>
  </w:footnote>
  <w:footnote w:id="127">
    <w:p w:rsidR="00AE5D86" w:rsidRPr="00FE71F5" w:rsidRDefault="00AE5D86" w:rsidP="00B57B23">
      <w:pPr>
        <w:pStyle w:val="FootnoteText"/>
        <w:jc w:val="left"/>
      </w:pPr>
      <w:r w:rsidRPr="00FE71F5">
        <w:rPr>
          <w:rStyle w:val="FootnoteReference"/>
        </w:rPr>
        <w:footnoteRef/>
      </w:r>
      <w:r w:rsidRPr="00FE71F5">
        <w:t xml:space="preserve"> </w:t>
      </w:r>
      <w:r w:rsidRPr="00FE71F5">
        <w:rPr>
          <w:i/>
        </w:rPr>
        <w:t>Saramaka People v. Suriname,</w:t>
      </w:r>
      <w:r w:rsidRPr="00FE71F5">
        <w:t xml:space="preserve"> </w:t>
      </w:r>
      <w:r w:rsidRPr="00FE71F5">
        <w:rPr>
          <w:bCs/>
          <w:i/>
        </w:rPr>
        <w:t>supra</w:t>
      </w:r>
      <w:r w:rsidRPr="00FE71F5">
        <w:rPr>
          <w:bCs/>
        </w:rPr>
        <w:t xml:space="preserve"> note 38, </w:t>
      </w:r>
      <w:r w:rsidRPr="00FE71F5">
        <w:t>§ 133.</w:t>
      </w:r>
    </w:p>
  </w:footnote>
  <w:footnote w:id="128">
    <w:p w:rsidR="00AE5D86" w:rsidRPr="00FE71F5" w:rsidRDefault="00AE5D86" w:rsidP="00B57B23">
      <w:pPr>
        <w:pStyle w:val="FootnoteText"/>
        <w:jc w:val="left"/>
      </w:pPr>
      <w:r w:rsidRPr="00FE71F5">
        <w:rPr>
          <w:rStyle w:val="FootnoteReference"/>
        </w:rPr>
        <w:footnoteRef/>
      </w:r>
      <w:r w:rsidRPr="00FE71F5">
        <w:t xml:space="preserve"> </w:t>
      </w:r>
      <w:r w:rsidRPr="00FE71F5">
        <w:rPr>
          <w:i/>
        </w:rPr>
        <w:t>Kichwa Indigenous People of Sarayaku v. Ecuador</w:t>
      </w:r>
      <w:r w:rsidRPr="00FE71F5">
        <w:t xml:space="preserve">, </w:t>
      </w:r>
      <w:r w:rsidRPr="00FE71F5">
        <w:rPr>
          <w:i/>
        </w:rPr>
        <w:t>supra</w:t>
      </w:r>
      <w:r w:rsidRPr="00FE71F5">
        <w:t xml:space="preserve"> note </w:t>
      </w:r>
      <w:r>
        <w:t>33</w:t>
      </w:r>
      <w:r w:rsidRPr="00FE71F5">
        <w:t>, § 201.</w:t>
      </w:r>
    </w:p>
  </w:footnote>
  <w:footnote w:id="129">
    <w:p w:rsidR="00AE5D86" w:rsidRPr="00FE71F5" w:rsidRDefault="00AE5D86" w:rsidP="00B57B23">
      <w:pPr>
        <w:pStyle w:val="FootnoteText"/>
        <w:jc w:val="left"/>
      </w:pPr>
      <w:r w:rsidRPr="00FE71F5">
        <w:rPr>
          <w:rStyle w:val="FootnoteReference"/>
        </w:rPr>
        <w:footnoteRef/>
      </w:r>
      <w:r w:rsidRPr="00FE71F5">
        <w:t xml:space="preserve"> </w:t>
      </w:r>
      <w:r w:rsidRPr="00FE71F5">
        <w:rPr>
          <w:i/>
        </w:rPr>
        <w:t>Saramaka People v. Suriname,</w:t>
      </w:r>
      <w:r w:rsidRPr="00FE71F5">
        <w:t xml:space="preserve"> </w:t>
      </w:r>
      <w:r w:rsidRPr="00FE71F5">
        <w:rPr>
          <w:bCs/>
          <w:i/>
        </w:rPr>
        <w:t>supra</w:t>
      </w:r>
      <w:r w:rsidRPr="00FE71F5">
        <w:rPr>
          <w:bCs/>
        </w:rPr>
        <w:t xml:space="preserve"> note 38, </w:t>
      </w:r>
      <w:r w:rsidRPr="00FE71F5">
        <w:t>§ 130.</w:t>
      </w:r>
    </w:p>
  </w:footnote>
  <w:footnote w:id="130">
    <w:p w:rsidR="00AE5D86" w:rsidRPr="00FE71F5" w:rsidRDefault="00AE5D86" w:rsidP="00B57B23">
      <w:pPr>
        <w:pStyle w:val="FootnoteText"/>
        <w:jc w:val="left"/>
      </w:pPr>
      <w:r w:rsidRPr="00FE71F5">
        <w:rPr>
          <w:rStyle w:val="FootnoteReference"/>
        </w:rPr>
        <w:footnoteRef/>
      </w:r>
      <w:r w:rsidRPr="00FE71F5">
        <w:t xml:space="preserve"> </w:t>
      </w:r>
      <w:r w:rsidRPr="00FE71F5">
        <w:rPr>
          <w:i/>
        </w:rPr>
        <w:t>Saramaka People v. Suriname,</w:t>
      </w:r>
      <w:r w:rsidRPr="00FE71F5">
        <w:t xml:space="preserve"> </w:t>
      </w:r>
      <w:r w:rsidRPr="00FE71F5">
        <w:rPr>
          <w:bCs/>
          <w:i/>
        </w:rPr>
        <w:t>supra</w:t>
      </w:r>
      <w:r w:rsidRPr="00FE71F5">
        <w:rPr>
          <w:bCs/>
        </w:rPr>
        <w:t xml:space="preserve"> note 38, </w:t>
      </w:r>
      <w:r w:rsidRPr="00FE71F5">
        <w:t>§ 133.</w:t>
      </w:r>
    </w:p>
  </w:footnote>
  <w:footnote w:id="131">
    <w:p w:rsidR="00AE5D86" w:rsidRPr="00FE71F5" w:rsidRDefault="00AE5D86" w:rsidP="00B57B23">
      <w:pPr>
        <w:pStyle w:val="FootnoteText"/>
        <w:jc w:val="left"/>
      </w:pPr>
      <w:r w:rsidRPr="00FE71F5">
        <w:rPr>
          <w:rStyle w:val="FootnoteReference"/>
        </w:rPr>
        <w:footnoteRef/>
      </w:r>
      <w:r w:rsidRPr="00FE71F5">
        <w:t xml:space="preserve"> Clarification Questions, no. 30; Hypothetical, p. 7, §§ 34, 35.</w:t>
      </w:r>
    </w:p>
  </w:footnote>
  <w:footnote w:id="132">
    <w:p w:rsidR="00AE5D86" w:rsidRPr="00FE71F5" w:rsidRDefault="00AE5D86" w:rsidP="00B57B23">
      <w:pPr>
        <w:pStyle w:val="FootnoteText"/>
        <w:jc w:val="left"/>
        <w:rPr>
          <w:b/>
        </w:rPr>
      </w:pPr>
      <w:r w:rsidRPr="00FE71F5">
        <w:rPr>
          <w:rStyle w:val="FootnoteReference"/>
        </w:rPr>
        <w:footnoteRef/>
      </w:r>
      <w:r w:rsidRPr="00FE71F5">
        <w:t xml:space="preserve"> Hypothetical, p. 7, § 34.</w:t>
      </w:r>
    </w:p>
  </w:footnote>
  <w:footnote w:id="133">
    <w:p w:rsidR="00AE5D86" w:rsidRPr="00FE71F5" w:rsidRDefault="00AE5D86" w:rsidP="00B57B23">
      <w:pPr>
        <w:pStyle w:val="FootnoteText"/>
        <w:jc w:val="left"/>
      </w:pPr>
      <w:r w:rsidRPr="00FE71F5">
        <w:rPr>
          <w:rStyle w:val="FootnoteReference"/>
        </w:rPr>
        <w:footnoteRef/>
      </w:r>
      <w:r w:rsidRPr="00FE71F5">
        <w:t xml:space="preserve"> Hypothetical, p. 7, § 35.</w:t>
      </w:r>
    </w:p>
  </w:footnote>
  <w:footnote w:id="134">
    <w:p w:rsidR="00AE5D86" w:rsidRPr="00622233" w:rsidRDefault="00AE5D86" w:rsidP="00B57B23">
      <w:pPr>
        <w:pStyle w:val="FootnoteText"/>
        <w:jc w:val="left"/>
        <w:rPr>
          <w:lang w:val="es-ES"/>
        </w:rPr>
      </w:pPr>
      <w:r w:rsidRPr="00FE71F5">
        <w:rPr>
          <w:rStyle w:val="FootnoteReference"/>
        </w:rPr>
        <w:footnoteRef/>
      </w:r>
      <w:r w:rsidRPr="00622233">
        <w:rPr>
          <w:lang w:val="es-ES"/>
        </w:rPr>
        <w:t xml:space="preserve"> Hypothetical, p. 7, §§ 34, 35.</w:t>
      </w:r>
    </w:p>
  </w:footnote>
  <w:footnote w:id="135">
    <w:p w:rsidR="00AE5D86" w:rsidRPr="00622233" w:rsidRDefault="00AE5D86" w:rsidP="00B57B23">
      <w:pPr>
        <w:pStyle w:val="FootnoteText"/>
        <w:jc w:val="left"/>
        <w:rPr>
          <w:lang w:val="es-ES"/>
        </w:rPr>
      </w:pPr>
      <w:r w:rsidRPr="00FE71F5">
        <w:rPr>
          <w:rStyle w:val="FootnoteReference"/>
        </w:rPr>
        <w:footnoteRef/>
      </w:r>
      <w:r w:rsidRPr="00622233">
        <w:rPr>
          <w:lang w:val="es-ES"/>
        </w:rPr>
        <w:t xml:space="preserve"> Hypothetical, p. 7, § 36.</w:t>
      </w:r>
    </w:p>
  </w:footnote>
  <w:footnote w:id="136">
    <w:p w:rsidR="00AE5D86" w:rsidRPr="00FE71F5" w:rsidRDefault="00AE5D86" w:rsidP="00B57B23">
      <w:pPr>
        <w:pStyle w:val="FootnoteText"/>
        <w:jc w:val="left"/>
      </w:pPr>
      <w:r w:rsidRPr="00FE71F5">
        <w:rPr>
          <w:rStyle w:val="FootnoteReference"/>
        </w:rPr>
        <w:footnoteRef/>
      </w:r>
      <w:r w:rsidRPr="00622233">
        <w:rPr>
          <w:lang w:val="es-ES"/>
        </w:rPr>
        <w:t xml:space="preserve"> </w:t>
      </w:r>
      <w:r w:rsidRPr="00622233">
        <w:rPr>
          <w:bCs/>
          <w:i/>
          <w:lang w:val="es-ES"/>
        </w:rPr>
        <w:t xml:space="preserve">Acevedo Buendía </w:t>
      </w:r>
      <w:r w:rsidRPr="00622233">
        <w:rPr>
          <w:bCs/>
          <w:i/>
          <w:iCs/>
          <w:lang w:val="es-ES"/>
        </w:rPr>
        <w:t xml:space="preserve">et al. </w:t>
      </w:r>
      <w:r w:rsidRPr="00FE71F5">
        <w:rPr>
          <w:bCs/>
          <w:i/>
          <w:iCs/>
        </w:rPr>
        <w:t xml:space="preserve">("Discharged and Retired Employees of the Comptroller”) v. </w:t>
      </w:r>
      <w:r w:rsidRPr="00FE71F5">
        <w:rPr>
          <w:bCs/>
          <w:i/>
        </w:rPr>
        <w:t>Peru</w:t>
      </w:r>
      <w:r w:rsidRPr="00FE71F5">
        <w:t>, IACtHR, 1 July 2009,</w:t>
      </w:r>
      <w:r w:rsidRPr="00FE71F5">
        <w:rPr>
          <w:bCs/>
        </w:rPr>
        <w:t xml:space="preserve"> § 92.</w:t>
      </w:r>
    </w:p>
  </w:footnote>
  <w:footnote w:id="137">
    <w:p w:rsidR="00AE5D86" w:rsidRPr="00FE71F5" w:rsidRDefault="00AE5D86" w:rsidP="00B57B23">
      <w:pPr>
        <w:pStyle w:val="FootnoteText"/>
        <w:jc w:val="left"/>
      </w:pPr>
      <w:r w:rsidRPr="00FE71F5">
        <w:rPr>
          <w:rStyle w:val="FootnoteReference"/>
        </w:rPr>
        <w:footnoteRef/>
      </w:r>
      <w:r w:rsidRPr="00FE71F5">
        <w:t xml:space="preserve"> </w:t>
      </w:r>
      <w:r w:rsidRPr="00FE71F5">
        <w:rPr>
          <w:i/>
        </w:rPr>
        <w:t>Yakye Axa Indigenous Community v. Paraguay</w:t>
      </w:r>
      <w:r w:rsidRPr="00FE71F5">
        <w:t xml:space="preserve">, </w:t>
      </w:r>
      <w:r w:rsidRPr="00FE71F5">
        <w:rPr>
          <w:i/>
        </w:rPr>
        <w:t>supra</w:t>
      </w:r>
      <w:r>
        <w:t xml:space="preserve"> note 90</w:t>
      </w:r>
      <w:r w:rsidRPr="00FE71F5">
        <w:t>, § 162.</w:t>
      </w:r>
    </w:p>
  </w:footnote>
  <w:footnote w:id="138">
    <w:p w:rsidR="00AE5D86" w:rsidRPr="00FE71F5" w:rsidRDefault="00AE5D86" w:rsidP="00B57B23">
      <w:pPr>
        <w:pStyle w:val="FootnoteText"/>
        <w:jc w:val="left"/>
      </w:pPr>
      <w:r w:rsidRPr="00FE71F5">
        <w:rPr>
          <w:rStyle w:val="FootnoteReference"/>
        </w:rPr>
        <w:footnoteRef/>
      </w:r>
      <w:r w:rsidRPr="00FE71F5">
        <w:t xml:space="preserve"> </w:t>
      </w:r>
      <w:r w:rsidRPr="00FE71F5">
        <w:rPr>
          <w:i/>
        </w:rPr>
        <w:t>Yakye Axa Indigenous Community v. Paraguay</w:t>
      </w:r>
      <w:r w:rsidRPr="00FE71F5">
        <w:t>,</w:t>
      </w:r>
      <w:r w:rsidRPr="00FE71F5">
        <w:rPr>
          <w:i/>
        </w:rPr>
        <w:t xml:space="preserve"> supra</w:t>
      </w:r>
      <w:r>
        <w:t xml:space="preserve"> note 90</w:t>
      </w:r>
      <w:r w:rsidRPr="00FE71F5">
        <w:t>, § 167.</w:t>
      </w:r>
    </w:p>
  </w:footnote>
  <w:footnote w:id="139">
    <w:p w:rsidR="00AE5D86" w:rsidRPr="00FE71F5" w:rsidRDefault="00AE5D86" w:rsidP="00B57B23">
      <w:pPr>
        <w:pStyle w:val="FootnoteText"/>
        <w:jc w:val="left"/>
      </w:pPr>
      <w:r w:rsidRPr="00FE71F5">
        <w:rPr>
          <w:rStyle w:val="FootnoteReference"/>
        </w:rPr>
        <w:footnoteRef/>
      </w:r>
      <w:r w:rsidRPr="00FE71F5">
        <w:rPr>
          <w:i/>
        </w:rPr>
        <w:t xml:space="preserve"> Ibid.</w:t>
      </w:r>
    </w:p>
  </w:footnote>
  <w:footnote w:id="140">
    <w:p w:rsidR="00AE5D86" w:rsidRPr="00FE71F5" w:rsidRDefault="00AE5D86" w:rsidP="00B57B23">
      <w:pPr>
        <w:pStyle w:val="FootnoteText"/>
        <w:jc w:val="left"/>
      </w:pPr>
      <w:r w:rsidRPr="00FE71F5">
        <w:rPr>
          <w:rStyle w:val="FootnoteReference"/>
        </w:rPr>
        <w:footnoteRef/>
      </w:r>
      <w:r w:rsidRPr="00FE71F5">
        <w:t xml:space="preserve"> </w:t>
      </w:r>
      <w:r w:rsidRPr="00FE71F5">
        <w:rPr>
          <w:i/>
          <w:iCs/>
        </w:rPr>
        <w:t>Xákmok Kásek Indigenous Community v. Paraguay</w:t>
      </w:r>
      <w:r w:rsidRPr="00FE71F5">
        <w:rPr>
          <w:iCs/>
        </w:rPr>
        <w:t>, IACtHR, 24 August 2010, § 188;</w:t>
      </w:r>
      <w:r w:rsidRPr="00FE71F5">
        <w:t xml:space="preserve"> Y. </w:t>
      </w:r>
      <w:r w:rsidRPr="00FE71F5">
        <w:rPr>
          <w:bCs/>
        </w:rPr>
        <w:t xml:space="preserve">Haeck, O. Ruiz-Chiriboga and C. Burbano-Herrera, </w:t>
      </w:r>
      <w:r w:rsidRPr="00FE71F5">
        <w:rPr>
          <w:i/>
        </w:rPr>
        <w:t>supra</w:t>
      </w:r>
      <w:r w:rsidR="00876033">
        <w:t xml:space="preserve"> note 90</w:t>
      </w:r>
      <w:r w:rsidRPr="00FE71F5">
        <w:rPr>
          <w:bCs/>
        </w:rPr>
        <w:t>, p. 301.</w:t>
      </w:r>
    </w:p>
  </w:footnote>
  <w:footnote w:id="141">
    <w:p w:rsidR="00AE5D86" w:rsidRPr="00FE71F5" w:rsidRDefault="00AE5D86" w:rsidP="00B57B23">
      <w:pPr>
        <w:pStyle w:val="FootnoteText"/>
        <w:jc w:val="left"/>
      </w:pPr>
      <w:r w:rsidRPr="00FE71F5">
        <w:rPr>
          <w:rStyle w:val="FootnoteReference"/>
        </w:rPr>
        <w:footnoteRef/>
      </w:r>
      <w:r w:rsidRPr="00FE71F5">
        <w:t xml:space="preserve"> </w:t>
      </w:r>
      <w:r w:rsidRPr="00FE71F5">
        <w:rPr>
          <w:i/>
          <w:iCs/>
        </w:rPr>
        <w:t>Xákmok Kásek Indigenous Community v. Paraguay</w:t>
      </w:r>
      <w:r w:rsidRPr="00FE71F5">
        <w:rPr>
          <w:iCs/>
        </w:rPr>
        <w:t xml:space="preserve">, </w:t>
      </w:r>
      <w:r w:rsidRPr="00FE71F5">
        <w:rPr>
          <w:i/>
          <w:iCs/>
        </w:rPr>
        <w:t>supra</w:t>
      </w:r>
      <w:r w:rsidR="00876033">
        <w:rPr>
          <w:iCs/>
        </w:rPr>
        <w:t xml:space="preserve"> note 140</w:t>
      </w:r>
      <w:r w:rsidRPr="00FE71F5">
        <w:rPr>
          <w:iCs/>
        </w:rPr>
        <w:t>, § 188.</w:t>
      </w:r>
    </w:p>
  </w:footnote>
  <w:footnote w:id="142">
    <w:p w:rsidR="00AE5D86" w:rsidRPr="00FE71F5" w:rsidRDefault="00AE5D86" w:rsidP="00B57B23">
      <w:pPr>
        <w:pStyle w:val="FootnoteText"/>
        <w:jc w:val="left"/>
      </w:pPr>
      <w:r w:rsidRPr="00FE71F5">
        <w:rPr>
          <w:rStyle w:val="FootnoteReference"/>
        </w:rPr>
        <w:footnoteRef/>
      </w:r>
      <w:r w:rsidRPr="00FE71F5">
        <w:t xml:space="preserve"> </w:t>
      </w:r>
      <w:r w:rsidRPr="00FE71F5">
        <w:rPr>
          <w:i/>
          <w:iCs/>
        </w:rPr>
        <w:t>Ibid.</w:t>
      </w:r>
    </w:p>
  </w:footnote>
  <w:footnote w:id="143">
    <w:p w:rsidR="00AE5D86" w:rsidRPr="00FE71F5" w:rsidRDefault="00AE5D86" w:rsidP="00B57B23">
      <w:pPr>
        <w:pStyle w:val="FootnoteText"/>
        <w:jc w:val="left"/>
      </w:pPr>
      <w:r w:rsidRPr="00FE71F5">
        <w:rPr>
          <w:rStyle w:val="FootnoteReference"/>
        </w:rPr>
        <w:footnoteRef/>
      </w:r>
      <w:r w:rsidRPr="00FE71F5">
        <w:t xml:space="preserve"> Hypothetical, p. 8, § 38.</w:t>
      </w:r>
    </w:p>
  </w:footnote>
  <w:footnote w:id="144">
    <w:p w:rsidR="00AE5D86" w:rsidRPr="00FE71F5" w:rsidRDefault="00AE5D86" w:rsidP="00B57B23">
      <w:pPr>
        <w:pStyle w:val="FootnoteText"/>
        <w:jc w:val="left"/>
      </w:pPr>
      <w:r w:rsidRPr="00FE71F5">
        <w:rPr>
          <w:rStyle w:val="FootnoteReference"/>
        </w:rPr>
        <w:footnoteRef/>
      </w:r>
      <w:r w:rsidRPr="00FE71F5">
        <w:t xml:space="preserve"> Clarification Questions, no. 57.</w:t>
      </w:r>
    </w:p>
  </w:footnote>
  <w:footnote w:id="145">
    <w:p w:rsidR="00AE5D86" w:rsidRPr="00FE71F5" w:rsidRDefault="00AE5D86" w:rsidP="00B57B23">
      <w:pPr>
        <w:pStyle w:val="FootnoteText"/>
        <w:jc w:val="left"/>
        <w:rPr>
          <w:bCs/>
          <w:i/>
        </w:rPr>
      </w:pPr>
      <w:r w:rsidRPr="00FE71F5">
        <w:rPr>
          <w:rStyle w:val="FootnoteReference"/>
        </w:rPr>
        <w:footnoteRef/>
      </w:r>
      <w:r w:rsidRPr="00FE71F5">
        <w:t xml:space="preserve"> </w:t>
      </w:r>
      <w:r w:rsidRPr="00FE71F5">
        <w:rPr>
          <w:bCs/>
          <w:i/>
        </w:rPr>
        <w:t xml:space="preserve">Acosta-Calderón </w:t>
      </w:r>
      <w:r w:rsidRPr="00FE71F5">
        <w:rPr>
          <w:bCs/>
          <w:i/>
          <w:iCs/>
        </w:rPr>
        <w:t xml:space="preserve">v. </w:t>
      </w:r>
      <w:r w:rsidRPr="00FE71F5">
        <w:rPr>
          <w:bCs/>
          <w:i/>
        </w:rPr>
        <w:t>Ecuador</w:t>
      </w:r>
      <w:r w:rsidRPr="00FE71F5">
        <w:rPr>
          <w:bCs/>
        </w:rPr>
        <w:t xml:space="preserve">, </w:t>
      </w:r>
      <w:r w:rsidRPr="00FE71F5">
        <w:rPr>
          <w:bCs/>
          <w:i/>
          <w:iCs/>
        </w:rPr>
        <w:t xml:space="preserve">supra </w:t>
      </w:r>
      <w:r w:rsidR="00876033">
        <w:rPr>
          <w:bCs/>
          <w:iCs/>
        </w:rPr>
        <w:t>note 77</w:t>
      </w:r>
      <w:r w:rsidRPr="00FE71F5">
        <w:rPr>
          <w:bCs/>
          <w:iCs/>
        </w:rPr>
        <w:t xml:space="preserve">, </w:t>
      </w:r>
      <w:r w:rsidRPr="00FE71F5">
        <w:rPr>
          <w:bCs/>
        </w:rPr>
        <w:t xml:space="preserve">§ 103; </w:t>
      </w:r>
      <w:r w:rsidRPr="00FE71F5">
        <w:rPr>
          <w:i/>
        </w:rPr>
        <w:t>Constitutional Court v. Peru</w:t>
      </w:r>
      <w:r w:rsidRPr="00FE71F5">
        <w:t xml:space="preserve">, </w:t>
      </w:r>
      <w:r w:rsidRPr="00FE71F5">
        <w:rPr>
          <w:i/>
        </w:rPr>
        <w:t>supra</w:t>
      </w:r>
      <w:r w:rsidR="00876033">
        <w:t xml:space="preserve"> note 50</w:t>
      </w:r>
      <w:r w:rsidRPr="00FE71F5">
        <w:t>, § 66.</w:t>
      </w:r>
    </w:p>
  </w:footnote>
  <w:footnote w:id="146">
    <w:p w:rsidR="00AE5D86" w:rsidRPr="00FE71F5" w:rsidRDefault="00AE5D86" w:rsidP="00B57B23">
      <w:pPr>
        <w:pStyle w:val="FootnoteText"/>
        <w:jc w:val="left"/>
      </w:pPr>
      <w:r w:rsidRPr="00FE71F5">
        <w:rPr>
          <w:rStyle w:val="FootnoteReference"/>
        </w:rPr>
        <w:footnoteRef/>
      </w:r>
      <w:r w:rsidRPr="00FE71F5">
        <w:t xml:space="preserve"> </w:t>
      </w:r>
      <w:r w:rsidRPr="00FE71F5">
        <w:rPr>
          <w:bCs/>
          <w:i/>
        </w:rPr>
        <w:t xml:space="preserve">Acosta-Calderón </w:t>
      </w:r>
      <w:r w:rsidRPr="00FE71F5">
        <w:rPr>
          <w:bCs/>
          <w:i/>
          <w:iCs/>
        </w:rPr>
        <w:t xml:space="preserve">v. </w:t>
      </w:r>
      <w:r w:rsidRPr="00FE71F5">
        <w:rPr>
          <w:bCs/>
          <w:i/>
        </w:rPr>
        <w:t>Ecuador</w:t>
      </w:r>
      <w:r w:rsidRPr="00FE71F5">
        <w:rPr>
          <w:bCs/>
        </w:rPr>
        <w:t xml:space="preserve">, </w:t>
      </w:r>
      <w:r w:rsidRPr="00FE71F5">
        <w:rPr>
          <w:bCs/>
          <w:i/>
          <w:iCs/>
        </w:rPr>
        <w:t>supra</w:t>
      </w:r>
      <w:r w:rsidR="00876033">
        <w:rPr>
          <w:bCs/>
          <w:iCs/>
        </w:rPr>
        <w:t xml:space="preserve"> note 77</w:t>
      </w:r>
      <w:r w:rsidRPr="00FE71F5">
        <w:rPr>
          <w:bCs/>
          <w:iCs/>
        </w:rPr>
        <w:t xml:space="preserve">, </w:t>
      </w:r>
      <w:r w:rsidRPr="00FE71F5">
        <w:rPr>
          <w:bCs/>
        </w:rPr>
        <w:t>§ 104.</w:t>
      </w:r>
    </w:p>
  </w:footnote>
  <w:footnote w:id="147">
    <w:p w:rsidR="00AE5D86" w:rsidRPr="00FE71F5" w:rsidRDefault="00AE5D86" w:rsidP="00B57B23">
      <w:pPr>
        <w:pStyle w:val="FootnoteText"/>
        <w:jc w:val="left"/>
      </w:pPr>
      <w:r w:rsidRPr="00FE71F5">
        <w:rPr>
          <w:rStyle w:val="FootnoteReference"/>
        </w:rPr>
        <w:footnoteRef/>
      </w:r>
      <w:r w:rsidRPr="00FE71F5">
        <w:t xml:space="preserve"> </w:t>
      </w:r>
      <w:r w:rsidRPr="00FE71F5">
        <w:rPr>
          <w:i/>
        </w:rPr>
        <w:t>Yakye Axa Indigenous Community v. Paraguay</w:t>
      </w:r>
      <w:r w:rsidRPr="00FE71F5">
        <w:t xml:space="preserve">, </w:t>
      </w:r>
      <w:r w:rsidRPr="00FE71F5">
        <w:rPr>
          <w:i/>
        </w:rPr>
        <w:t>supra</w:t>
      </w:r>
      <w:r>
        <w:t xml:space="preserve"> note 90</w:t>
      </w:r>
      <w:r w:rsidRPr="00FE71F5">
        <w:t>, § 65.</w:t>
      </w:r>
    </w:p>
  </w:footnote>
  <w:footnote w:id="148">
    <w:p w:rsidR="00AE5D86" w:rsidRPr="00FE71F5" w:rsidRDefault="00AE5D86" w:rsidP="00B57B23">
      <w:pPr>
        <w:pStyle w:val="FootnoteText"/>
        <w:jc w:val="left"/>
      </w:pPr>
      <w:r w:rsidRPr="00FE71F5">
        <w:rPr>
          <w:rStyle w:val="FootnoteReference"/>
        </w:rPr>
        <w:footnoteRef/>
      </w:r>
      <w:r w:rsidRPr="00FE71F5">
        <w:t xml:space="preserve"> </w:t>
      </w:r>
      <w:r w:rsidRPr="00FE71F5">
        <w:rPr>
          <w:lang w:eastAsia="en-US"/>
        </w:rPr>
        <w:t>Hypothetical, p. 9, § 46.</w:t>
      </w:r>
    </w:p>
  </w:footnote>
  <w:footnote w:id="149">
    <w:p w:rsidR="00AE5D86" w:rsidRPr="00FE71F5" w:rsidRDefault="00AE5D86" w:rsidP="00B57B23">
      <w:pPr>
        <w:pStyle w:val="FootnoteText"/>
        <w:jc w:val="left"/>
      </w:pPr>
      <w:r w:rsidRPr="00FE71F5">
        <w:rPr>
          <w:rStyle w:val="FootnoteReference"/>
        </w:rPr>
        <w:footnoteRef/>
      </w:r>
      <w:r w:rsidRPr="00FE71F5">
        <w:t xml:space="preserve"> </w:t>
      </w:r>
      <w:r w:rsidRPr="00FE71F5">
        <w:rPr>
          <w:lang w:eastAsia="en-US"/>
        </w:rPr>
        <w:t>Hypothetical, p. 10, § 47.</w:t>
      </w:r>
    </w:p>
  </w:footnote>
  <w:footnote w:id="150">
    <w:p w:rsidR="00AE5D86" w:rsidRPr="00FE71F5" w:rsidRDefault="00AE5D86" w:rsidP="00B57B23">
      <w:pPr>
        <w:pStyle w:val="FootnoteText"/>
        <w:jc w:val="left"/>
      </w:pPr>
      <w:r w:rsidRPr="00FE71F5">
        <w:rPr>
          <w:rStyle w:val="FootnoteReference"/>
        </w:rPr>
        <w:footnoteRef/>
      </w:r>
      <w:r w:rsidRPr="00FE71F5">
        <w:t xml:space="preserve"> </w:t>
      </w:r>
      <w:r w:rsidRPr="00FE71F5">
        <w:rPr>
          <w:bCs/>
          <w:i/>
        </w:rPr>
        <w:t>Sawhoyamaxa Indigenous Community v. Paraguay,</w:t>
      </w:r>
      <w:r w:rsidRPr="00FE71F5">
        <w:t xml:space="preserve"> </w:t>
      </w:r>
      <w:r w:rsidRPr="00FE71F5">
        <w:rPr>
          <w:i/>
        </w:rPr>
        <w:t xml:space="preserve">supra </w:t>
      </w:r>
      <w:r>
        <w:t>note 98</w:t>
      </w:r>
      <w:r w:rsidRPr="00FE71F5">
        <w:t>,</w:t>
      </w:r>
      <w:r w:rsidRPr="00FE71F5">
        <w:rPr>
          <w:bCs/>
        </w:rPr>
        <w:t xml:space="preserve"> </w:t>
      </w:r>
      <w:r w:rsidRPr="00FE71F5">
        <w:t xml:space="preserve">§ </w:t>
      </w:r>
      <w:r w:rsidRPr="00FE71F5">
        <w:rPr>
          <w:bCs/>
        </w:rPr>
        <w:t xml:space="preserve">164; </w:t>
      </w:r>
      <w:r w:rsidRPr="00FE71F5">
        <w:rPr>
          <w:i/>
        </w:rPr>
        <w:t>Yakye Axa Indigenous Community v. Paraguay</w:t>
      </w:r>
      <w:r w:rsidRPr="00FE71F5">
        <w:t xml:space="preserve">, </w:t>
      </w:r>
      <w:r w:rsidRPr="00FE71F5">
        <w:rPr>
          <w:i/>
        </w:rPr>
        <w:t>supra</w:t>
      </w:r>
      <w:r>
        <w:t xml:space="preserve"> note 90</w:t>
      </w:r>
      <w:r w:rsidRPr="00FE71F5">
        <w:t>, § 65.</w:t>
      </w:r>
    </w:p>
  </w:footnote>
  <w:footnote w:id="151">
    <w:p w:rsidR="00AE5D86" w:rsidRPr="00622233" w:rsidRDefault="00AE5D86" w:rsidP="00B57B23">
      <w:pPr>
        <w:pStyle w:val="FootnoteText"/>
        <w:jc w:val="left"/>
        <w:rPr>
          <w:lang w:val="es-ES"/>
        </w:rPr>
      </w:pPr>
      <w:r w:rsidRPr="00FE71F5">
        <w:rPr>
          <w:rStyle w:val="FootnoteReference"/>
        </w:rPr>
        <w:footnoteRef/>
      </w:r>
      <w:r w:rsidRPr="00622233">
        <w:rPr>
          <w:lang w:val="es-ES"/>
        </w:rPr>
        <w:t xml:space="preserve"> </w:t>
      </w:r>
      <w:r w:rsidRPr="00622233">
        <w:rPr>
          <w:bCs/>
          <w:i/>
          <w:lang w:val="es-ES"/>
        </w:rPr>
        <w:t xml:space="preserve">Acosta-Calderón </w:t>
      </w:r>
      <w:r w:rsidRPr="00622233">
        <w:rPr>
          <w:bCs/>
          <w:i/>
          <w:iCs/>
          <w:lang w:val="es-ES"/>
        </w:rPr>
        <w:t xml:space="preserve">v. </w:t>
      </w:r>
      <w:r w:rsidRPr="00622233">
        <w:rPr>
          <w:bCs/>
          <w:i/>
          <w:lang w:val="es-ES"/>
        </w:rPr>
        <w:t>Ecuador</w:t>
      </w:r>
      <w:r w:rsidRPr="00622233">
        <w:rPr>
          <w:bCs/>
          <w:lang w:val="es-ES"/>
        </w:rPr>
        <w:t xml:space="preserve">, </w:t>
      </w:r>
      <w:r w:rsidRPr="00622233">
        <w:rPr>
          <w:bCs/>
          <w:i/>
          <w:iCs/>
          <w:lang w:val="es-ES"/>
        </w:rPr>
        <w:t xml:space="preserve">supra </w:t>
      </w:r>
      <w:r w:rsidR="00876033" w:rsidRPr="00622233">
        <w:rPr>
          <w:bCs/>
          <w:iCs/>
          <w:lang w:val="es-ES"/>
        </w:rPr>
        <w:t>note 77</w:t>
      </w:r>
      <w:r w:rsidRPr="00622233">
        <w:rPr>
          <w:bCs/>
          <w:iCs/>
          <w:lang w:val="es-ES"/>
        </w:rPr>
        <w:t xml:space="preserve">, </w:t>
      </w:r>
      <w:r w:rsidRPr="00622233">
        <w:rPr>
          <w:bCs/>
          <w:lang w:val="es-ES"/>
        </w:rPr>
        <w:t xml:space="preserve">§ 92; </w:t>
      </w:r>
      <w:r w:rsidRPr="00622233">
        <w:rPr>
          <w:i/>
          <w:lang w:val="es-ES"/>
        </w:rPr>
        <w:t>Kichwa Indigenous People of Sarayaku v. Ecuador</w:t>
      </w:r>
      <w:r w:rsidRPr="00622233">
        <w:rPr>
          <w:lang w:val="es-ES"/>
        </w:rPr>
        <w:t xml:space="preserve">, </w:t>
      </w:r>
      <w:r w:rsidRPr="00622233">
        <w:rPr>
          <w:i/>
          <w:lang w:val="es-ES"/>
        </w:rPr>
        <w:t>supra</w:t>
      </w:r>
      <w:r w:rsidRPr="00622233">
        <w:rPr>
          <w:lang w:val="es-ES"/>
        </w:rPr>
        <w:t xml:space="preserve"> note 33, § 262.</w:t>
      </w:r>
    </w:p>
  </w:footnote>
  <w:footnote w:id="152">
    <w:p w:rsidR="00AE5D86" w:rsidRPr="00FE71F5" w:rsidRDefault="00AE5D86" w:rsidP="00B57B23">
      <w:pPr>
        <w:pStyle w:val="FootnoteText"/>
        <w:jc w:val="left"/>
      </w:pPr>
      <w:r w:rsidRPr="00FE71F5">
        <w:rPr>
          <w:rStyle w:val="FootnoteReference"/>
        </w:rPr>
        <w:footnoteRef/>
      </w:r>
      <w:r w:rsidRPr="00FE71F5">
        <w:t xml:space="preserve"> </w:t>
      </w:r>
      <w:r w:rsidRPr="00FE71F5">
        <w:rPr>
          <w:bCs/>
          <w:i/>
        </w:rPr>
        <w:t>Human Rights Defender et al. v. Guatemala</w:t>
      </w:r>
      <w:r w:rsidRPr="00FE71F5">
        <w:t xml:space="preserve">, IACtHR, 28 August 2004, § 199; </w:t>
      </w:r>
      <w:r w:rsidRPr="00FE71F5">
        <w:rPr>
          <w:i/>
        </w:rPr>
        <w:t>Kichwa Indigenous People of Sarayaku v. Ecuador</w:t>
      </w:r>
      <w:r w:rsidRPr="00FE71F5">
        <w:t xml:space="preserve">, </w:t>
      </w:r>
      <w:r w:rsidRPr="00FE71F5">
        <w:rPr>
          <w:i/>
        </w:rPr>
        <w:t>supra</w:t>
      </w:r>
      <w:r>
        <w:t xml:space="preserve"> note 33</w:t>
      </w:r>
      <w:r w:rsidRPr="00FE71F5">
        <w:t>, § 260.</w:t>
      </w:r>
    </w:p>
  </w:footnote>
  <w:footnote w:id="153">
    <w:p w:rsidR="00AE5D86" w:rsidRPr="00622233" w:rsidRDefault="00AE5D86" w:rsidP="00B57B23">
      <w:pPr>
        <w:pStyle w:val="FootnoteText"/>
        <w:jc w:val="left"/>
        <w:rPr>
          <w:lang w:val="es-ES"/>
        </w:rPr>
      </w:pPr>
      <w:r w:rsidRPr="00FE71F5">
        <w:rPr>
          <w:rStyle w:val="FootnoteReference"/>
        </w:rPr>
        <w:footnoteRef/>
      </w:r>
      <w:r w:rsidRPr="00622233">
        <w:rPr>
          <w:lang w:val="es-ES"/>
        </w:rPr>
        <w:t xml:space="preserve"> </w:t>
      </w:r>
      <w:r w:rsidRPr="00622233">
        <w:rPr>
          <w:bCs/>
          <w:i/>
          <w:lang w:val="es-ES"/>
        </w:rPr>
        <w:t xml:space="preserve">Acosta-Calderón </w:t>
      </w:r>
      <w:r w:rsidRPr="00622233">
        <w:rPr>
          <w:bCs/>
          <w:i/>
          <w:iCs/>
          <w:lang w:val="es-ES"/>
        </w:rPr>
        <w:t xml:space="preserve">v. </w:t>
      </w:r>
      <w:r w:rsidRPr="00622233">
        <w:rPr>
          <w:bCs/>
          <w:i/>
          <w:lang w:val="es-ES"/>
        </w:rPr>
        <w:t>Ecuador</w:t>
      </w:r>
      <w:r w:rsidRPr="00622233">
        <w:rPr>
          <w:bCs/>
          <w:lang w:val="es-ES"/>
        </w:rPr>
        <w:t xml:space="preserve">, </w:t>
      </w:r>
      <w:r w:rsidRPr="00622233">
        <w:rPr>
          <w:bCs/>
          <w:i/>
          <w:iCs/>
          <w:lang w:val="es-ES"/>
        </w:rPr>
        <w:t xml:space="preserve">supra </w:t>
      </w:r>
      <w:r w:rsidR="00876033" w:rsidRPr="00622233">
        <w:rPr>
          <w:bCs/>
          <w:iCs/>
          <w:lang w:val="es-ES"/>
        </w:rPr>
        <w:t>note 77</w:t>
      </w:r>
      <w:r w:rsidRPr="00622233">
        <w:rPr>
          <w:bCs/>
          <w:iCs/>
          <w:lang w:val="es-ES"/>
        </w:rPr>
        <w:t xml:space="preserve">, </w:t>
      </w:r>
      <w:r w:rsidRPr="00622233">
        <w:rPr>
          <w:bCs/>
          <w:lang w:val="es-ES"/>
        </w:rPr>
        <w:t>§ 93.</w:t>
      </w:r>
    </w:p>
  </w:footnote>
  <w:footnote w:id="154">
    <w:p w:rsidR="00AE5D86" w:rsidRPr="00FE71F5" w:rsidRDefault="00AE5D86" w:rsidP="00B57B23">
      <w:pPr>
        <w:pStyle w:val="FootnoteText"/>
        <w:jc w:val="left"/>
      </w:pPr>
      <w:r w:rsidRPr="00FE71F5">
        <w:rPr>
          <w:rStyle w:val="FootnoteReference"/>
        </w:rPr>
        <w:footnoteRef/>
      </w:r>
      <w:r w:rsidRPr="00FE71F5">
        <w:t xml:space="preserve"> </w:t>
      </w:r>
      <w:r w:rsidRPr="00FE71F5">
        <w:rPr>
          <w:i/>
        </w:rPr>
        <w:t>Kichwa Indigenous People of Sarayaku v. Ecuador</w:t>
      </w:r>
      <w:r w:rsidRPr="00FE71F5">
        <w:t xml:space="preserve">, </w:t>
      </w:r>
      <w:r w:rsidRPr="00FE71F5">
        <w:rPr>
          <w:i/>
        </w:rPr>
        <w:t>supra</w:t>
      </w:r>
      <w:r>
        <w:t xml:space="preserve"> note 33</w:t>
      </w:r>
      <w:r w:rsidRPr="00FE71F5">
        <w:t>, § 263.</w:t>
      </w:r>
    </w:p>
  </w:footnote>
  <w:footnote w:id="155">
    <w:p w:rsidR="00AE5D86" w:rsidRPr="00FE71F5" w:rsidRDefault="00AE5D86" w:rsidP="00B57B23">
      <w:pPr>
        <w:pStyle w:val="FootnoteText"/>
        <w:jc w:val="left"/>
      </w:pPr>
      <w:r w:rsidRPr="00FE71F5">
        <w:rPr>
          <w:rStyle w:val="FootnoteReference"/>
        </w:rPr>
        <w:footnoteRef/>
      </w:r>
      <w:r w:rsidRPr="00FE71F5">
        <w:t xml:space="preserve"> </w:t>
      </w:r>
      <w:r w:rsidRPr="00FE71F5">
        <w:rPr>
          <w:i/>
        </w:rPr>
        <w:t>Kichwa Indigenous People of Sarayaku v. Ecuador</w:t>
      </w:r>
      <w:r w:rsidRPr="00FE71F5">
        <w:t xml:space="preserve">, </w:t>
      </w:r>
      <w:r w:rsidRPr="00FE71F5">
        <w:rPr>
          <w:i/>
        </w:rPr>
        <w:t>supra</w:t>
      </w:r>
      <w:r>
        <w:t xml:space="preserve"> note 33,</w:t>
      </w:r>
      <w:r w:rsidRPr="00FE71F5">
        <w:t xml:space="preserve"> § 264.</w:t>
      </w:r>
    </w:p>
  </w:footnote>
  <w:footnote w:id="156">
    <w:p w:rsidR="00AE5D86" w:rsidRPr="00FE71F5" w:rsidRDefault="00AE5D86" w:rsidP="00B57B23">
      <w:pPr>
        <w:pStyle w:val="FootnoteText"/>
        <w:jc w:val="left"/>
      </w:pPr>
      <w:r w:rsidRPr="00FE71F5">
        <w:rPr>
          <w:rStyle w:val="FootnoteReference"/>
        </w:rPr>
        <w:footnoteRef/>
      </w:r>
      <w:r w:rsidRPr="00FE71F5">
        <w:t xml:space="preserve"> </w:t>
      </w:r>
      <w:r w:rsidRPr="00FE71F5">
        <w:rPr>
          <w:lang w:eastAsia="en-US"/>
        </w:rPr>
        <w:t>Hypothetical, p. 10, § 47.</w:t>
      </w:r>
    </w:p>
  </w:footnote>
  <w:footnote w:id="157">
    <w:p w:rsidR="00AE5D86" w:rsidRPr="00FE71F5" w:rsidRDefault="00AE5D86" w:rsidP="00B57B23">
      <w:pPr>
        <w:pStyle w:val="FootnoteText"/>
        <w:jc w:val="left"/>
      </w:pPr>
      <w:r w:rsidRPr="00FE71F5">
        <w:rPr>
          <w:rStyle w:val="FootnoteReference"/>
        </w:rPr>
        <w:footnoteRef/>
      </w:r>
      <w:r w:rsidRPr="00FE71F5">
        <w:t xml:space="preserve"> </w:t>
      </w:r>
      <w:r w:rsidRPr="00FE71F5">
        <w:rPr>
          <w:bCs/>
          <w:i/>
          <w:lang w:eastAsia="en-US"/>
        </w:rPr>
        <w:t>The Human Rights Situation in Mexico</w:t>
      </w:r>
      <w:r w:rsidRPr="00FE71F5">
        <w:rPr>
          <w:bCs/>
          <w:lang w:eastAsia="en-US"/>
        </w:rPr>
        <w:t xml:space="preserve">, IACHR, Doc. 44/15, </w:t>
      </w:r>
      <w:r w:rsidRPr="00FE71F5">
        <w:t xml:space="preserve">31 December 2015, </w:t>
      </w:r>
      <w:r w:rsidRPr="00FE71F5">
        <w:rPr>
          <w:bCs/>
          <w:lang w:eastAsia="en-US"/>
        </w:rPr>
        <w:t>§ 253.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D86" w:rsidRPr="00EE29EB" w:rsidRDefault="00AE5D86" w:rsidP="002626D8">
    <w:pPr>
      <w:pStyle w:val="Header"/>
      <w:pBdr>
        <w:bottom w:val="single" w:sz="4" w:space="1" w:color="000000"/>
      </w:pBdr>
      <w:tabs>
        <w:tab w:val="clear" w:pos="9072"/>
        <w:tab w:val="right" w:pos="9356"/>
      </w:tabs>
      <w:spacing w:line="240" w:lineRule="auto"/>
      <w:jc w:val="left"/>
    </w:pPr>
    <w:r>
      <w:rPr>
        <w:sz w:val="22"/>
        <w:szCs w:val="22"/>
      </w:rPr>
      <w:t>Memorial for the State</w:t>
    </w:r>
    <w:r w:rsidRPr="00EE29EB">
      <w:rPr>
        <w:sz w:val="22"/>
        <w:szCs w:val="22"/>
      </w:rPr>
      <w:tab/>
    </w:r>
    <w:r w:rsidRPr="00EE29EB">
      <w:rPr>
        <w:sz w:val="22"/>
        <w:szCs w:val="22"/>
      </w:rPr>
      <w:tab/>
    </w:r>
    <w:r>
      <w:rPr>
        <w:sz w:val="22"/>
        <w:szCs w:val="22"/>
      </w:rPr>
      <w:t>204</w:t>
    </w:r>
  </w:p>
  <w:p w:rsidR="00AE5D86" w:rsidRPr="002626D8" w:rsidRDefault="00AE5D86" w:rsidP="002626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D86" w:rsidRDefault="00AE5D8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D86" w:rsidRPr="001B2B13" w:rsidRDefault="00AE5D86" w:rsidP="0069365D">
    <w:pPr>
      <w:pStyle w:val="Header"/>
      <w:pBdr>
        <w:bottom w:val="single" w:sz="4" w:space="1" w:color="000000"/>
      </w:pBdr>
      <w:tabs>
        <w:tab w:val="clear" w:pos="9072"/>
        <w:tab w:val="right" w:pos="4536"/>
        <w:tab w:val="right" w:pos="9356"/>
        <w:tab w:val="center" w:pos="10206"/>
      </w:tabs>
      <w:spacing w:line="240" w:lineRule="auto"/>
      <w:jc w:val="left"/>
      <w:rPr>
        <w:sz w:val="22"/>
        <w:szCs w:val="22"/>
      </w:rPr>
    </w:pPr>
    <w:r>
      <w:rPr>
        <w:sz w:val="22"/>
        <w:szCs w:val="22"/>
      </w:rPr>
      <w:t>Memorial for the State</w:t>
    </w:r>
    <w:r>
      <w:rPr>
        <w:sz w:val="22"/>
        <w:szCs w:val="22"/>
      </w:rPr>
      <w:tab/>
    </w:r>
    <w:r>
      <w:rPr>
        <w:sz w:val="22"/>
        <w:szCs w:val="22"/>
      </w:rPr>
      <w:tab/>
      <w:t>204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D86" w:rsidRDefault="00AE5D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59C73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upperRoman"/>
      <w:pStyle w:val="Heading1"/>
      <w:lvlText w:val="%1."/>
      <w:lvlJc w:val="left"/>
      <w:pPr>
        <w:tabs>
          <w:tab w:val="num" w:pos="432"/>
        </w:tabs>
        <w:ind w:left="432" w:hanging="432"/>
      </w:pPr>
    </w:lvl>
    <w:lvl w:ilvl="1">
      <w:start w:val="1"/>
      <w:numFmt w:val="upperLetter"/>
      <w:pStyle w:val="Heading2"/>
      <w:lvlText w:val="%2."/>
      <w:lvlJc w:val="left"/>
      <w:pPr>
        <w:tabs>
          <w:tab w:val="num" w:pos="576"/>
        </w:tabs>
        <w:ind w:left="576" w:hanging="576"/>
      </w:pPr>
    </w:lvl>
    <w:lvl w:ilvl="2">
      <w:start w:val="1"/>
      <w:numFmt w:val="decimal"/>
      <w:pStyle w:val="Heading3"/>
      <w:lvlText w:val="%3."/>
      <w:lvlJc w:val="left"/>
      <w:pPr>
        <w:tabs>
          <w:tab w:val="num" w:pos="720"/>
        </w:tabs>
        <w:ind w:left="720" w:hanging="720"/>
      </w:pPr>
    </w:lvl>
    <w:lvl w:ilvl="3">
      <w:start w:val="1"/>
      <w:numFmt w:val="lowerLetter"/>
      <w:pStyle w:val="Heading4"/>
      <w:lvlText w:val="%4)"/>
      <w:lvlJc w:val="left"/>
      <w:pPr>
        <w:tabs>
          <w:tab w:val="num" w:pos="864"/>
        </w:tabs>
        <w:ind w:left="864" w:hanging="864"/>
      </w:pPr>
    </w:lvl>
    <w:lvl w:ilvl="4">
      <w:start w:val="1"/>
      <w:numFmt w:val="lowerRoman"/>
      <w:pStyle w:val="Heading5"/>
      <w:lvlText w:val="%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26886643"/>
    <w:multiLevelType w:val="hybridMultilevel"/>
    <w:tmpl w:val="AC606E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EB51D99"/>
    <w:multiLevelType w:val="multilevel"/>
    <w:tmpl w:val="00000001"/>
    <w:lvl w:ilvl="0">
      <w:start w:val="1"/>
      <w:numFmt w:val="upperRoman"/>
      <w:lvlText w:val="%1."/>
      <w:lvlJc w:val="left"/>
      <w:pPr>
        <w:tabs>
          <w:tab w:val="num" w:pos="432"/>
        </w:tabs>
        <w:ind w:left="432" w:hanging="432"/>
      </w:pPr>
    </w:lvl>
    <w:lvl w:ilvl="1">
      <w:start w:val="1"/>
      <w:numFmt w:val="upperLetter"/>
      <w:lvlText w:val="%2."/>
      <w:lvlJc w:val="left"/>
      <w:pPr>
        <w:tabs>
          <w:tab w:val="num" w:pos="576"/>
        </w:tabs>
        <w:ind w:left="576" w:hanging="576"/>
      </w:pPr>
    </w:lvl>
    <w:lvl w:ilvl="2">
      <w:start w:val="1"/>
      <w:numFmt w:val="decimal"/>
      <w:lvlText w:val="%3."/>
      <w:lvlJc w:val="left"/>
      <w:pPr>
        <w:tabs>
          <w:tab w:val="num" w:pos="720"/>
        </w:tabs>
        <w:ind w:left="720" w:hanging="720"/>
      </w:pPr>
    </w:lvl>
    <w:lvl w:ilvl="3">
      <w:start w:val="1"/>
      <w:numFmt w:val="lowerLetter"/>
      <w:lvlText w:val="%4)"/>
      <w:lvlJc w:val="left"/>
      <w:pPr>
        <w:tabs>
          <w:tab w:val="num" w:pos="864"/>
        </w:tabs>
        <w:ind w:left="864" w:hanging="864"/>
      </w:pPr>
    </w:lvl>
    <w:lvl w:ilvl="4">
      <w:start w:val="1"/>
      <w:numFmt w:val="lowerRoman"/>
      <w:lvlText w:val="%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2"/>
  </w:num>
  <w:num w:numId="3">
    <w:abstractNumId w:val="1"/>
  </w:num>
  <w:num w:numId="4">
    <w:abstractNumId w:val="1"/>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defaultTabStop w:val="709"/>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C4"/>
    <w:rsid w:val="00002A8E"/>
    <w:rsid w:val="00003F12"/>
    <w:rsid w:val="000044F2"/>
    <w:rsid w:val="00004EC0"/>
    <w:rsid w:val="000057C1"/>
    <w:rsid w:val="00006793"/>
    <w:rsid w:val="00006988"/>
    <w:rsid w:val="00006DDB"/>
    <w:rsid w:val="00007425"/>
    <w:rsid w:val="00007C57"/>
    <w:rsid w:val="00010952"/>
    <w:rsid w:val="0001278E"/>
    <w:rsid w:val="00012E72"/>
    <w:rsid w:val="00013585"/>
    <w:rsid w:val="000140DD"/>
    <w:rsid w:val="0001454D"/>
    <w:rsid w:val="00015F5C"/>
    <w:rsid w:val="00017762"/>
    <w:rsid w:val="00020048"/>
    <w:rsid w:val="0002064F"/>
    <w:rsid w:val="000215DF"/>
    <w:rsid w:val="0002222A"/>
    <w:rsid w:val="0002290A"/>
    <w:rsid w:val="00022A06"/>
    <w:rsid w:val="00023042"/>
    <w:rsid w:val="00023D0F"/>
    <w:rsid w:val="00024080"/>
    <w:rsid w:val="00025299"/>
    <w:rsid w:val="000259D4"/>
    <w:rsid w:val="0002616C"/>
    <w:rsid w:val="00026AA9"/>
    <w:rsid w:val="00027172"/>
    <w:rsid w:val="00027BF9"/>
    <w:rsid w:val="0003097C"/>
    <w:rsid w:val="00031A5B"/>
    <w:rsid w:val="00031BAD"/>
    <w:rsid w:val="000339F5"/>
    <w:rsid w:val="000341D6"/>
    <w:rsid w:val="00034814"/>
    <w:rsid w:val="00035229"/>
    <w:rsid w:val="00035875"/>
    <w:rsid w:val="00035A99"/>
    <w:rsid w:val="000366AD"/>
    <w:rsid w:val="00037338"/>
    <w:rsid w:val="0003745B"/>
    <w:rsid w:val="00040A6A"/>
    <w:rsid w:val="000414B8"/>
    <w:rsid w:val="00041B4F"/>
    <w:rsid w:val="00041BAE"/>
    <w:rsid w:val="00042539"/>
    <w:rsid w:val="00042749"/>
    <w:rsid w:val="00042BED"/>
    <w:rsid w:val="00043F46"/>
    <w:rsid w:val="00044BD0"/>
    <w:rsid w:val="00046576"/>
    <w:rsid w:val="000473FE"/>
    <w:rsid w:val="0004774E"/>
    <w:rsid w:val="0005191A"/>
    <w:rsid w:val="00051C21"/>
    <w:rsid w:val="00052DA5"/>
    <w:rsid w:val="00053214"/>
    <w:rsid w:val="000537C5"/>
    <w:rsid w:val="0005425E"/>
    <w:rsid w:val="00054689"/>
    <w:rsid w:val="00055E72"/>
    <w:rsid w:val="000564DF"/>
    <w:rsid w:val="00056E75"/>
    <w:rsid w:val="000604D9"/>
    <w:rsid w:val="00060882"/>
    <w:rsid w:val="000608E1"/>
    <w:rsid w:val="00060FF1"/>
    <w:rsid w:val="00061DAE"/>
    <w:rsid w:val="00062E65"/>
    <w:rsid w:val="00063CA6"/>
    <w:rsid w:val="00065A20"/>
    <w:rsid w:val="0006632A"/>
    <w:rsid w:val="00070308"/>
    <w:rsid w:val="000705F3"/>
    <w:rsid w:val="00070CCA"/>
    <w:rsid w:val="00071B7F"/>
    <w:rsid w:val="000728CB"/>
    <w:rsid w:val="000730D9"/>
    <w:rsid w:val="00073B75"/>
    <w:rsid w:val="0007558B"/>
    <w:rsid w:val="00075D64"/>
    <w:rsid w:val="00075D8B"/>
    <w:rsid w:val="000764F2"/>
    <w:rsid w:val="000767FB"/>
    <w:rsid w:val="00076D23"/>
    <w:rsid w:val="00076DB9"/>
    <w:rsid w:val="00077277"/>
    <w:rsid w:val="000779A4"/>
    <w:rsid w:val="00080C36"/>
    <w:rsid w:val="0008409E"/>
    <w:rsid w:val="00085431"/>
    <w:rsid w:val="00086492"/>
    <w:rsid w:val="0008694F"/>
    <w:rsid w:val="00086B06"/>
    <w:rsid w:val="000870F2"/>
    <w:rsid w:val="0009219F"/>
    <w:rsid w:val="000939A8"/>
    <w:rsid w:val="00093DC7"/>
    <w:rsid w:val="00094BA8"/>
    <w:rsid w:val="000955EF"/>
    <w:rsid w:val="00095D16"/>
    <w:rsid w:val="000968D4"/>
    <w:rsid w:val="000A043B"/>
    <w:rsid w:val="000A0563"/>
    <w:rsid w:val="000A078B"/>
    <w:rsid w:val="000A1C7F"/>
    <w:rsid w:val="000A248D"/>
    <w:rsid w:val="000A2689"/>
    <w:rsid w:val="000A3C03"/>
    <w:rsid w:val="000A406D"/>
    <w:rsid w:val="000A49A4"/>
    <w:rsid w:val="000A4EEE"/>
    <w:rsid w:val="000A67FE"/>
    <w:rsid w:val="000A7B6E"/>
    <w:rsid w:val="000B0215"/>
    <w:rsid w:val="000B1588"/>
    <w:rsid w:val="000B1CFF"/>
    <w:rsid w:val="000B20AC"/>
    <w:rsid w:val="000B20F1"/>
    <w:rsid w:val="000B32E4"/>
    <w:rsid w:val="000B3817"/>
    <w:rsid w:val="000B4436"/>
    <w:rsid w:val="000B44AE"/>
    <w:rsid w:val="000B5710"/>
    <w:rsid w:val="000B67B0"/>
    <w:rsid w:val="000B68D3"/>
    <w:rsid w:val="000B72FA"/>
    <w:rsid w:val="000C00B1"/>
    <w:rsid w:val="000C1098"/>
    <w:rsid w:val="000C13CD"/>
    <w:rsid w:val="000C1C25"/>
    <w:rsid w:val="000C1D77"/>
    <w:rsid w:val="000C1EA2"/>
    <w:rsid w:val="000C2605"/>
    <w:rsid w:val="000C2872"/>
    <w:rsid w:val="000C2AA2"/>
    <w:rsid w:val="000C453F"/>
    <w:rsid w:val="000C466B"/>
    <w:rsid w:val="000C5821"/>
    <w:rsid w:val="000C5D48"/>
    <w:rsid w:val="000C6738"/>
    <w:rsid w:val="000C6A05"/>
    <w:rsid w:val="000D0328"/>
    <w:rsid w:val="000D080E"/>
    <w:rsid w:val="000D0DFC"/>
    <w:rsid w:val="000D0FC0"/>
    <w:rsid w:val="000D3F26"/>
    <w:rsid w:val="000D5F3F"/>
    <w:rsid w:val="000D61D4"/>
    <w:rsid w:val="000D691B"/>
    <w:rsid w:val="000D6AF8"/>
    <w:rsid w:val="000D6B47"/>
    <w:rsid w:val="000D7052"/>
    <w:rsid w:val="000D7E18"/>
    <w:rsid w:val="000E04A9"/>
    <w:rsid w:val="000E1406"/>
    <w:rsid w:val="000E1919"/>
    <w:rsid w:val="000E1BB6"/>
    <w:rsid w:val="000E21FB"/>
    <w:rsid w:val="000E25FA"/>
    <w:rsid w:val="000E341A"/>
    <w:rsid w:val="000E362F"/>
    <w:rsid w:val="000E363E"/>
    <w:rsid w:val="000E3B39"/>
    <w:rsid w:val="000E4697"/>
    <w:rsid w:val="000E5948"/>
    <w:rsid w:val="000E63BC"/>
    <w:rsid w:val="000F0ABC"/>
    <w:rsid w:val="000F4205"/>
    <w:rsid w:val="000F467D"/>
    <w:rsid w:val="000F557B"/>
    <w:rsid w:val="000F6756"/>
    <w:rsid w:val="000F6F16"/>
    <w:rsid w:val="000F7B04"/>
    <w:rsid w:val="00100222"/>
    <w:rsid w:val="00100978"/>
    <w:rsid w:val="00101061"/>
    <w:rsid w:val="001028DF"/>
    <w:rsid w:val="00104F6D"/>
    <w:rsid w:val="001052C3"/>
    <w:rsid w:val="0010530D"/>
    <w:rsid w:val="00106643"/>
    <w:rsid w:val="00106815"/>
    <w:rsid w:val="00106866"/>
    <w:rsid w:val="001069BD"/>
    <w:rsid w:val="00110289"/>
    <w:rsid w:val="001120F5"/>
    <w:rsid w:val="00112318"/>
    <w:rsid w:val="0011243E"/>
    <w:rsid w:val="00113B0A"/>
    <w:rsid w:val="00114201"/>
    <w:rsid w:val="0011422A"/>
    <w:rsid w:val="001148B8"/>
    <w:rsid w:val="001150A3"/>
    <w:rsid w:val="001151D7"/>
    <w:rsid w:val="00116BAB"/>
    <w:rsid w:val="00117A73"/>
    <w:rsid w:val="00117F09"/>
    <w:rsid w:val="00120A78"/>
    <w:rsid w:val="00120D1B"/>
    <w:rsid w:val="0012106E"/>
    <w:rsid w:val="00122AE3"/>
    <w:rsid w:val="00122BAC"/>
    <w:rsid w:val="00124A35"/>
    <w:rsid w:val="001252E3"/>
    <w:rsid w:val="001261BF"/>
    <w:rsid w:val="00126325"/>
    <w:rsid w:val="001269B5"/>
    <w:rsid w:val="00126D38"/>
    <w:rsid w:val="001271EE"/>
    <w:rsid w:val="00130CC4"/>
    <w:rsid w:val="00130E4F"/>
    <w:rsid w:val="001316E4"/>
    <w:rsid w:val="001325D5"/>
    <w:rsid w:val="001336EA"/>
    <w:rsid w:val="00135148"/>
    <w:rsid w:val="00135675"/>
    <w:rsid w:val="001357DB"/>
    <w:rsid w:val="00135892"/>
    <w:rsid w:val="00135952"/>
    <w:rsid w:val="0013612B"/>
    <w:rsid w:val="001365BB"/>
    <w:rsid w:val="00136955"/>
    <w:rsid w:val="001418CD"/>
    <w:rsid w:val="00141E9F"/>
    <w:rsid w:val="00141FAE"/>
    <w:rsid w:val="001435BA"/>
    <w:rsid w:val="00143C24"/>
    <w:rsid w:val="0014464E"/>
    <w:rsid w:val="0014499A"/>
    <w:rsid w:val="00145313"/>
    <w:rsid w:val="00146BFE"/>
    <w:rsid w:val="00146DCB"/>
    <w:rsid w:val="00150175"/>
    <w:rsid w:val="00150683"/>
    <w:rsid w:val="00151D57"/>
    <w:rsid w:val="00151E08"/>
    <w:rsid w:val="001522EB"/>
    <w:rsid w:val="00152F6C"/>
    <w:rsid w:val="001530F1"/>
    <w:rsid w:val="00153B1A"/>
    <w:rsid w:val="00157212"/>
    <w:rsid w:val="00157F69"/>
    <w:rsid w:val="00160F45"/>
    <w:rsid w:val="0016144D"/>
    <w:rsid w:val="0016256A"/>
    <w:rsid w:val="00162627"/>
    <w:rsid w:val="00162663"/>
    <w:rsid w:val="001629D9"/>
    <w:rsid w:val="00162EFC"/>
    <w:rsid w:val="00163E50"/>
    <w:rsid w:val="0016400D"/>
    <w:rsid w:val="00164FCE"/>
    <w:rsid w:val="001655B8"/>
    <w:rsid w:val="00165894"/>
    <w:rsid w:val="00165FF2"/>
    <w:rsid w:val="001665B5"/>
    <w:rsid w:val="00166E53"/>
    <w:rsid w:val="00167998"/>
    <w:rsid w:val="00167BCB"/>
    <w:rsid w:val="00167C8A"/>
    <w:rsid w:val="00167E88"/>
    <w:rsid w:val="00167EC6"/>
    <w:rsid w:val="0017057A"/>
    <w:rsid w:val="0017120D"/>
    <w:rsid w:val="00171391"/>
    <w:rsid w:val="00171A46"/>
    <w:rsid w:val="0017216D"/>
    <w:rsid w:val="00173ACD"/>
    <w:rsid w:val="00174FFD"/>
    <w:rsid w:val="001764CB"/>
    <w:rsid w:val="00176B03"/>
    <w:rsid w:val="00176CDA"/>
    <w:rsid w:val="0017758D"/>
    <w:rsid w:val="00177C1A"/>
    <w:rsid w:val="00180248"/>
    <w:rsid w:val="00180BC3"/>
    <w:rsid w:val="00181B79"/>
    <w:rsid w:val="001823D3"/>
    <w:rsid w:val="00182B74"/>
    <w:rsid w:val="00182CA1"/>
    <w:rsid w:val="00183453"/>
    <w:rsid w:val="00183F70"/>
    <w:rsid w:val="00184C17"/>
    <w:rsid w:val="00184DF8"/>
    <w:rsid w:val="00184EC4"/>
    <w:rsid w:val="00186DDE"/>
    <w:rsid w:val="00186F8C"/>
    <w:rsid w:val="00187D51"/>
    <w:rsid w:val="00187EB1"/>
    <w:rsid w:val="0019194D"/>
    <w:rsid w:val="00191A94"/>
    <w:rsid w:val="00192791"/>
    <w:rsid w:val="001939C2"/>
    <w:rsid w:val="00193EF6"/>
    <w:rsid w:val="0019422E"/>
    <w:rsid w:val="00194767"/>
    <w:rsid w:val="00194ADC"/>
    <w:rsid w:val="00194FCC"/>
    <w:rsid w:val="00195B1E"/>
    <w:rsid w:val="00195CCE"/>
    <w:rsid w:val="0019695F"/>
    <w:rsid w:val="00197D1B"/>
    <w:rsid w:val="001A0879"/>
    <w:rsid w:val="001A2844"/>
    <w:rsid w:val="001A2C75"/>
    <w:rsid w:val="001A2F6E"/>
    <w:rsid w:val="001A3A61"/>
    <w:rsid w:val="001A3B9C"/>
    <w:rsid w:val="001A4B53"/>
    <w:rsid w:val="001A6EFC"/>
    <w:rsid w:val="001A75B1"/>
    <w:rsid w:val="001B15CC"/>
    <w:rsid w:val="001B2B13"/>
    <w:rsid w:val="001B3F0C"/>
    <w:rsid w:val="001B401F"/>
    <w:rsid w:val="001B51CB"/>
    <w:rsid w:val="001B54BE"/>
    <w:rsid w:val="001B55A4"/>
    <w:rsid w:val="001B59CC"/>
    <w:rsid w:val="001B5B4C"/>
    <w:rsid w:val="001B7D46"/>
    <w:rsid w:val="001C0291"/>
    <w:rsid w:val="001C0302"/>
    <w:rsid w:val="001C0694"/>
    <w:rsid w:val="001C1395"/>
    <w:rsid w:val="001C1CD3"/>
    <w:rsid w:val="001C202A"/>
    <w:rsid w:val="001C26E2"/>
    <w:rsid w:val="001C39E2"/>
    <w:rsid w:val="001C45DA"/>
    <w:rsid w:val="001C595E"/>
    <w:rsid w:val="001C6076"/>
    <w:rsid w:val="001C613B"/>
    <w:rsid w:val="001C656E"/>
    <w:rsid w:val="001C6B35"/>
    <w:rsid w:val="001C7180"/>
    <w:rsid w:val="001C7BE0"/>
    <w:rsid w:val="001D0401"/>
    <w:rsid w:val="001D0467"/>
    <w:rsid w:val="001D07FE"/>
    <w:rsid w:val="001D125D"/>
    <w:rsid w:val="001D3025"/>
    <w:rsid w:val="001D31C8"/>
    <w:rsid w:val="001D3ACB"/>
    <w:rsid w:val="001D54B2"/>
    <w:rsid w:val="001D6691"/>
    <w:rsid w:val="001D6868"/>
    <w:rsid w:val="001E006A"/>
    <w:rsid w:val="001E0619"/>
    <w:rsid w:val="001E0AF0"/>
    <w:rsid w:val="001E12DD"/>
    <w:rsid w:val="001E2718"/>
    <w:rsid w:val="001E2940"/>
    <w:rsid w:val="001E431C"/>
    <w:rsid w:val="001E5601"/>
    <w:rsid w:val="001E571C"/>
    <w:rsid w:val="001E6590"/>
    <w:rsid w:val="001E6C22"/>
    <w:rsid w:val="001E6D38"/>
    <w:rsid w:val="001E7174"/>
    <w:rsid w:val="001F1A15"/>
    <w:rsid w:val="001F1E2E"/>
    <w:rsid w:val="001F2B0C"/>
    <w:rsid w:val="001F2E01"/>
    <w:rsid w:val="001F3AF7"/>
    <w:rsid w:val="001F6238"/>
    <w:rsid w:val="001F6742"/>
    <w:rsid w:val="001F6F65"/>
    <w:rsid w:val="0020006E"/>
    <w:rsid w:val="002000FC"/>
    <w:rsid w:val="00200553"/>
    <w:rsid w:val="002028B3"/>
    <w:rsid w:val="0020369E"/>
    <w:rsid w:val="00204787"/>
    <w:rsid w:val="002072C8"/>
    <w:rsid w:val="00211038"/>
    <w:rsid w:val="00213A71"/>
    <w:rsid w:val="0021474D"/>
    <w:rsid w:val="00214F01"/>
    <w:rsid w:val="00214F5E"/>
    <w:rsid w:val="0021509B"/>
    <w:rsid w:val="0021563A"/>
    <w:rsid w:val="00215B5C"/>
    <w:rsid w:val="002161F5"/>
    <w:rsid w:val="00217213"/>
    <w:rsid w:val="0021786D"/>
    <w:rsid w:val="00217E39"/>
    <w:rsid w:val="00220BBB"/>
    <w:rsid w:val="00221583"/>
    <w:rsid w:val="00221FFF"/>
    <w:rsid w:val="002246F3"/>
    <w:rsid w:val="00226C11"/>
    <w:rsid w:val="0022706F"/>
    <w:rsid w:val="0022780D"/>
    <w:rsid w:val="00227CB1"/>
    <w:rsid w:val="00231C3E"/>
    <w:rsid w:val="00231C5C"/>
    <w:rsid w:val="00232D80"/>
    <w:rsid w:val="002343AD"/>
    <w:rsid w:val="00235DB1"/>
    <w:rsid w:val="00236A57"/>
    <w:rsid w:val="002371E8"/>
    <w:rsid w:val="00237C47"/>
    <w:rsid w:val="00240616"/>
    <w:rsid w:val="00240A2A"/>
    <w:rsid w:val="0024187E"/>
    <w:rsid w:val="00241A4B"/>
    <w:rsid w:val="00241D3A"/>
    <w:rsid w:val="00242469"/>
    <w:rsid w:val="00244011"/>
    <w:rsid w:val="00244034"/>
    <w:rsid w:val="00244ED7"/>
    <w:rsid w:val="00245D8A"/>
    <w:rsid w:val="00245EC5"/>
    <w:rsid w:val="00246975"/>
    <w:rsid w:val="002471C8"/>
    <w:rsid w:val="00247F20"/>
    <w:rsid w:val="00247FD5"/>
    <w:rsid w:val="00250E24"/>
    <w:rsid w:val="00250F2E"/>
    <w:rsid w:val="00251AEF"/>
    <w:rsid w:val="00252B64"/>
    <w:rsid w:val="00252EF1"/>
    <w:rsid w:val="00253306"/>
    <w:rsid w:val="00255B9F"/>
    <w:rsid w:val="002564A6"/>
    <w:rsid w:val="002569CF"/>
    <w:rsid w:val="002572D7"/>
    <w:rsid w:val="002576F0"/>
    <w:rsid w:val="00257FAB"/>
    <w:rsid w:val="00260BDA"/>
    <w:rsid w:val="00262123"/>
    <w:rsid w:val="0026241B"/>
    <w:rsid w:val="0026247F"/>
    <w:rsid w:val="00262558"/>
    <w:rsid w:val="002626D8"/>
    <w:rsid w:val="00263877"/>
    <w:rsid w:val="0026393B"/>
    <w:rsid w:val="002639FD"/>
    <w:rsid w:val="00265935"/>
    <w:rsid w:val="0026730D"/>
    <w:rsid w:val="00267B20"/>
    <w:rsid w:val="00267C65"/>
    <w:rsid w:val="002703D4"/>
    <w:rsid w:val="00270542"/>
    <w:rsid w:val="00270548"/>
    <w:rsid w:val="0027229D"/>
    <w:rsid w:val="00273B80"/>
    <w:rsid w:val="00273D84"/>
    <w:rsid w:val="00273D9E"/>
    <w:rsid w:val="00274860"/>
    <w:rsid w:val="002749E0"/>
    <w:rsid w:val="00276EF2"/>
    <w:rsid w:val="002777A3"/>
    <w:rsid w:val="00277E86"/>
    <w:rsid w:val="00280397"/>
    <w:rsid w:val="00280D38"/>
    <w:rsid w:val="00282452"/>
    <w:rsid w:val="0028363C"/>
    <w:rsid w:val="002840D6"/>
    <w:rsid w:val="00284A38"/>
    <w:rsid w:val="00286171"/>
    <w:rsid w:val="00286629"/>
    <w:rsid w:val="002901C6"/>
    <w:rsid w:val="002912CC"/>
    <w:rsid w:val="002923E7"/>
    <w:rsid w:val="00292E0E"/>
    <w:rsid w:val="00294369"/>
    <w:rsid w:val="0029494C"/>
    <w:rsid w:val="0029498C"/>
    <w:rsid w:val="00294AA8"/>
    <w:rsid w:val="0029673C"/>
    <w:rsid w:val="002969A8"/>
    <w:rsid w:val="00296A26"/>
    <w:rsid w:val="00296B21"/>
    <w:rsid w:val="00296DEF"/>
    <w:rsid w:val="00297863"/>
    <w:rsid w:val="002A0461"/>
    <w:rsid w:val="002A07D6"/>
    <w:rsid w:val="002A1D89"/>
    <w:rsid w:val="002A1E08"/>
    <w:rsid w:val="002A4576"/>
    <w:rsid w:val="002A45C0"/>
    <w:rsid w:val="002A45E5"/>
    <w:rsid w:val="002A4F23"/>
    <w:rsid w:val="002A6E37"/>
    <w:rsid w:val="002A7163"/>
    <w:rsid w:val="002A7DA3"/>
    <w:rsid w:val="002A7E09"/>
    <w:rsid w:val="002B05E6"/>
    <w:rsid w:val="002B2F1E"/>
    <w:rsid w:val="002B398D"/>
    <w:rsid w:val="002B3CAE"/>
    <w:rsid w:val="002B5C7B"/>
    <w:rsid w:val="002B6D3C"/>
    <w:rsid w:val="002B780F"/>
    <w:rsid w:val="002B79AA"/>
    <w:rsid w:val="002B7A93"/>
    <w:rsid w:val="002B7ADD"/>
    <w:rsid w:val="002C031B"/>
    <w:rsid w:val="002C04BD"/>
    <w:rsid w:val="002C09DD"/>
    <w:rsid w:val="002C1E95"/>
    <w:rsid w:val="002C1F61"/>
    <w:rsid w:val="002C2FBD"/>
    <w:rsid w:val="002C3CC1"/>
    <w:rsid w:val="002C4BFF"/>
    <w:rsid w:val="002C542E"/>
    <w:rsid w:val="002C700A"/>
    <w:rsid w:val="002C7336"/>
    <w:rsid w:val="002D0A9C"/>
    <w:rsid w:val="002D2578"/>
    <w:rsid w:val="002D2F38"/>
    <w:rsid w:val="002D39A6"/>
    <w:rsid w:val="002D3A6D"/>
    <w:rsid w:val="002D3A76"/>
    <w:rsid w:val="002D3BB7"/>
    <w:rsid w:val="002D3BCB"/>
    <w:rsid w:val="002D407F"/>
    <w:rsid w:val="002D4B53"/>
    <w:rsid w:val="002D54F9"/>
    <w:rsid w:val="002D7090"/>
    <w:rsid w:val="002D71E5"/>
    <w:rsid w:val="002D79C1"/>
    <w:rsid w:val="002E0237"/>
    <w:rsid w:val="002E16DC"/>
    <w:rsid w:val="002E32DE"/>
    <w:rsid w:val="002E50AC"/>
    <w:rsid w:val="002E5BBA"/>
    <w:rsid w:val="002E7FFA"/>
    <w:rsid w:val="002F0DA1"/>
    <w:rsid w:val="002F11A1"/>
    <w:rsid w:val="002F1B62"/>
    <w:rsid w:val="002F3D4F"/>
    <w:rsid w:val="002F4408"/>
    <w:rsid w:val="002F4446"/>
    <w:rsid w:val="002F5591"/>
    <w:rsid w:val="002F7388"/>
    <w:rsid w:val="002F73CE"/>
    <w:rsid w:val="00300793"/>
    <w:rsid w:val="00301B21"/>
    <w:rsid w:val="00302402"/>
    <w:rsid w:val="00304A73"/>
    <w:rsid w:val="0030650A"/>
    <w:rsid w:val="003069D2"/>
    <w:rsid w:val="0030783A"/>
    <w:rsid w:val="00310103"/>
    <w:rsid w:val="0031072C"/>
    <w:rsid w:val="003124D6"/>
    <w:rsid w:val="00314207"/>
    <w:rsid w:val="00314E76"/>
    <w:rsid w:val="00315239"/>
    <w:rsid w:val="0031558D"/>
    <w:rsid w:val="00317E4D"/>
    <w:rsid w:val="003204BE"/>
    <w:rsid w:val="00322D51"/>
    <w:rsid w:val="0032301C"/>
    <w:rsid w:val="00323551"/>
    <w:rsid w:val="00323895"/>
    <w:rsid w:val="00324C59"/>
    <w:rsid w:val="00325BFC"/>
    <w:rsid w:val="003266A0"/>
    <w:rsid w:val="00326EAE"/>
    <w:rsid w:val="003277C6"/>
    <w:rsid w:val="00327AD6"/>
    <w:rsid w:val="003303C9"/>
    <w:rsid w:val="0033086E"/>
    <w:rsid w:val="00331AE4"/>
    <w:rsid w:val="00332822"/>
    <w:rsid w:val="00332DA7"/>
    <w:rsid w:val="0033355B"/>
    <w:rsid w:val="00334C61"/>
    <w:rsid w:val="00336AB6"/>
    <w:rsid w:val="00340577"/>
    <w:rsid w:val="003409CE"/>
    <w:rsid w:val="00342763"/>
    <w:rsid w:val="00343745"/>
    <w:rsid w:val="003439D4"/>
    <w:rsid w:val="003466AF"/>
    <w:rsid w:val="0034738E"/>
    <w:rsid w:val="00350419"/>
    <w:rsid w:val="00350770"/>
    <w:rsid w:val="00350B40"/>
    <w:rsid w:val="003510D2"/>
    <w:rsid w:val="0035188A"/>
    <w:rsid w:val="00351CC0"/>
    <w:rsid w:val="003523F1"/>
    <w:rsid w:val="00353991"/>
    <w:rsid w:val="00353B70"/>
    <w:rsid w:val="00353BCA"/>
    <w:rsid w:val="00355286"/>
    <w:rsid w:val="00355607"/>
    <w:rsid w:val="00355ED7"/>
    <w:rsid w:val="0035639F"/>
    <w:rsid w:val="003567BD"/>
    <w:rsid w:val="00356E26"/>
    <w:rsid w:val="003575AD"/>
    <w:rsid w:val="003576E3"/>
    <w:rsid w:val="00360C62"/>
    <w:rsid w:val="0036149E"/>
    <w:rsid w:val="00361779"/>
    <w:rsid w:val="003635BD"/>
    <w:rsid w:val="003641A7"/>
    <w:rsid w:val="0036436A"/>
    <w:rsid w:val="0036592F"/>
    <w:rsid w:val="0036630B"/>
    <w:rsid w:val="00367547"/>
    <w:rsid w:val="003733CD"/>
    <w:rsid w:val="00373858"/>
    <w:rsid w:val="00374B51"/>
    <w:rsid w:val="0037541B"/>
    <w:rsid w:val="00375721"/>
    <w:rsid w:val="00375C87"/>
    <w:rsid w:val="00376FAD"/>
    <w:rsid w:val="00380754"/>
    <w:rsid w:val="003813C6"/>
    <w:rsid w:val="00381956"/>
    <w:rsid w:val="0038195B"/>
    <w:rsid w:val="00385E86"/>
    <w:rsid w:val="00386949"/>
    <w:rsid w:val="00386D42"/>
    <w:rsid w:val="00390234"/>
    <w:rsid w:val="003920B3"/>
    <w:rsid w:val="00392335"/>
    <w:rsid w:val="00392618"/>
    <w:rsid w:val="0039352B"/>
    <w:rsid w:val="003952AE"/>
    <w:rsid w:val="0039678D"/>
    <w:rsid w:val="00397564"/>
    <w:rsid w:val="003A067D"/>
    <w:rsid w:val="003A1012"/>
    <w:rsid w:val="003A2424"/>
    <w:rsid w:val="003A24F9"/>
    <w:rsid w:val="003A276D"/>
    <w:rsid w:val="003A2BD5"/>
    <w:rsid w:val="003A2D39"/>
    <w:rsid w:val="003A328A"/>
    <w:rsid w:val="003A3E90"/>
    <w:rsid w:val="003A3FD2"/>
    <w:rsid w:val="003A49A3"/>
    <w:rsid w:val="003A49F0"/>
    <w:rsid w:val="003A5D11"/>
    <w:rsid w:val="003A66A5"/>
    <w:rsid w:val="003A67B5"/>
    <w:rsid w:val="003A785E"/>
    <w:rsid w:val="003A7C99"/>
    <w:rsid w:val="003A7F36"/>
    <w:rsid w:val="003B07B3"/>
    <w:rsid w:val="003B0B8B"/>
    <w:rsid w:val="003B0CDD"/>
    <w:rsid w:val="003B125A"/>
    <w:rsid w:val="003B1331"/>
    <w:rsid w:val="003B221A"/>
    <w:rsid w:val="003B270F"/>
    <w:rsid w:val="003B4423"/>
    <w:rsid w:val="003B4867"/>
    <w:rsid w:val="003B548C"/>
    <w:rsid w:val="003B6A45"/>
    <w:rsid w:val="003B757D"/>
    <w:rsid w:val="003B784A"/>
    <w:rsid w:val="003C0F64"/>
    <w:rsid w:val="003C17F3"/>
    <w:rsid w:val="003C2A94"/>
    <w:rsid w:val="003C2B68"/>
    <w:rsid w:val="003C2C6B"/>
    <w:rsid w:val="003C37F0"/>
    <w:rsid w:val="003C3E9E"/>
    <w:rsid w:val="003C48DC"/>
    <w:rsid w:val="003C545A"/>
    <w:rsid w:val="003C6973"/>
    <w:rsid w:val="003C731C"/>
    <w:rsid w:val="003C770A"/>
    <w:rsid w:val="003D0665"/>
    <w:rsid w:val="003D22A2"/>
    <w:rsid w:val="003D338D"/>
    <w:rsid w:val="003D3AE4"/>
    <w:rsid w:val="003D3E10"/>
    <w:rsid w:val="003D4C18"/>
    <w:rsid w:val="003D5DCC"/>
    <w:rsid w:val="003D5E83"/>
    <w:rsid w:val="003D6593"/>
    <w:rsid w:val="003D6DDF"/>
    <w:rsid w:val="003E0EB3"/>
    <w:rsid w:val="003E3C3E"/>
    <w:rsid w:val="003E65B9"/>
    <w:rsid w:val="003E66CE"/>
    <w:rsid w:val="003E7553"/>
    <w:rsid w:val="003F0057"/>
    <w:rsid w:val="003F0261"/>
    <w:rsid w:val="003F0314"/>
    <w:rsid w:val="003F032E"/>
    <w:rsid w:val="003F05C9"/>
    <w:rsid w:val="003F137B"/>
    <w:rsid w:val="003F1AA0"/>
    <w:rsid w:val="003F1B9E"/>
    <w:rsid w:val="003F2E81"/>
    <w:rsid w:val="003F376A"/>
    <w:rsid w:val="003F3776"/>
    <w:rsid w:val="003F3F08"/>
    <w:rsid w:val="003F45E1"/>
    <w:rsid w:val="003F493C"/>
    <w:rsid w:val="003F599D"/>
    <w:rsid w:val="003F6949"/>
    <w:rsid w:val="003F73A9"/>
    <w:rsid w:val="00402098"/>
    <w:rsid w:val="00402510"/>
    <w:rsid w:val="00402CE8"/>
    <w:rsid w:val="004031C8"/>
    <w:rsid w:val="0040386E"/>
    <w:rsid w:val="004047F7"/>
    <w:rsid w:val="004072E6"/>
    <w:rsid w:val="004075FF"/>
    <w:rsid w:val="00410AC9"/>
    <w:rsid w:val="00410DF3"/>
    <w:rsid w:val="00410F09"/>
    <w:rsid w:val="00412084"/>
    <w:rsid w:val="00412422"/>
    <w:rsid w:val="00412FDF"/>
    <w:rsid w:val="00414339"/>
    <w:rsid w:val="00414345"/>
    <w:rsid w:val="00414637"/>
    <w:rsid w:val="00414C5C"/>
    <w:rsid w:val="004154A1"/>
    <w:rsid w:val="00415703"/>
    <w:rsid w:val="00415ACD"/>
    <w:rsid w:val="00415C00"/>
    <w:rsid w:val="00415EE9"/>
    <w:rsid w:val="0041734F"/>
    <w:rsid w:val="00417642"/>
    <w:rsid w:val="0042013E"/>
    <w:rsid w:val="0042166B"/>
    <w:rsid w:val="00422D90"/>
    <w:rsid w:val="00423668"/>
    <w:rsid w:val="00424A14"/>
    <w:rsid w:val="0042515D"/>
    <w:rsid w:val="0042527F"/>
    <w:rsid w:val="00425643"/>
    <w:rsid w:val="00425E68"/>
    <w:rsid w:val="00425F2D"/>
    <w:rsid w:val="00426408"/>
    <w:rsid w:val="004268EA"/>
    <w:rsid w:val="00426DCE"/>
    <w:rsid w:val="00426DE4"/>
    <w:rsid w:val="004306D7"/>
    <w:rsid w:val="00430B2A"/>
    <w:rsid w:val="00434467"/>
    <w:rsid w:val="00434D07"/>
    <w:rsid w:val="00434E61"/>
    <w:rsid w:val="00435738"/>
    <w:rsid w:val="00435B29"/>
    <w:rsid w:val="00436913"/>
    <w:rsid w:val="00437DBF"/>
    <w:rsid w:val="004401D8"/>
    <w:rsid w:val="00441077"/>
    <w:rsid w:val="00441DCA"/>
    <w:rsid w:val="00442415"/>
    <w:rsid w:val="00443CFB"/>
    <w:rsid w:val="00444A83"/>
    <w:rsid w:val="0044541E"/>
    <w:rsid w:val="0044550F"/>
    <w:rsid w:val="00445DB7"/>
    <w:rsid w:val="00445E01"/>
    <w:rsid w:val="00446C74"/>
    <w:rsid w:val="00446EDB"/>
    <w:rsid w:val="00447104"/>
    <w:rsid w:val="004477F9"/>
    <w:rsid w:val="004507E0"/>
    <w:rsid w:val="00451872"/>
    <w:rsid w:val="004533F8"/>
    <w:rsid w:val="00454B15"/>
    <w:rsid w:val="00454D1E"/>
    <w:rsid w:val="0045516B"/>
    <w:rsid w:val="00455578"/>
    <w:rsid w:val="00455683"/>
    <w:rsid w:val="004559ED"/>
    <w:rsid w:val="00455B31"/>
    <w:rsid w:val="00455DB8"/>
    <w:rsid w:val="004563BB"/>
    <w:rsid w:val="00456F89"/>
    <w:rsid w:val="004570FB"/>
    <w:rsid w:val="0045748F"/>
    <w:rsid w:val="00457AFF"/>
    <w:rsid w:val="00457E20"/>
    <w:rsid w:val="0046055C"/>
    <w:rsid w:val="004618C9"/>
    <w:rsid w:val="00461AD0"/>
    <w:rsid w:val="00461FE8"/>
    <w:rsid w:val="004626AA"/>
    <w:rsid w:val="00462957"/>
    <w:rsid w:val="00462FC6"/>
    <w:rsid w:val="00463AE7"/>
    <w:rsid w:val="00463D2B"/>
    <w:rsid w:val="00464B89"/>
    <w:rsid w:val="00464FC2"/>
    <w:rsid w:val="00465C5A"/>
    <w:rsid w:val="00465F07"/>
    <w:rsid w:val="00467C38"/>
    <w:rsid w:val="00470072"/>
    <w:rsid w:val="00470E30"/>
    <w:rsid w:val="00471032"/>
    <w:rsid w:val="0047191A"/>
    <w:rsid w:val="00472063"/>
    <w:rsid w:val="00472920"/>
    <w:rsid w:val="004747C6"/>
    <w:rsid w:val="00475049"/>
    <w:rsid w:val="00475901"/>
    <w:rsid w:val="004760D3"/>
    <w:rsid w:val="00477A23"/>
    <w:rsid w:val="00477AEC"/>
    <w:rsid w:val="0048124D"/>
    <w:rsid w:val="004814FA"/>
    <w:rsid w:val="00482775"/>
    <w:rsid w:val="00483BD5"/>
    <w:rsid w:val="0048442B"/>
    <w:rsid w:val="0048468F"/>
    <w:rsid w:val="00484A5E"/>
    <w:rsid w:val="00485FDE"/>
    <w:rsid w:val="004871BF"/>
    <w:rsid w:val="00487314"/>
    <w:rsid w:val="0048787C"/>
    <w:rsid w:val="00487EE9"/>
    <w:rsid w:val="00490570"/>
    <w:rsid w:val="0049060E"/>
    <w:rsid w:val="00491AD1"/>
    <w:rsid w:val="00494732"/>
    <w:rsid w:val="00495660"/>
    <w:rsid w:val="004965A4"/>
    <w:rsid w:val="0049735F"/>
    <w:rsid w:val="00497AB4"/>
    <w:rsid w:val="00497D15"/>
    <w:rsid w:val="00497EF0"/>
    <w:rsid w:val="004A01FF"/>
    <w:rsid w:val="004A11B0"/>
    <w:rsid w:val="004A1921"/>
    <w:rsid w:val="004A1D94"/>
    <w:rsid w:val="004A25F2"/>
    <w:rsid w:val="004A3ACA"/>
    <w:rsid w:val="004A4086"/>
    <w:rsid w:val="004A4ED9"/>
    <w:rsid w:val="004A55B5"/>
    <w:rsid w:val="004A5B70"/>
    <w:rsid w:val="004A7349"/>
    <w:rsid w:val="004A77F9"/>
    <w:rsid w:val="004A7F16"/>
    <w:rsid w:val="004B0496"/>
    <w:rsid w:val="004B0880"/>
    <w:rsid w:val="004B1559"/>
    <w:rsid w:val="004B1AAB"/>
    <w:rsid w:val="004B2000"/>
    <w:rsid w:val="004B20A2"/>
    <w:rsid w:val="004B2EFF"/>
    <w:rsid w:val="004B30C8"/>
    <w:rsid w:val="004B3441"/>
    <w:rsid w:val="004B3A06"/>
    <w:rsid w:val="004B3A08"/>
    <w:rsid w:val="004B57B5"/>
    <w:rsid w:val="004B61BE"/>
    <w:rsid w:val="004C0F13"/>
    <w:rsid w:val="004C202F"/>
    <w:rsid w:val="004C223C"/>
    <w:rsid w:val="004C235C"/>
    <w:rsid w:val="004C2C10"/>
    <w:rsid w:val="004C2FB8"/>
    <w:rsid w:val="004C31FF"/>
    <w:rsid w:val="004C4465"/>
    <w:rsid w:val="004C4825"/>
    <w:rsid w:val="004C4D19"/>
    <w:rsid w:val="004C4D7B"/>
    <w:rsid w:val="004C51BC"/>
    <w:rsid w:val="004C693C"/>
    <w:rsid w:val="004C6A40"/>
    <w:rsid w:val="004C6A7A"/>
    <w:rsid w:val="004C77DA"/>
    <w:rsid w:val="004C7E7C"/>
    <w:rsid w:val="004D0478"/>
    <w:rsid w:val="004D0EAF"/>
    <w:rsid w:val="004D12EA"/>
    <w:rsid w:val="004D3ACE"/>
    <w:rsid w:val="004D3CBB"/>
    <w:rsid w:val="004D58A4"/>
    <w:rsid w:val="004D5A2D"/>
    <w:rsid w:val="004D62FB"/>
    <w:rsid w:val="004E0280"/>
    <w:rsid w:val="004E2ABE"/>
    <w:rsid w:val="004E2FBF"/>
    <w:rsid w:val="004E3605"/>
    <w:rsid w:val="004E43FB"/>
    <w:rsid w:val="004E4D53"/>
    <w:rsid w:val="004E5B41"/>
    <w:rsid w:val="004E6FE7"/>
    <w:rsid w:val="004E7388"/>
    <w:rsid w:val="004E775D"/>
    <w:rsid w:val="004E7766"/>
    <w:rsid w:val="004E79DB"/>
    <w:rsid w:val="004E7D81"/>
    <w:rsid w:val="004F02D0"/>
    <w:rsid w:val="004F03B8"/>
    <w:rsid w:val="004F0B72"/>
    <w:rsid w:val="004F0E58"/>
    <w:rsid w:val="004F1608"/>
    <w:rsid w:val="004F1D12"/>
    <w:rsid w:val="004F2B9F"/>
    <w:rsid w:val="004F3B5A"/>
    <w:rsid w:val="004F3FBD"/>
    <w:rsid w:val="004F4A7A"/>
    <w:rsid w:val="004F5225"/>
    <w:rsid w:val="004F77EC"/>
    <w:rsid w:val="0050049A"/>
    <w:rsid w:val="00500DD6"/>
    <w:rsid w:val="00501147"/>
    <w:rsid w:val="00502E34"/>
    <w:rsid w:val="005039D0"/>
    <w:rsid w:val="00503D49"/>
    <w:rsid w:val="00504F10"/>
    <w:rsid w:val="00504FAF"/>
    <w:rsid w:val="005050C0"/>
    <w:rsid w:val="00505E01"/>
    <w:rsid w:val="00505FA6"/>
    <w:rsid w:val="00506A68"/>
    <w:rsid w:val="0050785E"/>
    <w:rsid w:val="0050785F"/>
    <w:rsid w:val="005078ED"/>
    <w:rsid w:val="00507B23"/>
    <w:rsid w:val="00510410"/>
    <w:rsid w:val="005115A5"/>
    <w:rsid w:val="00511794"/>
    <w:rsid w:val="0051214F"/>
    <w:rsid w:val="00512896"/>
    <w:rsid w:val="00513029"/>
    <w:rsid w:val="005131B6"/>
    <w:rsid w:val="0051334E"/>
    <w:rsid w:val="005139FA"/>
    <w:rsid w:val="00513DFC"/>
    <w:rsid w:val="00514260"/>
    <w:rsid w:val="005148A7"/>
    <w:rsid w:val="00514CE4"/>
    <w:rsid w:val="0051739F"/>
    <w:rsid w:val="0052048C"/>
    <w:rsid w:val="005206A6"/>
    <w:rsid w:val="00520E37"/>
    <w:rsid w:val="00521CEB"/>
    <w:rsid w:val="00521DF0"/>
    <w:rsid w:val="00522274"/>
    <w:rsid w:val="005226F2"/>
    <w:rsid w:val="005231DB"/>
    <w:rsid w:val="00524826"/>
    <w:rsid w:val="00524866"/>
    <w:rsid w:val="00525456"/>
    <w:rsid w:val="00526FBB"/>
    <w:rsid w:val="00530460"/>
    <w:rsid w:val="00532293"/>
    <w:rsid w:val="00532D9B"/>
    <w:rsid w:val="005332CF"/>
    <w:rsid w:val="0053417D"/>
    <w:rsid w:val="00534E91"/>
    <w:rsid w:val="00535339"/>
    <w:rsid w:val="0053539A"/>
    <w:rsid w:val="00535835"/>
    <w:rsid w:val="005369BF"/>
    <w:rsid w:val="00536EA5"/>
    <w:rsid w:val="005378DF"/>
    <w:rsid w:val="00537B4B"/>
    <w:rsid w:val="00537B98"/>
    <w:rsid w:val="00537E2C"/>
    <w:rsid w:val="00540EFD"/>
    <w:rsid w:val="005413DF"/>
    <w:rsid w:val="0054164D"/>
    <w:rsid w:val="00541B44"/>
    <w:rsid w:val="00541CE2"/>
    <w:rsid w:val="0054244E"/>
    <w:rsid w:val="00542E00"/>
    <w:rsid w:val="00543F09"/>
    <w:rsid w:val="00544394"/>
    <w:rsid w:val="00544792"/>
    <w:rsid w:val="005462F1"/>
    <w:rsid w:val="00546C23"/>
    <w:rsid w:val="0054722D"/>
    <w:rsid w:val="00550B86"/>
    <w:rsid w:val="00551B85"/>
    <w:rsid w:val="005539E0"/>
    <w:rsid w:val="00553C1D"/>
    <w:rsid w:val="005548AE"/>
    <w:rsid w:val="00554DE9"/>
    <w:rsid w:val="00555CEC"/>
    <w:rsid w:val="00557123"/>
    <w:rsid w:val="00557598"/>
    <w:rsid w:val="005576CD"/>
    <w:rsid w:val="005600D2"/>
    <w:rsid w:val="0056074D"/>
    <w:rsid w:val="0056088E"/>
    <w:rsid w:val="005609F4"/>
    <w:rsid w:val="00560BA7"/>
    <w:rsid w:val="00561933"/>
    <w:rsid w:val="00561F1F"/>
    <w:rsid w:val="00562484"/>
    <w:rsid w:val="005641C8"/>
    <w:rsid w:val="00564ADB"/>
    <w:rsid w:val="00565873"/>
    <w:rsid w:val="005659D6"/>
    <w:rsid w:val="00565AAA"/>
    <w:rsid w:val="005667EE"/>
    <w:rsid w:val="00566DEA"/>
    <w:rsid w:val="00566ED5"/>
    <w:rsid w:val="00567702"/>
    <w:rsid w:val="00570660"/>
    <w:rsid w:val="00573993"/>
    <w:rsid w:val="005742FA"/>
    <w:rsid w:val="005744DB"/>
    <w:rsid w:val="00575059"/>
    <w:rsid w:val="0057630B"/>
    <w:rsid w:val="0057671C"/>
    <w:rsid w:val="00576E07"/>
    <w:rsid w:val="00577621"/>
    <w:rsid w:val="00577F37"/>
    <w:rsid w:val="00580A67"/>
    <w:rsid w:val="0058119F"/>
    <w:rsid w:val="00581AE6"/>
    <w:rsid w:val="00581ED4"/>
    <w:rsid w:val="005823ED"/>
    <w:rsid w:val="00582906"/>
    <w:rsid w:val="00582FB0"/>
    <w:rsid w:val="005843B3"/>
    <w:rsid w:val="00584DD2"/>
    <w:rsid w:val="00585A89"/>
    <w:rsid w:val="0058639E"/>
    <w:rsid w:val="0058640A"/>
    <w:rsid w:val="005867F0"/>
    <w:rsid w:val="00587183"/>
    <w:rsid w:val="0059148E"/>
    <w:rsid w:val="0059245C"/>
    <w:rsid w:val="00593480"/>
    <w:rsid w:val="0059463D"/>
    <w:rsid w:val="005A0028"/>
    <w:rsid w:val="005A2F32"/>
    <w:rsid w:val="005A2FD5"/>
    <w:rsid w:val="005A5305"/>
    <w:rsid w:val="005A5381"/>
    <w:rsid w:val="005A5DA2"/>
    <w:rsid w:val="005A6317"/>
    <w:rsid w:val="005A78CD"/>
    <w:rsid w:val="005A7B28"/>
    <w:rsid w:val="005B01A9"/>
    <w:rsid w:val="005B080D"/>
    <w:rsid w:val="005B1E0D"/>
    <w:rsid w:val="005B26B6"/>
    <w:rsid w:val="005B36D1"/>
    <w:rsid w:val="005B4D73"/>
    <w:rsid w:val="005B5C09"/>
    <w:rsid w:val="005B6518"/>
    <w:rsid w:val="005C05D5"/>
    <w:rsid w:val="005C1A12"/>
    <w:rsid w:val="005C3BA7"/>
    <w:rsid w:val="005C3FCF"/>
    <w:rsid w:val="005C4D1E"/>
    <w:rsid w:val="005C4D7F"/>
    <w:rsid w:val="005C5487"/>
    <w:rsid w:val="005C6167"/>
    <w:rsid w:val="005C620D"/>
    <w:rsid w:val="005C751C"/>
    <w:rsid w:val="005C787D"/>
    <w:rsid w:val="005C7D0E"/>
    <w:rsid w:val="005C7D56"/>
    <w:rsid w:val="005D0EEE"/>
    <w:rsid w:val="005D2362"/>
    <w:rsid w:val="005D3553"/>
    <w:rsid w:val="005D3729"/>
    <w:rsid w:val="005D3ABA"/>
    <w:rsid w:val="005D4D4F"/>
    <w:rsid w:val="005D5A2F"/>
    <w:rsid w:val="005D7FF0"/>
    <w:rsid w:val="005E0299"/>
    <w:rsid w:val="005E0968"/>
    <w:rsid w:val="005E0C08"/>
    <w:rsid w:val="005E19C3"/>
    <w:rsid w:val="005E1AE7"/>
    <w:rsid w:val="005E2329"/>
    <w:rsid w:val="005E382F"/>
    <w:rsid w:val="005E38DF"/>
    <w:rsid w:val="005E41AB"/>
    <w:rsid w:val="005E4713"/>
    <w:rsid w:val="005E4D3E"/>
    <w:rsid w:val="005E5204"/>
    <w:rsid w:val="005E5D6D"/>
    <w:rsid w:val="005E7CCD"/>
    <w:rsid w:val="005F0E5A"/>
    <w:rsid w:val="005F0F08"/>
    <w:rsid w:val="005F1AEC"/>
    <w:rsid w:val="005F27AE"/>
    <w:rsid w:val="005F29A6"/>
    <w:rsid w:val="005F2C46"/>
    <w:rsid w:val="005F2DBD"/>
    <w:rsid w:val="005F2E63"/>
    <w:rsid w:val="005F3DFC"/>
    <w:rsid w:val="005F4191"/>
    <w:rsid w:val="005F57E3"/>
    <w:rsid w:val="005F5B38"/>
    <w:rsid w:val="005F67F2"/>
    <w:rsid w:val="0060223F"/>
    <w:rsid w:val="00605974"/>
    <w:rsid w:val="00605A5C"/>
    <w:rsid w:val="006068DD"/>
    <w:rsid w:val="006076FC"/>
    <w:rsid w:val="006121AB"/>
    <w:rsid w:val="006148BB"/>
    <w:rsid w:val="0061593D"/>
    <w:rsid w:val="006167BD"/>
    <w:rsid w:val="0061691D"/>
    <w:rsid w:val="006171FA"/>
    <w:rsid w:val="0061786B"/>
    <w:rsid w:val="00617963"/>
    <w:rsid w:val="00617A94"/>
    <w:rsid w:val="00617B23"/>
    <w:rsid w:val="006205B0"/>
    <w:rsid w:val="00620884"/>
    <w:rsid w:val="00621BF2"/>
    <w:rsid w:val="00622233"/>
    <w:rsid w:val="0062270F"/>
    <w:rsid w:val="00623E69"/>
    <w:rsid w:val="00624CFC"/>
    <w:rsid w:val="0062659F"/>
    <w:rsid w:val="00626CD4"/>
    <w:rsid w:val="00626F69"/>
    <w:rsid w:val="0062707E"/>
    <w:rsid w:val="006279EA"/>
    <w:rsid w:val="00627A2D"/>
    <w:rsid w:val="006305AF"/>
    <w:rsid w:val="00630CD1"/>
    <w:rsid w:val="00631614"/>
    <w:rsid w:val="00631B80"/>
    <w:rsid w:val="0063218F"/>
    <w:rsid w:val="00633416"/>
    <w:rsid w:val="006340F3"/>
    <w:rsid w:val="006345CF"/>
    <w:rsid w:val="0063497A"/>
    <w:rsid w:val="006351F2"/>
    <w:rsid w:val="00635A10"/>
    <w:rsid w:val="006373D7"/>
    <w:rsid w:val="00640DEF"/>
    <w:rsid w:val="0064180D"/>
    <w:rsid w:val="00641AE4"/>
    <w:rsid w:val="00642020"/>
    <w:rsid w:val="00642423"/>
    <w:rsid w:val="00642A11"/>
    <w:rsid w:val="0064328D"/>
    <w:rsid w:val="00644752"/>
    <w:rsid w:val="00644B27"/>
    <w:rsid w:val="00645194"/>
    <w:rsid w:val="00646A6D"/>
    <w:rsid w:val="0064733A"/>
    <w:rsid w:val="00647485"/>
    <w:rsid w:val="00647E65"/>
    <w:rsid w:val="0065075A"/>
    <w:rsid w:val="0065194F"/>
    <w:rsid w:val="00651BFB"/>
    <w:rsid w:val="00651C2E"/>
    <w:rsid w:val="00652C99"/>
    <w:rsid w:val="00652D34"/>
    <w:rsid w:val="00653052"/>
    <w:rsid w:val="00653FA2"/>
    <w:rsid w:val="00654424"/>
    <w:rsid w:val="006545C4"/>
    <w:rsid w:val="00655541"/>
    <w:rsid w:val="00655D4B"/>
    <w:rsid w:val="0065625C"/>
    <w:rsid w:val="0065634D"/>
    <w:rsid w:val="00660525"/>
    <w:rsid w:val="006611F8"/>
    <w:rsid w:val="00661F9E"/>
    <w:rsid w:val="0066238C"/>
    <w:rsid w:val="0066292F"/>
    <w:rsid w:val="0066395D"/>
    <w:rsid w:val="00663C58"/>
    <w:rsid w:val="00664D8B"/>
    <w:rsid w:val="00664FA9"/>
    <w:rsid w:val="0066718D"/>
    <w:rsid w:val="006705CA"/>
    <w:rsid w:val="00670C17"/>
    <w:rsid w:val="0067117E"/>
    <w:rsid w:val="006714E8"/>
    <w:rsid w:val="0067166B"/>
    <w:rsid w:val="00671962"/>
    <w:rsid w:val="00672330"/>
    <w:rsid w:val="00673282"/>
    <w:rsid w:val="00673606"/>
    <w:rsid w:val="006739F2"/>
    <w:rsid w:val="0067621C"/>
    <w:rsid w:val="00676958"/>
    <w:rsid w:val="00676A1D"/>
    <w:rsid w:val="0067711B"/>
    <w:rsid w:val="006776C6"/>
    <w:rsid w:val="0068116C"/>
    <w:rsid w:val="006814F7"/>
    <w:rsid w:val="00681F3D"/>
    <w:rsid w:val="00682098"/>
    <w:rsid w:val="00682511"/>
    <w:rsid w:val="006825FF"/>
    <w:rsid w:val="00682B46"/>
    <w:rsid w:val="00683947"/>
    <w:rsid w:val="00683CD7"/>
    <w:rsid w:val="0068449B"/>
    <w:rsid w:val="00684ABA"/>
    <w:rsid w:val="00684ADA"/>
    <w:rsid w:val="0068513C"/>
    <w:rsid w:val="006852B0"/>
    <w:rsid w:val="006853E4"/>
    <w:rsid w:val="00685C2F"/>
    <w:rsid w:val="00685CB1"/>
    <w:rsid w:val="006861BB"/>
    <w:rsid w:val="006861C7"/>
    <w:rsid w:val="006869CB"/>
    <w:rsid w:val="00686A80"/>
    <w:rsid w:val="00687362"/>
    <w:rsid w:val="00687472"/>
    <w:rsid w:val="0068756D"/>
    <w:rsid w:val="00687B6B"/>
    <w:rsid w:val="00687C5A"/>
    <w:rsid w:val="006903B7"/>
    <w:rsid w:val="00690753"/>
    <w:rsid w:val="00690AAE"/>
    <w:rsid w:val="00691BD6"/>
    <w:rsid w:val="0069258D"/>
    <w:rsid w:val="0069275C"/>
    <w:rsid w:val="0069300B"/>
    <w:rsid w:val="0069365D"/>
    <w:rsid w:val="00695013"/>
    <w:rsid w:val="00695166"/>
    <w:rsid w:val="006955F3"/>
    <w:rsid w:val="00695F47"/>
    <w:rsid w:val="0069683B"/>
    <w:rsid w:val="006968D0"/>
    <w:rsid w:val="00697632"/>
    <w:rsid w:val="00697651"/>
    <w:rsid w:val="006A0A2D"/>
    <w:rsid w:val="006A0A38"/>
    <w:rsid w:val="006A10EC"/>
    <w:rsid w:val="006A1800"/>
    <w:rsid w:val="006A390D"/>
    <w:rsid w:val="006A3C59"/>
    <w:rsid w:val="006A6BD1"/>
    <w:rsid w:val="006A7A3C"/>
    <w:rsid w:val="006B0122"/>
    <w:rsid w:val="006B02EC"/>
    <w:rsid w:val="006B0350"/>
    <w:rsid w:val="006B03D9"/>
    <w:rsid w:val="006B0505"/>
    <w:rsid w:val="006B1148"/>
    <w:rsid w:val="006B1843"/>
    <w:rsid w:val="006B19C4"/>
    <w:rsid w:val="006B24D6"/>
    <w:rsid w:val="006B27BD"/>
    <w:rsid w:val="006B2C1C"/>
    <w:rsid w:val="006B2C39"/>
    <w:rsid w:val="006B2D02"/>
    <w:rsid w:val="006B2F69"/>
    <w:rsid w:val="006B48F4"/>
    <w:rsid w:val="006B5A6C"/>
    <w:rsid w:val="006B6FCE"/>
    <w:rsid w:val="006B78C9"/>
    <w:rsid w:val="006B7A1E"/>
    <w:rsid w:val="006B7C26"/>
    <w:rsid w:val="006C22F0"/>
    <w:rsid w:val="006C27AB"/>
    <w:rsid w:val="006C29D8"/>
    <w:rsid w:val="006C2E4A"/>
    <w:rsid w:val="006C3E6B"/>
    <w:rsid w:val="006C4880"/>
    <w:rsid w:val="006C50D9"/>
    <w:rsid w:val="006C7F14"/>
    <w:rsid w:val="006D20F5"/>
    <w:rsid w:val="006D233F"/>
    <w:rsid w:val="006D260E"/>
    <w:rsid w:val="006D2742"/>
    <w:rsid w:val="006D2B67"/>
    <w:rsid w:val="006D3A6C"/>
    <w:rsid w:val="006D3B3F"/>
    <w:rsid w:val="006D3F99"/>
    <w:rsid w:val="006D4657"/>
    <w:rsid w:val="006D4B1E"/>
    <w:rsid w:val="006D5CE7"/>
    <w:rsid w:val="006D6212"/>
    <w:rsid w:val="006D6236"/>
    <w:rsid w:val="006D77E1"/>
    <w:rsid w:val="006D7C31"/>
    <w:rsid w:val="006E000E"/>
    <w:rsid w:val="006E17C8"/>
    <w:rsid w:val="006E1CCB"/>
    <w:rsid w:val="006E4260"/>
    <w:rsid w:val="006E67EC"/>
    <w:rsid w:val="006E6C79"/>
    <w:rsid w:val="006E79C4"/>
    <w:rsid w:val="006E7AF0"/>
    <w:rsid w:val="006E7CC7"/>
    <w:rsid w:val="006E7D3C"/>
    <w:rsid w:val="006F047F"/>
    <w:rsid w:val="006F0830"/>
    <w:rsid w:val="006F370E"/>
    <w:rsid w:val="006F4294"/>
    <w:rsid w:val="006F4F3A"/>
    <w:rsid w:val="006F6A9C"/>
    <w:rsid w:val="006F6F16"/>
    <w:rsid w:val="006F71C7"/>
    <w:rsid w:val="00700069"/>
    <w:rsid w:val="00700E8F"/>
    <w:rsid w:val="007010EB"/>
    <w:rsid w:val="00703789"/>
    <w:rsid w:val="00704344"/>
    <w:rsid w:val="00704369"/>
    <w:rsid w:val="00704847"/>
    <w:rsid w:val="00704D3B"/>
    <w:rsid w:val="007058B3"/>
    <w:rsid w:val="00705C33"/>
    <w:rsid w:val="00705CDB"/>
    <w:rsid w:val="00705F3F"/>
    <w:rsid w:val="00706753"/>
    <w:rsid w:val="00707ED0"/>
    <w:rsid w:val="00707EF7"/>
    <w:rsid w:val="0071074B"/>
    <w:rsid w:val="00710C65"/>
    <w:rsid w:val="007113B0"/>
    <w:rsid w:val="0071172E"/>
    <w:rsid w:val="00711C65"/>
    <w:rsid w:val="00711C95"/>
    <w:rsid w:val="00711F6B"/>
    <w:rsid w:val="00712107"/>
    <w:rsid w:val="00714910"/>
    <w:rsid w:val="0071538F"/>
    <w:rsid w:val="00717263"/>
    <w:rsid w:val="007203D1"/>
    <w:rsid w:val="0072090B"/>
    <w:rsid w:val="007214A6"/>
    <w:rsid w:val="0072216A"/>
    <w:rsid w:val="0072285D"/>
    <w:rsid w:val="00722B36"/>
    <w:rsid w:val="007241C2"/>
    <w:rsid w:val="00724787"/>
    <w:rsid w:val="007251A9"/>
    <w:rsid w:val="007252FE"/>
    <w:rsid w:val="007260BE"/>
    <w:rsid w:val="00726F58"/>
    <w:rsid w:val="00727E6D"/>
    <w:rsid w:val="00730AF3"/>
    <w:rsid w:val="00730C68"/>
    <w:rsid w:val="00730D81"/>
    <w:rsid w:val="0073155F"/>
    <w:rsid w:val="00731E63"/>
    <w:rsid w:val="00733262"/>
    <w:rsid w:val="00733FCA"/>
    <w:rsid w:val="00734506"/>
    <w:rsid w:val="00736350"/>
    <w:rsid w:val="0073638D"/>
    <w:rsid w:val="007379FE"/>
    <w:rsid w:val="00737D6A"/>
    <w:rsid w:val="00740BCC"/>
    <w:rsid w:val="00742372"/>
    <w:rsid w:val="0074264F"/>
    <w:rsid w:val="0074322C"/>
    <w:rsid w:val="00745243"/>
    <w:rsid w:val="00746231"/>
    <w:rsid w:val="00746742"/>
    <w:rsid w:val="00746B19"/>
    <w:rsid w:val="00750174"/>
    <w:rsid w:val="00750775"/>
    <w:rsid w:val="007512D5"/>
    <w:rsid w:val="007516EE"/>
    <w:rsid w:val="00751727"/>
    <w:rsid w:val="00752548"/>
    <w:rsid w:val="00752AE4"/>
    <w:rsid w:val="0075301B"/>
    <w:rsid w:val="00753E71"/>
    <w:rsid w:val="0075492A"/>
    <w:rsid w:val="00755253"/>
    <w:rsid w:val="00755797"/>
    <w:rsid w:val="00755831"/>
    <w:rsid w:val="00755EB6"/>
    <w:rsid w:val="007566D7"/>
    <w:rsid w:val="00757CBF"/>
    <w:rsid w:val="007609C7"/>
    <w:rsid w:val="00760AC4"/>
    <w:rsid w:val="0076119B"/>
    <w:rsid w:val="00762239"/>
    <w:rsid w:val="00762E42"/>
    <w:rsid w:val="00763DBC"/>
    <w:rsid w:val="007663B5"/>
    <w:rsid w:val="007664D9"/>
    <w:rsid w:val="007665CF"/>
    <w:rsid w:val="00766A3A"/>
    <w:rsid w:val="007673B0"/>
    <w:rsid w:val="00771686"/>
    <w:rsid w:val="0077289C"/>
    <w:rsid w:val="00772E2D"/>
    <w:rsid w:val="00774105"/>
    <w:rsid w:val="00774C60"/>
    <w:rsid w:val="00774C90"/>
    <w:rsid w:val="00775FDB"/>
    <w:rsid w:val="00777C66"/>
    <w:rsid w:val="0078006C"/>
    <w:rsid w:val="00780113"/>
    <w:rsid w:val="007828F9"/>
    <w:rsid w:val="00783794"/>
    <w:rsid w:val="00783F99"/>
    <w:rsid w:val="00784745"/>
    <w:rsid w:val="00784F91"/>
    <w:rsid w:val="007856CB"/>
    <w:rsid w:val="00785E4E"/>
    <w:rsid w:val="00786F95"/>
    <w:rsid w:val="007906D5"/>
    <w:rsid w:val="00790A5E"/>
    <w:rsid w:val="00791697"/>
    <w:rsid w:val="00791707"/>
    <w:rsid w:val="007928BE"/>
    <w:rsid w:val="00792E23"/>
    <w:rsid w:val="00793377"/>
    <w:rsid w:val="0079343D"/>
    <w:rsid w:val="00793D71"/>
    <w:rsid w:val="00793EEF"/>
    <w:rsid w:val="007941A7"/>
    <w:rsid w:val="00795A13"/>
    <w:rsid w:val="007966F3"/>
    <w:rsid w:val="00797605"/>
    <w:rsid w:val="00797873"/>
    <w:rsid w:val="007A02FB"/>
    <w:rsid w:val="007A0B34"/>
    <w:rsid w:val="007A0FC9"/>
    <w:rsid w:val="007A1441"/>
    <w:rsid w:val="007A1615"/>
    <w:rsid w:val="007A2631"/>
    <w:rsid w:val="007A2D9B"/>
    <w:rsid w:val="007A35B7"/>
    <w:rsid w:val="007A431D"/>
    <w:rsid w:val="007A462B"/>
    <w:rsid w:val="007A476D"/>
    <w:rsid w:val="007A510C"/>
    <w:rsid w:val="007A67A3"/>
    <w:rsid w:val="007A7707"/>
    <w:rsid w:val="007B0AB5"/>
    <w:rsid w:val="007B1646"/>
    <w:rsid w:val="007B3114"/>
    <w:rsid w:val="007B3FDB"/>
    <w:rsid w:val="007B58B6"/>
    <w:rsid w:val="007B7481"/>
    <w:rsid w:val="007B77CB"/>
    <w:rsid w:val="007C0024"/>
    <w:rsid w:val="007C20ED"/>
    <w:rsid w:val="007C242A"/>
    <w:rsid w:val="007C2743"/>
    <w:rsid w:val="007C34B3"/>
    <w:rsid w:val="007C3F27"/>
    <w:rsid w:val="007C40E7"/>
    <w:rsid w:val="007C4752"/>
    <w:rsid w:val="007C551E"/>
    <w:rsid w:val="007C66BF"/>
    <w:rsid w:val="007C787F"/>
    <w:rsid w:val="007D0C94"/>
    <w:rsid w:val="007D16C5"/>
    <w:rsid w:val="007D21D4"/>
    <w:rsid w:val="007D23FA"/>
    <w:rsid w:val="007D25AE"/>
    <w:rsid w:val="007D29FE"/>
    <w:rsid w:val="007D3ADD"/>
    <w:rsid w:val="007D535C"/>
    <w:rsid w:val="007D5792"/>
    <w:rsid w:val="007D5FC1"/>
    <w:rsid w:val="007D6405"/>
    <w:rsid w:val="007D77E2"/>
    <w:rsid w:val="007E093F"/>
    <w:rsid w:val="007E11BC"/>
    <w:rsid w:val="007E1CF2"/>
    <w:rsid w:val="007E29D1"/>
    <w:rsid w:val="007E4412"/>
    <w:rsid w:val="007E5551"/>
    <w:rsid w:val="007E64E4"/>
    <w:rsid w:val="007E6E3B"/>
    <w:rsid w:val="007E76BC"/>
    <w:rsid w:val="007F02E5"/>
    <w:rsid w:val="007F0973"/>
    <w:rsid w:val="007F13D7"/>
    <w:rsid w:val="007F1F8F"/>
    <w:rsid w:val="007F24B5"/>
    <w:rsid w:val="007F2608"/>
    <w:rsid w:val="007F336D"/>
    <w:rsid w:val="007F33EB"/>
    <w:rsid w:val="007F44C0"/>
    <w:rsid w:val="007F50F2"/>
    <w:rsid w:val="007F5622"/>
    <w:rsid w:val="007F566A"/>
    <w:rsid w:val="007F5B00"/>
    <w:rsid w:val="007F5EB7"/>
    <w:rsid w:val="007F64BB"/>
    <w:rsid w:val="007F729B"/>
    <w:rsid w:val="007F7C57"/>
    <w:rsid w:val="00801682"/>
    <w:rsid w:val="00801FEE"/>
    <w:rsid w:val="00803261"/>
    <w:rsid w:val="00803E42"/>
    <w:rsid w:val="0080401F"/>
    <w:rsid w:val="008041DB"/>
    <w:rsid w:val="008067D9"/>
    <w:rsid w:val="00807BED"/>
    <w:rsid w:val="008117BF"/>
    <w:rsid w:val="008128C5"/>
    <w:rsid w:val="00812909"/>
    <w:rsid w:val="00812C14"/>
    <w:rsid w:val="00812CBB"/>
    <w:rsid w:val="00813A31"/>
    <w:rsid w:val="00814066"/>
    <w:rsid w:val="008156F1"/>
    <w:rsid w:val="008161F3"/>
    <w:rsid w:val="0081654A"/>
    <w:rsid w:val="00816991"/>
    <w:rsid w:val="00816B12"/>
    <w:rsid w:val="00816C81"/>
    <w:rsid w:val="0081704F"/>
    <w:rsid w:val="008177A7"/>
    <w:rsid w:val="008179EE"/>
    <w:rsid w:val="00820C77"/>
    <w:rsid w:val="00820D62"/>
    <w:rsid w:val="00820F9D"/>
    <w:rsid w:val="008211BC"/>
    <w:rsid w:val="00822314"/>
    <w:rsid w:val="0082277C"/>
    <w:rsid w:val="00822DCF"/>
    <w:rsid w:val="00823C88"/>
    <w:rsid w:val="00824841"/>
    <w:rsid w:val="0082656C"/>
    <w:rsid w:val="00826DB8"/>
    <w:rsid w:val="008271A0"/>
    <w:rsid w:val="00830786"/>
    <w:rsid w:val="008314A5"/>
    <w:rsid w:val="00831B21"/>
    <w:rsid w:val="00831D38"/>
    <w:rsid w:val="00832C68"/>
    <w:rsid w:val="008343DF"/>
    <w:rsid w:val="008345AF"/>
    <w:rsid w:val="0083530B"/>
    <w:rsid w:val="008360A1"/>
    <w:rsid w:val="0083769B"/>
    <w:rsid w:val="00837B1A"/>
    <w:rsid w:val="00841308"/>
    <w:rsid w:val="008416A6"/>
    <w:rsid w:val="00841F88"/>
    <w:rsid w:val="008447F8"/>
    <w:rsid w:val="00844D0C"/>
    <w:rsid w:val="00845F5E"/>
    <w:rsid w:val="00846611"/>
    <w:rsid w:val="00850342"/>
    <w:rsid w:val="00850439"/>
    <w:rsid w:val="0085100E"/>
    <w:rsid w:val="0085170D"/>
    <w:rsid w:val="00852F31"/>
    <w:rsid w:val="00853207"/>
    <w:rsid w:val="0085329E"/>
    <w:rsid w:val="0085369D"/>
    <w:rsid w:val="00853C77"/>
    <w:rsid w:val="00854B38"/>
    <w:rsid w:val="008555B8"/>
    <w:rsid w:val="008563B4"/>
    <w:rsid w:val="0085694A"/>
    <w:rsid w:val="00857B29"/>
    <w:rsid w:val="008613AF"/>
    <w:rsid w:val="00861DD1"/>
    <w:rsid w:val="00862556"/>
    <w:rsid w:val="00862732"/>
    <w:rsid w:val="00862AD7"/>
    <w:rsid w:val="00862C5C"/>
    <w:rsid w:val="00863EB3"/>
    <w:rsid w:val="00863F99"/>
    <w:rsid w:val="008647E9"/>
    <w:rsid w:val="00864D00"/>
    <w:rsid w:val="00865F40"/>
    <w:rsid w:val="00866F3E"/>
    <w:rsid w:val="00866FFC"/>
    <w:rsid w:val="00867823"/>
    <w:rsid w:val="008714B5"/>
    <w:rsid w:val="00871EC3"/>
    <w:rsid w:val="00872324"/>
    <w:rsid w:val="00872F87"/>
    <w:rsid w:val="00874C9E"/>
    <w:rsid w:val="00876033"/>
    <w:rsid w:val="008764B7"/>
    <w:rsid w:val="008809FC"/>
    <w:rsid w:val="00881F07"/>
    <w:rsid w:val="0088287C"/>
    <w:rsid w:val="00882C4F"/>
    <w:rsid w:val="008843AB"/>
    <w:rsid w:val="0088502A"/>
    <w:rsid w:val="00886F02"/>
    <w:rsid w:val="00887A5D"/>
    <w:rsid w:val="00887D04"/>
    <w:rsid w:val="008909E3"/>
    <w:rsid w:val="008911E3"/>
    <w:rsid w:val="00895AFD"/>
    <w:rsid w:val="00895BE3"/>
    <w:rsid w:val="00895CFC"/>
    <w:rsid w:val="00896147"/>
    <w:rsid w:val="008966F6"/>
    <w:rsid w:val="008969FA"/>
    <w:rsid w:val="00896FB5"/>
    <w:rsid w:val="00897312"/>
    <w:rsid w:val="008A0783"/>
    <w:rsid w:val="008A088A"/>
    <w:rsid w:val="008A2125"/>
    <w:rsid w:val="008A22CD"/>
    <w:rsid w:val="008A2C82"/>
    <w:rsid w:val="008A31C4"/>
    <w:rsid w:val="008A3F20"/>
    <w:rsid w:val="008A49E0"/>
    <w:rsid w:val="008A7123"/>
    <w:rsid w:val="008A7CD2"/>
    <w:rsid w:val="008B002A"/>
    <w:rsid w:val="008B00CC"/>
    <w:rsid w:val="008B03B3"/>
    <w:rsid w:val="008B1050"/>
    <w:rsid w:val="008B3E66"/>
    <w:rsid w:val="008B4181"/>
    <w:rsid w:val="008B5981"/>
    <w:rsid w:val="008B5B91"/>
    <w:rsid w:val="008B5B93"/>
    <w:rsid w:val="008B7377"/>
    <w:rsid w:val="008B7436"/>
    <w:rsid w:val="008B77B9"/>
    <w:rsid w:val="008C00E8"/>
    <w:rsid w:val="008C0275"/>
    <w:rsid w:val="008C04F5"/>
    <w:rsid w:val="008C2E36"/>
    <w:rsid w:val="008C346C"/>
    <w:rsid w:val="008C377D"/>
    <w:rsid w:val="008C4066"/>
    <w:rsid w:val="008C519E"/>
    <w:rsid w:val="008C58CD"/>
    <w:rsid w:val="008C5966"/>
    <w:rsid w:val="008C6132"/>
    <w:rsid w:val="008C6C63"/>
    <w:rsid w:val="008C7115"/>
    <w:rsid w:val="008D043D"/>
    <w:rsid w:val="008D2999"/>
    <w:rsid w:val="008D2E6D"/>
    <w:rsid w:val="008D3233"/>
    <w:rsid w:val="008D3575"/>
    <w:rsid w:val="008D3C52"/>
    <w:rsid w:val="008D4427"/>
    <w:rsid w:val="008D498B"/>
    <w:rsid w:val="008D4CE7"/>
    <w:rsid w:val="008D655E"/>
    <w:rsid w:val="008E0E1E"/>
    <w:rsid w:val="008E1AAE"/>
    <w:rsid w:val="008E1C1F"/>
    <w:rsid w:val="008E256E"/>
    <w:rsid w:val="008E2C99"/>
    <w:rsid w:val="008E2E0F"/>
    <w:rsid w:val="008E30E3"/>
    <w:rsid w:val="008E366E"/>
    <w:rsid w:val="008E37B4"/>
    <w:rsid w:val="008E38F5"/>
    <w:rsid w:val="008E6BB2"/>
    <w:rsid w:val="008E6F4D"/>
    <w:rsid w:val="008E722E"/>
    <w:rsid w:val="008E7B7A"/>
    <w:rsid w:val="008F0125"/>
    <w:rsid w:val="008F05B7"/>
    <w:rsid w:val="008F093C"/>
    <w:rsid w:val="008F0E40"/>
    <w:rsid w:val="008F14BB"/>
    <w:rsid w:val="008F204B"/>
    <w:rsid w:val="008F20AD"/>
    <w:rsid w:val="008F2619"/>
    <w:rsid w:val="008F3A41"/>
    <w:rsid w:val="008F3BBA"/>
    <w:rsid w:val="008F3D64"/>
    <w:rsid w:val="008F4057"/>
    <w:rsid w:val="008F702A"/>
    <w:rsid w:val="008F70CB"/>
    <w:rsid w:val="008F738C"/>
    <w:rsid w:val="008F7483"/>
    <w:rsid w:val="00900586"/>
    <w:rsid w:val="00901C07"/>
    <w:rsid w:val="00902A67"/>
    <w:rsid w:val="00902DE2"/>
    <w:rsid w:val="009031D7"/>
    <w:rsid w:val="0090362D"/>
    <w:rsid w:val="00903D54"/>
    <w:rsid w:val="00903F90"/>
    <w:rsid w:val="00904ECD"/>
    <w:rsid w:val="00905D8F"/>
    <w:rsid w:val="009060E1"/>
    <w:rsid w:val="009073E7"/>
    <w:rsid w:val="0090797B"/>
    <w:rsid w:val="009102F6"/>
    <w:rsid w:val="00911935"/>
    <w:rsid w:val="009119DF"/>
    <w:rsid w:val="00912FB4"/>
    <w:rsid w:val="009134FB"/>
    <w:rsid w:val="009165EF"/>
    <w:rsid w:val="009168D3"/>
    <w:rsid w:val="00916BE4"/>
    <w:rsid w:val="00917A60"/>
    <w:rsid w:val="00917C04"/>
    <w:rsid w:val="00917D1E"/>
    <w:rsid w:val="00920C2A"/>
    <w:rsid w:val="00922716"/>
    <w:rsid w:val="00923A2C"/>
    <w:rsid w:val="009251EA"/>
    <w:rsid w:val="00925601"/>
    <w:rsid w:val="009258E4"/>
    <w:rsid w:val="009275F8"/>
    <w:rsid w:val="009302B0"/>
    <w:rsid w:val="00931564"/>
    <w:rsid w:val="00931CB3"/>
    <w:rsid w:val="009325F7"/>
    <w:rsid w:val="009326D2"/>
    <w:rsid w:val="00932DA9"/>
    <w:rsid w:val="00932F43"/>
    <w:rsid w:val="009330AF"/>
    <w:rsid w:val="0093510A"/>
    <w:rsid w:val="0093599E"/>
    <w:rsid w:val="00935E0C"/>
    <w:rsid w:val="00935E77"/>
    <w:rsid w:val="00936050"/>
    <w:rsid w:val="00936423"/>
    <w:rsid w:val="00936428"/>
    <w:rsid w:val="009366E7"/>
    <w:rsid w:val="00936DF4"/>
    <w:rsid w:val="009374A8"/>
    <w:rsid w:val="00937B26"/>
    <w:rsid w:val="00937D44"/>
    <w:rsid w:val="00937DAC"/>
    <w:rsid w:val="0094137E"/>
    <w:rsid w:val="00941FDE"/>
    <w:rsid w:val="0094270A"/>
    <w:rsid w:val="0094282F"/>
    <w:rsid w:val="009429BA"/>
    <w:rsid w:val="00943BE8"/>
    <w:rsid w:val="00943D7F"/>
    <w:rsid w:val="0094539A"/>
    <w:rsid w:val="0094699E"/>
    <w:rsid w:val="00946B8C"/>
    <w:rsid w:val="00947A1A"/>
    <w:rsid w:val="00947C0E"/>
    <w:rsid w:val="00950283"/>
    <w:rsid w:val="009505EE"/>
    <w:rsid w:val="00950AB2"/>
    <w:rsid w:val="00950B31"/>
    <w:rsid w:val="0095119E"/>
    <w:rsid w:val="00951AB5"/>
    <w:rsid w:val="0095214B"/>
    <w:rsid w:val="00953096"/>
    <w:rsid w:val="00953F47"/>
    <w:rsid w:val="009540E3"/>
    <w:rsid w:val="009543C5"/>
    <w:rsid w:val="00954C9A"/>
    <w:rsid w:val="0095583B"/>
    <w:rsid w:val="00956020"/>
    <w:rsid w:val="009566FB"/>
    <w:rsid w:val="0095736C"/>
    <w:rsid w:val="0096229A"/>
    <w:rsid w:val="00962429"/>
    <w:rsid w:val="00962C7B"/>
    <w:rsid w:val="009630C5"/>
    <w:rsid w:val="0096494F"/>
    <w:rsid w:val="009653BF"/>
    <w:rsid w:val="00965A8D"/>
    <w:rsid w:val="00965B07"/>
    <w:rsid w:val="00966304"/>
    <w:rsid w:val="009667FE"/>
    <w:rsid w:val="009674FA"/>
    <w:rsid w:val="00970D7D"/>
    <w:rsid w:val="00970DFB"/>
    <w:rsid w:val="0097146C"/>
    <w:rsid w:val="009726C5"/>
    <w:rsid w:val="00972A6F"/>
    <w:rsid w:val="00973ED9"/>
    <w:rsid w:val="009769AB"/>
    <w:rsid w:val="009802C2"/>
    <w:rsid w:val="009807BE"/>
    <w:rsid w:val="00982A31"/>
    <w:rsid w:val="00985004"/>
    <w:rsid w:val="00985183"/>
    <w:rsid w:val="009856D1"/>
    <w:rsid w:val="00985E7E"/>
    <w:rsid w:val="00986099"/>
    <w:rsid w:val="00987A37"/>
    <w:rsid w:val="00987EC6"/>
    <w:rsid w:val="009900C2"/>
    <w:rsid w:val="00991749"/>
    <w:rsid w:val="009919B4"/>
    <w:rsid w:val="00991BA8"/>
    <w:rsid w:val="00992A19"/>
    <w:rsid w:val="0099322D"/>
    <w:rsid w:val="009938BE"/>
    <w:rsid w:val="009939EE"/>
    <w:rsid w:val="00994386"/>
    <w:rsid w:val="00994F82"/>
    <w:rsid w:val="0099526B"/>
    <w:rsid w:val="00995340"/>
    <w:rsid w:val="00996B71"/>
    <w:rsid w:val="009A1655"/>
    <w:rsid w:val="009A17D2"/>
    <w:rsid w:val="009A1879"/>
    <w:rsid w:val="009A1BFF"/>
    <w:rsid w:val="009A1F26"/>
    <w:rsid w:val="009A238B"/>
    <w:rsid w:val="009A2B71"/>
    <w:rsid w:val="009A2BEF"/>
    <w:rsid w:val="009A3F5F"/>
    <w:rsid w:val="009A4386"/>
    <w:rsid w:val="009A5256"/>
    <w:rsid w:val="009A564E"/>
    <w:rsid w:val="009A5971"/>
    <w:rsid w:val="009A6C77"/>
    <w:rsid w:val="009B0108"/>
    <w:rsid w:val="009B1DDC"/>
    <w:rsid w:val="009B2386"/>
    <w:rsid w:val="009B2B26"/>
    <w:rsid w:val="009B48B2"/>
    <w:rsid w:val="009B5821"/>
    <w:rsid w:val="009B6551"/>
    <w:rsid w:val="009B690B"/>
    <w:rsid w:val="009C0E0E"/>
    <w:rsid w:val="009C0EC6"/>
    <w:rsid w:val="009C0FFB"/>
    <w:rsid w:val="009C2BB2"/>
    <w:rsid w:val="009C3496"/>
    <w:rsid w:val="009C3BF0"/>
    <w:rsid w:val="009C43A9"/>
    <w:rsid w:val="009C4486"/>
    <w:rsid w:val="009C4762"/>
    <w:rsid w:val="009C4788"/>
    <w:rsid w:val="009C4804"/>
    <w:rsid w:val="009C4AA4"/>
    <w:rsid w:val="009C4E41"/>
    <w:rsid w:val="009C5B3C"/>
    <w:rsid w:val="009C6F13"/>
    <w:rsid w:val="009C7131"/>
    <w:rsid w:val="009C74A2"/>
    <w:rsid w:val="009C7753"/>
    <w:rsid w:val="009C776E"/>
    <w:rsid w:val="009C7E74"/>
    <w:rsid w:val="009D0903"/>
    <w:rsid w:val="009D1395"/>
    <w:rsid w:val="009D1FAC"/>
    <w:rsid w:val="009D4207"/>
    <w:rsid w:val="009D4BEE"/>
    <w:rsid w:val="009D77E3"/>
    <w:rsid w:val="009E18F8"/>
    <w:rsid w:val="009E19B0"/>
    <w:rsid w:val="009E2424"/>
    <w:rsid w:val="009E3087"/>
    <w:rsid w:val="009E4814"/>
    <w:rsid w:val="009E4B48"/>
    <w:rsid w:val="009E4DBD"/>
    <w:rsid w:val="009E5671"/>
    <w:rsid w:val="009E5CC4"/>
    <w:rsid w:val="009E647B"/>
    <w:rsid w:val="009E67AC"/>
    <w:rsid w:val="009E7058"/>
    <w:rsid w:val="009E75F0"/>
    <w:rsid w:val="009F0858"/>
    <w:rsid w:val="009F085F"/>
    <w:rsid w:val="009F210A"/>
    <w:rsid w:val="009F369D"/>
    <w:rsid w:val="009F389D"/>
    <w:rsid w:val="009F3EC1"/>
    <w:rsid w:val="009F3FD5"/>
    <w:rsid w:val="009F4A79"/>
    <w:rsid w:val="009F593B"/>
    <w:rsid w:val="009F6344"/>
    <w:rsid w:val="009F643E"/>
    <w:rsid w:val="009F6479"/>
    <w:rsid w:val="009F6658"/>
    <w:rsid w:val="009F7C8B"/>
    <w:rsid w:val="00A00940"/>
    <w:rsid w:val="00A01CF3"/>
    <w:rsid w:val="00A01FB4"/>
    <w:rsid w:val="00A02C2D"/>
    <w:rsid w:val="00A02E3D"/>
    <w:rsid w:val="00A036F8"/>
    <w:rsid w:val="00A0382F"/>
    <w:rsid w:val="00A04FF8"/>
    <w:rsid w:val="00A07AB7"/>
    <w:rsid w:val="00A07EC1"/>
    <w:rsid w:val="00A10599"/>
    <w:rsid w:val="00A1065F"/>
    <w:rsid w:val="00A10D84"/>
    <w:rsid w:val="00A11F59"/>
    <w:rsid w:val="00A123FF"/>
    <w:rsid w:val="00A131CF"/>
    <w:rsid w:val="00A14967"/>
    <w:rsid w:val="00A15425"/>
    <w:rsid w:val="00A15551"/>
    <w:rsid w:val="00A15A8D"/>
    <w:rsid w:val="00A15E78"/>
    <w:rsid w:val="00A16030"/>
    <w:rsid w:val="00A1636E"/>
    <w:rsid w:val="00A16A6C"/>
    <w:rsid w:val="00A176E4"/>
    <w:rsid w:val="00A17BED"/>
    <w:rsid w:val="00A2157B"/>
    <w:rsid w:val="00A22B18"/>
    <w:rsid w:val="00A2386D"/>
    <w:rsid w:val="00A2392E"/>
    <w:rsid w:val="00A240E3"/>
    <w:rsid w:val="00A24162"/>
    <w:rsid w:val="00A242EC"/>
    <w:rsid w:val="00A27A47"/>
    <w:rsid w:val="00A3117D"/>
    <w:rsid w:val="00A32A3E"/>
    <w:rsid w:val="00A33597"/>
    <w:rsid w:val="00A33EE2"/>
    <w:rsid w:val="00A33F34"/>
    <w:rsid w:val="00A34F5A"/>
    <w:rsid w:val="00A363EC"/>
    <w:rsid w:val="00A36538"/>
    <w:rsid w:val="00A36601"/>
    <w:rsid w:val="00A369DC"/>
    <w:rsid w:val="00A372EC"/>
    <w:rsid w:val="00A37D7D"/>
    <w:rsid w:val="00A40F80"/>
    <w:rsid w:val="00A42BD5"/>
    <w:rsid w:val="00A42E2E"/>
    <w:rsid w:val="00A43EC3"/>
    <w:rsid w:val="00A45A12"/>
    <w:rsid w:val="00A47903"/>
    <w:rsid w:val="00A47C12"/>
    <w:rsid w:val="00A502CD"/>
    <w:rsid w:val="00A50A56"/>
    <w:rsid w:val="00A52CFF"/>
    <w:rsid w:val="00A53731"/>
    <w:rsid w:val="00A53990"/>
    <w:rsid w:val="00A56A96"/>
    <w:rsid w:val="00A5759A"/>
    <w:rsid w:val="00A6109A"/>
    <w:rsid w:val="00A610A0"/>
    <w:rsid w:val="00A629C5"/>
    <w:rsid w:val="00A62AC9"/>
    <w:rsid w:val="00A62F68"/>
    <w:rsid w:val="00A63184"/>
    <w:rsid w:val="00A64B57"/>
    <w:rsid w:val="00A64DA1"/>
    <w:rsid w:val="00A6534F"/>
    <w:rsid w:val="00A65A55"/>
    <w:rsid w:val="00A65D6B"/>
    <w:rsid w:val="00A664F6"/>
    <w:rsid w:val="00A700AE"/>
    <w:rsid w:val="00A70151"/>
    <w:rsid w:val="00A703F1"/>
    <w:rsid w:val="00A70E07"/>
    <w:rsid w:val="00A71179"/>
    <w:rsid w:val="00A71927"/>
    <w:rsid w:val="00A71F98"/>
    <w:rsid w:val="00A720A2"/>
    <w:rsid w:val="00A721EB"/>
    <w:rsid w:val="00A72EE5"/>
    <w:rsid w:val="00A72F13"/>
    <w:rsid w:val="00A7392A"/>
    <w:rsid w:val="00A73DDB"/>
    <w:rsid w:val="00A73E98"/>
    <w:rsid w:val="00A7458F"/>
    <w:rsid w:val="00A75D87"/>
    <w:rsid w:val="00A7615B"/>
    <w:rsid w:val="00A7718C"/>
    <w:rsid w:val="00A77433"/>
    <w:rsid w:val="00A80511"/>
    <w:rsid w:val="00A81768"/>
    <w:rsid w:val="00A83720"/>
    <w:rsid w:val="00A837E0"/>
    <w:rsid w:val="00A83948"/>
    <w:rsid w:val="00A848A4"/>
    <w:rsid w:val="00A84DC9"/>
    <w:rsid w:val="00A8555A"/>
    <w:rsid w:val="00A87AC1"/>
    <w:rsid w:val="00A87B8D"/>
    <w:rsid w:val="00A87FED"/>
    <w:rsid w:val="00A912E1"/>
    <w:rsid w:val="00A91CA2"/>
    <w:rsid w:val="00A9359E"/>
    <w:rsid w:val="00A93DF2"/>
    <w:rsid w:val="00A95CCF"/>
    <w:rsid w:val="00A9651C"/>
    <w:rsid w:val="00A96999"/>
    <w:rsid w:val="00A96BE9"/>
    <w:rsid w:val="00A970FB"/>
    <w:rsid w:val="00A973B8"/>
    <w:rsid w:val="00AA06C8"/>
    <w:rsid w:val="00AA165F"/>
    <w:rsid w:val="00AA1831"/>
    <w:rsid w:val="00AA223D"/>
    <w:rsid w:val="00AA2A68"/>
    <w:rsid w:val="00AA3A5E"/>
    <w:rsid w:val="00AA4485"/>
    <w:rsid w:val="00AA4ED6"/>
    <w:rsid w:val="00AA58C3"/>
    <w:rsid w:val="00AA6771"/>
    <w:rsid w:val="00AA6B90"/>
    <w:rsid w:val="00AA74C0"/>
    <w:rsid w:val="00AB017F"/>
    <w:rsid w:val="00AB09F1"/>
    <w:rsid w:val="00AB0D54"/>
    <w:rsid w:val="00AB2072"/>
    <w:rsid w:val="00AB248D"/>
    <w:rsid w:val="00AB454B"/>
    <w:rsid w:val="00AB6E44"/>
    <w:rsid w:val="00AB6FAD"/>
    <w:rsid w:val="00AB766F"/>
    <w:rsid w:val="00AB79B3"/>
    <w:rsid w:val="00AC047E"/>
    <w:rsid w:val="00AC165A"/>
    <w:rsid w:val="00AC1799"/>
    <w:rsid w:val="00AC21D9"/>
    <w:rsid w:val="00AC4624"/>
    <w:rsid w:val="00AC4B29"/>
    <w:rsid w:val="00AC5030"/>
    <w:rsid w:val="00AC50CD"/>
    <w:rsid w:val="00AC5F75"/>
    <w:rsid w:val="00AC6257"/>
    <w:rsid w:val="00AC728A"/>
    <w:rsid w:val="00AD08E1"/>
    <w:rsid w:val="00AD1914"/>
    <w:rsid w:val="00AD1EB6"/>
    <w:rsid w:val="00AD28C5"/>
    <w:rsid w:val="00AD429D"/>
    <w:rsid w:val="00AD4B32"/>
    <w:rsid w:val="00AD4E41"/>
    <w:rsid w:val="00AD539A"/>
    <w:rsid w:val="00AD6357"/>
    <w:rsid w:val="00AD7254"/>
    <w:rsid w:val="00AD798F"/>
    <w:rsid w:val="00AD7C78"/>
    <w:rsid w:val="00AE0196"/>
    <w:rsid w:val="00AE090D"/>
    <w:rsid w:val="00AE0F1F"/>
    <w:rsid w:val="00AE1B7E"/>
    <w:rsid w:val="00AE1FA7"/>
    <w:rsid w:val="00AE2286"/>
    <w:rsid w:val="00AE2DFC"/>
    <w:rsid w:val="00AE2F9B"/>
    <w:rsid w:val="00AE3C7D"/>
    <w:rsid w:val="00AE517D"/>
    <w:rsid w:val="00AE51A8"/>
    <w:rsid w:val="00AE5D86"/>
    <w:rsid w:val="00AE6515"/>
    <w:rsid w:val="00AE6B88"/>
    <w:rsid w:val="00AE7E90"/>
    <w:rsid w:val="00AF0077"/>
    <w:rsid w:val="00AF0980"/>
    <w:rsid w:val="00AF2076"/>
    <w:rsid w:val="00AF25F2"/>
    <w:rsid w:val="00AF3CAF"/>
    <w:rsid w:val="00AF3DE6"/>
    <w:rsid w:val="00AF4251"/>
    <w:rsid w:val="00AF4D36"/>
    <w:rsid w:val="00AF553C"/>
    <w:rsid w:val="00AF58B4"/>
    <w:rsid w:val="00AF7556"/>
    <w:rsid w:val="00AF7B5B"/>
    <w:rsid w:val="00B00534"/>
    <w:rsid w:val="00B00567"/>
    <w:rsid w:val="00B00839"/>
    <w:rsid w:val="00B01F31"/>
    <w:rsid w:val="00B0267B"/>
    <w:rsid w:val="00B0399C"/>
    <w:rsid w:val="00B03D33"/>
    <w:rsid w:val="00B050A2"/>
    <w:rsid w:val="00B051A7"/>
    <w:rsid w:val="00B05E86"/>
    <w:rsid w:val="00B060DA"/>
    <w:rsid w:val="00B0622F"/>
    <w:rsid w:val="00B06A68"/>
    <w:rsid w:val="00B1000F"/>
    <w:rsid w:val="00B100F2"/>
    <w:rsid w:val="00B1018B"/>
    <w:rsid w:val="00B115A8"/>
    <w:rsid w:val="00B117CE"/>
    <w:rsid w:val="00B12681"/>
    <w:rsid w:val="00B133F9"/>
    <w:rsid w:val="00B14360"/>
    <w:rsid w:val="00B149BF"/>
    <w:rsid w:val="00B14E96"/>
    <w:rsid w:val="00B14EC7"/>
    <w:rsid w:val="00B15390"/>
    <w:rsid w:val="00B1583D"/>
    <w:rsid w:val="00B16F1F"/>
    <w:rsid w:val="00B171C4"/>
    <w:rsid w:val="00B172A9"/>
    <w:rsid w:val="00B217D2"/>
    <w:rsid w:val="00B21F8E"/>
    <w:rsid w:val="00B2409E"/>
    <w:rsid w:val="00B25735"/>
    <w:rsid w:val="00B257DF"/>
    <w:rsid w:val="00B26EA2"/>
    <w:rsid w:val="00B27FF2"/>
    <w:rsid w:val="00B306DD"/>
    <w:rsid w:val="00B30B1C"/>
    <w:rsid w:val="00B30C71"/>
    <w:rsid w:val="00B313B8"/>
    <w:rsid w:val="00B3176C"/>
    <w:rsid w:val="00B3222C"/>
    <w:rsid w:val="00B32743"/>
    <w:rsid w:val="00B33668"/>
    <w:rsid w:val="00B346F8"/>
    <w:rsid w:val="00B3495D"/>
    <w:rsid w:val="00B34991"/>
    <w:rsid w:val="00B34C9E"/>
    <w:rsid w:val="00B36DF5"/>
    <w:rsid w:val="00B37A57"/>
    <w:rsid w:val="00B415BE"/>
    <w:rsid w:val="00B41C6D"/>
    <w:rsid w:val="00B42006"/>
    <w:rsid w:val="00B42B75"/>
    <w:rsid w:val="00B430DC"/>
    <w:rsid w:val="00B43C95"/>
    <w:rsid w:val="00B44154"/>
    <w:rsid w:val="00B4441A"/>
    <w:rsid w:val="00B461F2"/>
    <w:rsid w:val="00B462DD"/>
    <w:rsid w:val="00B465A0"/>
    <w:rsid w:val="00B469D8"/>
    <w:rsid w:val="00B46F8A"/>
    <w:rsid w:val="00B478D8"/>
    <w:rsid w:val="00B505F7"/>
    <w:rsid w:val="00B5101F"/>
    <w:rsid w:val="00B51096"/>
    <w:rsid w:val="00B51F98"/>
    <w:rsid w:val="00B526E8"/>
    <w:rsid w:val="00B5279A"/>
    <w:rsid w:val="00B52A88"/>
    <w:rsid w:val="00B52B93"/>
    <w:rsid w:val="00B5589F"/>
    <w:rsid w:val="00B56C2C"/>
    <w:rsid w:val="00B56CD4"/>
    <w:rsid w:val="00B56E81"/>
    <w:rsid w:val="00B57B23"/>
    <w:rsid w:val="00B57B5F"/>
    <w:rsid w:val="00B57C6D"/>
    <w:rsid w:val="00B60086"/>
    <w:rsid w:val="00B60645"/>
    <w:rsid w:val="00B6193F"/>
    <w:rsid w:val="00B61C44"/>
    <w:rsid w:val="00B625B4"/>
    <w:rsid w:val="00B625C6"/>
    <w:rsid w:val="00B62D08"/>
    <w:rsid w:val="00B62D44"/>
    <w:rsid w:val="00B62E2D"/>
    <w:rsid w:val="00B63086"/>
    <w:rsid w:val="00B64616"/>
    <w:rsid w:val="00B64E9D"/>
    <w:rsid w:val="00B6512A"/>
    <w:rsid w:val="00B653B8"/>
    <w:rsid w:val="00B653D5"/>
    <w:rsid w:val="00B65DC7"/>
    <w:rsid w:val="00B67952"/>
    <w:rsid w:val="00B67A8F"/>
    <w:rsid w:val="00B67EC3"/>
    <w:rsid w:val="00B703E1"/>
    <w:rsid w:val="00B70529"/>
    <w:rsid w:val="00B709A5"/>
    <w:rsid w:val="00B71270"/>
    <w:rsid w:val="00B7180B"/>
    <w:rsid w:val="00B7192D"/>
    <w:rsid w:val="00B71BF2"/>
    <w:rsid w:val="00B72CDA"/>
    <w:rsid w:val="00B73198"/>
    <w:rsid w:val="00B73B83"/>
    <w:rsid w:val="00B74488"/>
    <w:rsid w:val="00B746B3"/>
    <w:rsid w:val="00B74ADB"/>
    <w:rsid w:val="00B75474"/>
    <w:rsid w:val="00B7547C"/>
    <w:rsid w:val="00B76271"/>
    <w:rsid w:val="00B7667C"/>
    <w:rsid w:val="00B76771"/>
    <w:rsid w:val="00B778D4"/>
    <w:rsid w:val="00B8058E"/>
    <w:rsid w:val="00B82B79"/>
    <w:rsid w:val="00B837B0"/>
    <w:rsid w:val="00B83F38"/>
    <w:rsid w:val="00B841D7"/>
    <w:rsid w:val="00B843A7"/>
    <w:rsid w:val="00B8499A"/>
    <w:rsid w:val="00B85020"/>
    <w:rsid w:val="00B8529A"/>
    <w:rsid w:val="00B865F4"/>
    <w:rsid w:val="00B86E7A"/>
    <w:rsid w:val="00B87444"/>
    <w:rsid w:val="00B875CA"/>
    <w:rsid w:val="00B87B1D"/>
    <w:rsid w:val="00B87EF6"/>
    <w:rsid w:val="00B9086F"/>
    <w:rsid w:val="00B9125D"/>
    <w:rsid w:val="00B915E5"/>
    <w:rsid w:val="00B92A6B"/>
    <w:rsid w:val="00B92B78"/>
    <w:rsid w:val="00B92CD4"/>
    <w:rsid w:val="00B92DF4"/>
    <w:rsid w:val="00B93E11"/>
    <w:rsid w:val="00B941CA"/>
    <w:rsid w:val="00B9595C"/>
    <w:rsid w:val="00B95D31"/>
    <w:rsid w:val="00B97BF9"/>
    <w:rsid w:val="00BA00FD"/>
    <w:rsid w:val="00BA044E"/>
    <w:rsid w:val="00BA04DF"/>
    <w:rsid w:val="00BA166B"/>
    <w:rsid w:val="00BA1AA8"/>
    <w:rsid w:val="00BA1B89"/>
    <w:rsid w:val="00BA1E5C"/>
    <w:rsid w:val="00BA1F43"/>
    <w:rsid w:val="00BA2970"/>
    <w:rsid w:val="00BA2AC4"/>
    <w:rsid w:val="00BA4089"/>
    <w:rsid w:val="00BA5BBF"/>
    <w:rsid w:val="00BB0BE1"/>
    <w:rsid w:val="00BB1620"/>
    <w:rsid w:val="00BB1CF2"/>
    <w:rsid w:val="00BB2E70"/>
    <w:rsid w:val="00BB3159"/>
    <w:rsid w:val="00BB5A47"/>
    <w:rsid w:val="00BB63D5"/>
    <w:rsid w:val="00BB71AF"/>
    <w:rsid w:val="00BB7E98"/>
    <w:rsid w:val="00BC087B"/>
    <w:rsid w:val="00BC2624"/>
    <w:rsid w:val="00BC35A3"/>
    <w:rsid w:val="00BC40CA"/>
    <w:rsid w:val="00BC4FF5"/>
    <w:rsid w:val="00BC5450"/>
    <w:rsid w:val="00BC6788"/>
    <w:rsid w:val="00BC6DF9"/>
    <w:rsid w:val="00BC6DFB"/>
    <w:rsid w:val="00BC7771"/>
    <w:rsid w:val="00BC7DC1"/>
    <w:rsid w:val="00BD170E"/>
    <w:rsid w:val="00BD23C6"/>
    <w:rsid w:val="00BD30C9"/>
    <w:rsid w:val="00BD310E"/>
    <w:rsid w:val="00BD39B0"/>
    <w:rsid w:val="00BD3E1E"/>
    <w:rsid w:val="00BD4678"/>
    <w:rsid w:val="00BD4E1A"/>
    <w:rsid w:val="00BD4F96"/>
    <w:rsid w:val="00BD5492"/>
    <w:rsid w:val="00BD55A2"/>
    <w:rsid w:val="00BD5F4B"/>
    <w:rsid w:val="00BD63A1"/>
    <w:rsid w:val="00BD6FFF"/>
    <w:rsid w:val="00BD70D1"/>
    <w:rsid w:val="00BD7158"/>
    <w:rsid w:val="00BD7AAF"/>
    <w:rsid w:val="00BE1536"/>
    <w:rsid w:val="00BE2074"/>
    <w:rsid w:val="00BE2CA3"/>
    <w:rsid w:val="00BE499D"/>
    <w:rsid w:val="00BE62AF"/>
    <w:rsid w:val="00BE6654"/>
    <w:rsid w:val="00BF01C0"/>
    <w:rsid w:val="00BF0962"/>
    <w:rsid w:val="00BF10BC"/>
    <w:rsid w:val="00BF12E4"/>
    <w:rsid w:val="00BF13BA"/>
    <w:rsid w:val="00BF1926"/>
    <w:rsid w:val="00BF1CDA"/>
    <w:rsid w:val="00BF1E73"/>
    <w:rsid w:val="00BF2965"/>
    <w:rsid w:val="00BF3431"/>
    <w:rsid w:val="00BF4086"/>
    <w:rsid w:val="00BF52C1"/>
    <w:rsid w:val="00BF549E"/>
    <w:rsid w:val="00BF64E2"/>
    <w:rsid w:val="00BF699C"/>
    <w:rsid w:val="00BF7143"/>
    <w:rsid w:val="00BF78FF"/>
    <w:rsid w:val="00BF7E89"/>
    <w:rsid w:val="00C000A8"/>
    <w:rsid w:val="00C001D2"/>
    <w:rsid w:val="00C00C81"/>
    <w:rsid w:val="00C027B6"/>
    <w:rsid w:val="00C03808"/>
    <w:rsid w:val="00C040DA"/>
    <w:rsid w:val="00C0419C"/>
    <w:rsid w:val="00C044ED"/>
    <w:rsid w:val="00C0462F"/>
    <w:rsid w:val="00C04A73"/>
    <w:rsid w:val="00C04D7E"/>
    <w:rsid w:val="00C04FC6"/>
    <w:rsid w:val="00C05888"/>
    <w:rsid w:val="00C059B5"/>
    <w:rsid w:val="00C05FD5"/>
    <w:rsid w:val="00C07AA1"/>
    <w:rsid w:val="00C10C58"/>
    <w:rsid w:val="00C11A5C"/>
    <w:rsid w:val="00C11D16"/>
    <w:rsid w:val="00C12147"/>
    <w:rsid w:val="00C1229E"/>
    <w:rsid w:val="00C12C89"/>
    <w:rsid w:val="00C1335B"/>
    <w:rsid w:val="00C1343F"/>
    <w:rsid w:val="00C136E8"/>
    <w:rsid w:val="00C144AF"/>
    <w:rsid w:val="00C14B84"/>
    <w:rsid w:val="00C14D8F"/>
    <w:rsid w:val="00C1528F"/>
    <w:rsid w:val="00C1545E"/>
    <w:rsid w:val="00C15EDD"/>
    <w:rsid w:val="00C163A2"/>
    <w:rsid w:val="00C1660D"/>
    <w:rsid w:val="00C16F31"/>
    <w:rsid w:val="00C216C3"/>
    <w:rsid w:val="00C21706"/>
    <w:rsid w:val="00C218F7"/>
    <w:rsid w:val="00C2225C"/>
    <w:rsid w:val="00C22AA1"/>
    <w:rsid w:val="00C238F9"/>
    <w:rsid w:val="00C23A96"/>
    <w:rsid w:val="00C23FBA"/>
    <w:rsid w:val="00C240C9"/>
    <w:rsid w:val="00C24F24"/>
    <w:rsid w:val="00C25944"/>
    <w:rsid w:val="00C25CEC"/>
    <w:rsid w:val="00C2605C"/>
    <w:rsid w:val="00C26B5F"/>
    <w:rsid w:val="00C27578"/>
    <w:rsid w:val="00C27642"/>
    <w:rsid w:val="00C30462"/>
    <w:rsid w:val="00C30691"/>
    <w:rsid w:val="00C31A39"/>
    <w:rsid w:val="00C32445"/>
    <w:rsid w:val="00C32A63"/>
    <w:rsid w:val="00C32B08"/>
    <w:rsid w:val="00C3301B"/>
    <w:rsid w:val="00C34E6C"/>
    <w:rsid w:val="00C35496"/>
    <w:rsid w:val="00C35B91"/>
    <w:rsid w:val="00C3633F"/>
    <w:rsid w:val="00C377E8"/>
    <w:rsid w:val="00C40030"/>
    <w:rsid w:val="00C40251"/>
    <w:rsid w:val="00C41B09"/>
    <w:rsid w:val="00C41E38"/>
    <w:rsid w:val="00C444F6"/>
    <w:rsid w:val="00C448C6"/>
    <w:rsid w:val="00C4490C"/>
    <w:rsid w:val="00C44D67"/>
    <w:rsid w:val="00C454D9"/>
    <w:rsid w:val="00C4555A"/>
    <w:rsid w:val="00C45B5C"/>
    <w:rsid w:val="00C4696E"/>
    <w:rsid w:val="00C472C6"/>
    <w:rsid w:val="00C50096"/>
    <w:rsid w:val="00C50E34"/>
    <w:rsid w:val="00C511D6"/>
    <w:rsid w:val="00C51A29"/>
    <w:rsid w:val="00C51C8F"/>
    <w:rsid w:val="00C51DB7"/>
    <w:rsid w:val="00C51F38"/>
    <w:rsid w:val="00C52BCA"/>
    <w:rsid w:val="00C5376F"/>
    <w:rsid w:val="00C538B0"/>
    <w:rsid w:val="00C54315"/>
    <w:rsid w:val="00C5464E"/>
    <w:rsid w:val="00C55059"/>
    <w:rsid w:val="00C557AD"/>
    <w:rsid w:val="00C55CC6"/>
    <w:rsid w:val="00C5674B"/>
    <w:rsid w:val="00C56814"/>
    <w:rsid w:val="00C56945"/>
    <w:rsid w:val="00C57995"/>
    <w:rsid w:val="00C579DA"/>
    <w:rsid w:val="00C626E2"/>
    <w:rsid w:val="00C63CD0"/>
    <w:rsid w:val="00C64B18"/>
    <w:rsid w:val="00C65FE0"/>
    <w:rsid w:val="00C6657D"/>
    <w:rsid w:val="00C67534"/>
    <w:rsid w:val="00C706A8"/>
    <w:rsid w:val="00C7104B"/>
    <w:rsid w:val="00C71486"/>
    <w:rsid w:val="00C71D07"/>
    <w:rsid w:val="00C72822"/>
    <w:rsid w:val="00C736F5"/>
    <w:rsid w:val="00C73BCB"/>
    <w:rsid w:val="00C73D4E"/>
    <w:rsid w:val="00C746E4"/>
    <w:rsid w:val="00C748A1"/>
    <w:rsid w:val="00C74C21"/>
    <w:rsid w:val="00C752FB"/>
    <w:rsid w:val="00C7689A"/>
    <w:rsid w:val="00C80B90"/>
    <w:rsid w:val="00C8151E"/>
    <w:rsid w:val="00C81C69"/>
    <w:rsid w:val="00C81F6F"/>
    <w:rsid w:val="00C81FC5"/>
    <w:rsid w:val="00C82F11"/>
    <w:rsid w:val="00C8315B"/>
    <w:rsid w:val="00C84AAE"/>
    <w:rsid w:val="00C8514E"/>
    <w:rsid w:val="00C85DD3"/>
    <w:rsid w:val="00C866E1"/>
    <w:rsid w:val="00C90630"/>
    <w:rsid w:val="00C90C1C"/>
    <w:rsid w:val="00C90DCD"/>
    <w:rsid w:val="00C911B6"/>
    <w:rsid w:val="00C92181"/>
    <w:rsid w:val="00C924AF"/>
    <w:rsid w:val="00C92C23"/>
    <w:rsid w:val="00C9339A"/>
    <w:rsid w:val="00C935EB"/>
    <w:rsid w:val="00C93B34"/>
    <w:rsid w:val="00C93C14"/>
    <w:rsid w:val="00C93D53"/>
    <w:rsid w:val="00C9582B"/>
    <w:rsid w:val="00C96B2B"/>
    <w:rsid w:val="00C97811"/>
    <w:rsid w:val="00C97B64"/>
    <w:rsid w:val="00CA0283"/>
    <w:rsid w:val="00CA0610"/>
    <w:rsid w:val="00CA1B6D"/>
    <w:rsid w:val="00CA2979"/>
    <w:rsid w:val="00CA54AE"/>
    <w:rsid w:val="00CA56C4"/>
    <w:rsid w:val="00CA59EF"/>
    <w:rsid w:val="00CA6323"/>
    <w:rsid w:val="00CB0125"/>
    <w:rsid w:val="00CB0C8C"/>
    <w:rsid w:val="00CB0CF8"/>
    <w:rsid w:val="00CB1014"/>
    <w:rsid w:val="00CB242D"/>
    <w:rsid w:val="00CB3575"/>
    <w:rsid w:val="00CB3A09"/>
    <w:rsid w:val="00CB4728"/>
    <w:rsid w:val="00CB56B4"/>
    <w:rsid w:val="00CB6013"/>
    <w:rsid w:val="00CB63E7"/>
    <w:rsid w:val="00CB75C2"/>
    <w:rsid w:val="00CB7EEB"/>
    <w:rsid w:val="00CC0705"/>
    <w:rsid w:val="00CC0F3F"/>
    <w:rsid w:val="00CC1DAB"/>
    <w:rsid w:val="00CC2D76"/>
    <w:rsid w:val="00CC3406"/>
    <w:rsid w:val="00CC35E7"/>
    <w:rsid w:val="00CC3832"/>
    <w:rsid w:val="00CC3FD1"/>
    <w:rsid w:val="00CC44D9"/>
    <w:rsid w:val="00CC653A"/>
    <w:rsid w:val="00CC6643"/>
    <w:rsid w:val="00CC6A02"/>
    <w:rsid w:val="00CD053E"/>
    <w:rsid w:val="00CD113B"/>
    <w:rsid w:val="00CD216F"/>
    <w:rsid w:val="00CD2DEB"/>
    <w:rsid w:val="00CD3C64"/>
    <w:rsid w:val="00CD3F65"/>
    <w:rsid w:val="00CD42BC"/>
    <w:rsid w:val="00CD4B4B"/>
    <w:rsid w:val="00CD4C6B"/>
    <w:rsid w:val="00CD5105"/>
    <w:rsid w:val="00CD540E"/>
    <w:rsid w:val="00CD5FA2"/>
    <w:rsid w:val="00CD6A26"/>
    <w:rsid w:val="00CD757D"/>
    <w:rsid w:val="00CD7ABE"/>
    <w:rsid w:val="00CD7DDA"/>
    <w:rsid w:val="00CE1C2C"/>
    <w:rsid w:val="00CE26C1"/>
    <w:rsid w:val="00CE2A4E"/>
    <w:rsid w:val="00CE2DF0"/>
    <w:rsid w:val="00CE3FC1"/>
    <w:rsid w:val="00CE4204"/>
    <w:rsid w:val="00CE4B76"/>
    <w:rsid w:val="00CE4F6C"/>
    <w:rsid w:val="00CE55A2"/>
    <w:rsid w:val="00CE76AC"/>
    <w:rsid w:val="00CF00A9"/>
    <w:rsid w:val="00CF0667"/>
    <w:rsid w:val="00CF1E06"/>
    <w:rsid w:val="00CF1FFC"/>
    <w:rsid w:val="00CF2AC4"/>
    <w:rsid w:val="00CF30E8"/>
    <w:rsid w:val="00CF3334"/>
    <w:rsid w:val="00CF3678"/>
    <w:rsid w:val="00CF3C8E"/>
    <w:rsid w:val="00CF4366"/>
    <w:rsid w:val="00CF4F31"/>
    <w:rsid w:val="00CF6E24"/>
    <w:rsid w:val="00D00738"/>
    <w:rsid w:val="00D01A83"/>
    <w:rsid w:val="00D01F52"/>
    <w:rsid w:val="00D033E6"/>
    <w:rsid w:val="00D03675"/>
    <w:rsid w:val="00D03E4B"/>
    <w:rsid w:val="00D0432B"/>
    <w:rsid w:val="00D058E7"/>
    <w:rsid w:val="00D0740C"/>
    <w:rsid w:val="00D077A6"/>
    <w:rsid w:val="00D0789E"/>
    <w:rsid w:val="00D114B4"/>
    <w:rsid w:val="00D11651"/>
    <w:rsid w:val="00D11E70"/>
    <w:rsid w:val="00D11E7A"/>
    <w:rsid w:val="00D11F4B"/>
    <w:rsid w:val="00D121B3"/>
    <w:rsid w:val="00D134D1"/>
    <w:rsid w:val="00D13BF0"/>
    <w:rsid w:val="00D15849"/>
    <w:rsid w:val="00D158CB"/>
    <w:rsid w:val="00D15965"/>
    <w:rsid w:val="00D16323"/>
    <w:rsid w:val="00D172AE"/>
    <w:rsid w:val="00D17A31"/>
    <w:rsid w:val="00D17FDC"/>
    <w:rsid w:val="00D2040D"/>
    <w:rsid w:val="00D2056D"/>
    <w:rsid w:val="00D21941"/>
    <w:rsid w:val="00D219B2"/>
    <w:rsid w:val="00D22092"/>
    <w:rsid w:val="00D22216"/>
    <w:rsid w:val="00D228BE"/>
    <w:rsid w:val="00D23359"/>
    <w:rsid w:val="00D24172"/>
    <w:rsid w:val="00D249F6"/>
    <w:rsid w:val="00D2539F"/>
    <w:rsid w:val="00D256B6"/>
    <w:rsid w:val="00D258FA"/>
    <w:rsid w:val="00D25A1C"/>
    <w:rsid w:val="00D25BFC"/>
    <w:rsid w:val="00D26C58"/>
    <w:rsid w:val="00D30091"/>
    <w:rsid w:val="00D30D5D"/>
    <w:rsid w:val="00D31156"/>
    <w:rsid w:val="00D312C5"/>
    <w:rsid w:val="00D31775"/>
    <w:rsid w:val="00D318FA"/>
    <w:rsid w:val="00D31BF2"/>
    <w:rsid w:val="00D325BD"/>
    <w:rsid w:val="00D32B9E"/>
    <w:rsid w:val="00D32FDF"/>
    <w:rsid w:val="00D330C5"/>
    <w:rsid w:val="00D3413B"/>
    <w:rsid w:val="00D352B4"/>
    <w:rsid w:val="00D3531E"/>
    <w:rsid w:val="00D355C5"/>
    <w:rsid w:val="00D35DE4"/>
    <w:rsid w:val="00D36F35"/>
    <w:rsid w:val="00D3707F"/>
    <w:rsid w:val="00D371BF"/>
    <w:rsid w:val="00D40871"/>
    <w:rsid w:val="00D411D5"/>
    <w:rsid w:val="00D42877"/>
    <w:rsid w:val="00D44E19"/>
    <w:rsid w:val="00D45DBE"/>
    <w:rsid w:val="00D46382"/>
    <w:rsid w:val="00D47779"/>
    <w:rsid w:val="00D47AC4"/>
    <w:rsid w:val="00D47B0C"/>
    <w:rsid w:val="00D50DA7"/>
    <w:rsid w:val="00D5118D"/>
    <w:rsid w:val="00D51444"/>
    <w:rsid w:val="00D51814"/>
    <w:rsid w:val="00D51D82"/>
    <w:rsid w:val="00D52576"/>
    <w:rsid w:val="00D52A30"/>
    <w:rsid w:val="00D54B55"/>
    <w:rsid w:val="00D54F2B"/>
    <w:rsid w:val="00D55560"/>
    <w:rsid w:val="00D55D5F"/>
    <w:rsid w:val="00D55DBF"/>
    <w:rsid w:val="00D561BF"/>
    <w:rsid w:val="00D56A9D"/>
    <w:rsid w:val="00D57813"/>
    <w:rsid w:val="00D6051E"/>
    <w:rsid w:val="00D60F26"/>
    <w:rsid w:val="00D6107E"/>
    <w:rsid w:val="00D6141C"/>
    <w:rsid w:val="00D62112"/>
    <w:rsid w:val="00D6251C"/>
    <w:rsid w:val="00D62959"/>
    <w:rsid w:val="00D63404"/>
    <w:rsid w:val="00D6404E"/>
    <w:rsid w:val="00D6431D"/>
    <w:rsid w:val="00D646D5"/>
    <w:rsid w:val="00D65712"/>
    <w:rsid w:val="00D67126"/>
    <w:rsid w:val="00D672EC"/>
    <w:rsid w:val="00D678B7"/>
    <w:rsid w:val="00D70447"/>
    <w:rsid w:val="00D710FE"/>
    <w:rsid w:val="00D717AF"/>
    <w:rsid w:val="00D72B69"/>
    <w:rsid w:val="00D72EA2"/>
    <w:rsid w:val="00D738AE"/>
    <w:rsid w:val="00D759EE"/>
    <w:rsid w:val="00D760F6"/>
    <w:rsid w:val="00D76D71"/>
    <w:rsid w:val="00D76FC5"/>
    <w:rsid w:val="00D81873"/>
    <w:rsid w:val="00D825C3"/>
    <w:rsid w:val="00D8331D"/>
    <w:rsid w:val="00D834EB"/>
    <w:rsid w:val="00D8423D"/>
    <w:rsid w:val="00D843BF"/>
    <w:rsid w:val="00D852E9"/>
    <w:rsid w:val="00D86F57"/>
    <w:rsid w:val="00D8758F"/>
    <w:rsid w:val="00D9096C"/>
    <w:rsid w:val="00D90CDC"/>
    <w:rsid w:val="00D912AE"/>
    <w:rsid w:val="00D91BBC"/>
    <w:rsid w:val="00D93462"/>
    <w:rsid w:val="00D9382E"/>
    <w:rsid w:val="00D947F2"/>
    <w:rsid w:val="00D9523A"/>
    <w:rsid w:val="00D96E65"/>
    <w:rsid w:val="00D972D0"/>
    <w:rsid w:val="00DA04A1"/>
    <w:rsid w:val="00DA05FA"/>
    <w:rsid w:val="00DA0CFE"/>
    <w:rsid w:val="00DA0E9E"/>
    <w:rsid w:val="00DA103F"/>
    <w:rsid w:val="00DA1D77"/>
    <w:rsid w:val="00DA22E8"/>
    <w:rsid w:val="00DA29FD"/>
    <w:rsid w:val="00DA3ADE"/>
    <w:rsid w:val="00DA3E23"/>
    <w:rsid w:val="00DA4499"/>
    <w:rsid w:val="00DA52F1"/>
    <w:rsid w:val="00DA645D"/>
    <w:rsid w:val="00DA673C"/>
    <w:rsid w:val="00DA6E50"/>
    <w:rsid w:val="00DA70D1"/>
    <w:rsid w:val="00DA74BB"/>
    <w:rsid w:val="00DB00C0"/>
    <w:rsid w:val="00DB02CC"/>
    <w:rsid w:val="00DB08A3"/>
    <w:rsid w:val="00DB0A8E"/>
    <w:rsid w:val="00DB1049"/>
    <w:rsid w:val="00DB1122"/>
    <w:rsid w:val="00DB21C1"/>
    <w:rsid w:val="00DB23E6"/>
    <w:rsid w:val="00DB387B"/>
    <w:rsid w:val="00DB43F8"/>
    <w:rsid w:val="00DB502C"/>
    <w:rsid w:val="00DB5627"/>
    <w:rsid w:val="00DB6BDD"/>
    <w:rsid w:val="00DB6E26"/>
    <w:rsid w:val="00DB7298"/>
    <w:rsid w:val="00DB757B"/>
    <w:rsid w:val="00DC0123"/>
    <w:rsid w:val="00DC1269"/>
    <w:rsid w:val="00DC1AC3"/>
    <w:rsid w:val="00DC1EBA"/>
    <w:rsid w:val="00DC1FE1"/>
    <w:rsid w:val="00DC2859"/>
    <w:rsid w:val="00DC44CD"/>
    <w:rsid w:val="00DC45C0"/>
    <w:rsid w:val="00DC4622"/>
    <w:rsid w:val="00DC520F"/>
    <w:rsid w:val="00DC5E67"/>
    <w:rsid w:val="00DC6F9F"/>
    <w:rsid w:val="00DD0A3A"/>
    <w:rsid w:val="00DD1852"/>
    <w:rsid w:val="00DD1F35"/>
    <w:rsid w:val="00DD2BAD"/>
    <w:rsid w:val="00DD438D"/>
    <w:rsid w:val="00DD49F0"/>
    <w:rsid w:val="00DD4C20"/>
    <w:rsid w:val="00DD4EED"/>
    <w:rsid w:val="00DD5E06"/>
    <w:rsid w:val="00DD7585"/>
    <w:rsid w:val="00DE101B"/>
    <w:rsid w:val="00DE214D"/>
    <w:rsid w:val="00DE2F8B"/>
    <w:rsid w:val="00DE2FFF"/>
    <w:rsid w:val="00DE4611"/>
    <w:rsid w:val="00DE56EE"/>
    <w:rsid w:val="00DE59A2"/>
    <w:rsid w:val="00DE5A1E"/>
    <w:rsid w:val="00DE6180"/>
    <w:rsid w:val="00DE7552"/>
    <w:rsid w:val="00DE7A5E"/>
    <w:rsid w:val="00DE7B82"/>
    <w:rsid w:val="00DE7EA0"/>
    <w:rsid w:val="00DF1655"/>
    <w:rsid w:val="00DF2371"/>
    <w:rsid w:val="00DF41C9"/>
    <w:rsid w:val="00DF421C"/>
    <w:rsid w:val="00DF44FF"/>
    <w:rsid w:val="00DF5633"/>
    <w:rsid w:val="00E0084F"/>
    <w:rsid w:val="00E00C09"/>
    <w:rsid w:val="00E00E04"/>
    <w:rsid w:val="00E00F47"/>
    <w:rsid w:val="00E01FDB"/>
    <w:rsid w:val="00E0215E"/>
    <w:rsid w:val="00E02168"/>
    <w:rsid w:val="00E03AC7"/>
    <w:rsid w:val="00E04B2D"/>
    <w:rsid w:val="00E05094"/>
    <w:rsid w:val="00E05386"/>
    <w:rsid w:val="00E05A71"/>
    <w:rsid w:val="00E07365"/>
    <w:rsid w:val="00E07B2B"/>
    <w:rsid w:val="00E10F1A"/>
    <w:rsid w:val="00E10F98"/>
    <w:rsid w:val="00E11859"/>
    <w:rsid w:val="00E12125"/>
    <w:rsid w:val="00E121A2"/>
    <w:rsid w:val="00E126D7"/>
    <w:rsid w:val="00E1280B"/>
    <w:rsid w:val="00E1291E"/>
    <w:rsid w:val="00E12A84"/>
    <w:rsid w:val="00E13207"/>
    <w:rsid w:val="00E1366E"/>
    <w:rsid w:val="00E13DA1"/>
    <w:rsid w:val="00E1400E"/>
    <w:rsid w:val="00E14D1E"/>
    <w:rsid w:val="00E15D92"/>
    <w:rsid w:val="00E16004"/>
    <w:rsid w:val="00E16026"/>
    <w:rsid w:val="00E16E5C"/>
    <w:rsid w:val="00E20120"/>
    <w:rsid w:val="00E20520"/>
    <w:rsid w:val="00E208F0"/>
    <w:rsid w:val="00E219EE"/>
    <w:rsid w:val="00E22056"/>
    <w:rsid w:val="00E2206C"/>
    <w:rsid w:val="00E22BC8"/>
    <w:rsid w:val="00E24821"/>
    <w:rsid w:val="00E24EA7"/>
    <w:rsid w:val="00E24F01"/>
    <w:rsid w:val="00E25152"/>
    <w:rsid w:val="00E2521E"/>
    <w:rsid w:val="00E254ED"/>
    <w:rsid w:val="00E2571E"/>
    <w:rsid w:val="00E259A7"/>
    <w:rsid w:val="00E27173"/>
    <w:rsid w:val="00E30573"/>
    <w:rsid w:val="00E31100"/>
    <w:rsid w:val="00E313DD"/>
    <w:rsid w:val="00E31606"/>
    <w:rsid w:val="00E31CEF"/>
    <w:rsid w:val="00E33E42"/>
    <w:rsid w:val="00E33E70"/>
    <w:rsid w:val="00E34731"/>
    <w:rsid w:val="00E34749"/>
    <w:rsid w:val="00E34905"/>
    <w:rsid w:val="00E34DF2"/>
    <w:rsid w:val="00E34EE2"/>
    <w:rsid w:val="00E35DD6"/>
    <w:rsid w:val="00E35FBB"/>
    <w:rsid w:val="00E3722E"/>
    <w:rsid w:val="00E40759"/>
    <w:rsid w:val="00E4380B"/>
    <w:rsid w:val="00E43C0B"/>
    <w:rsid w:val="00E43C95"/>
    <w:rsid w:val="00E43CAD"/>
    <w:rsid w:val="00E43DCE"/>
    <w:rsid w:val="00E44B03"/>
    <w:rsid w:val="00E44FD4"/>
    <w:rsid w:val="00E4560F"/>
    <w:rsid w:val="00E475FB"/>
    <w:rsid w:val="00E51B85"/>
    <w:rsid w:val="00E528BB"/>
    <w:rsid w:val="00E542D7"/>
    <w:rsid w:val="00E54BFF"/>
    <w:rsid w:val="00E55EC0"/>
    <w:rsid w:val="00E566F8"/>
    <w:rsid w:val="00E5768B"/>
    <w:rsid w:val="00E6095F"/>
    <w:rsid w:val="00E609EA"/>
    <w:rsid w:val="00E61EC2"/>
    <w:rsid w:val="00E633A3"/>
    <w:rsid w:val="00E6483D"/>
    <w:rsid w:val="00E6492E"/>
    <w:rsid w:val="00E65A7F"/>
    <w:rsid w:val="00E65CBA"/>
    <w:rsid w:val="00E65E18"/>
    <w:rsid w:val="00E65E70"/>
    <w:rsid w:val="00E661C1"/>
    <w:rsid w:val="00E67F2F"/>
    <w:rsid w:val="00E708BB"/>
    <w:rsid w:val="00E70A0E"/>
    <w:rsid w:val="00E7232E"/>
    <w:rsid w:val="00E75D03"/>
    <w:rsid w:val="00E77382"/>
    <w:rsid w:val="00E778CE"/>
    <w:rsid w:val="00E7790E"/>
    <w:rsid w:val="00E77946"/>
    <w:rsid w:val="00E8049A"/>
    <w:rsid w:val="00E80EFB"/>
    <w:rsid w:val="00E81121"/>
    <w:rsid w:val="00E82474"/>
    <w:rsid w:val="00E82BDD"/>
    <w:rsid w:val="00E83332"/>
    <w:rsid w:val="00E8398C"/>
    <w:rsid w:val="00E84704"/>
    <w:rsid w:val="00E847B7"/>
    <w:rsid w:val="00E848EE"/>
    <w:rsid w:val="00E85230"/>
    <w:rsid w:val="00E86504"/>
    <w:rsid w:val="00E8665C"/>
    <w:rsid w:val="00E86EF8"/>
    <w:rsid w:val="00E87071"/>
    <w:rsid w:val="00E87167"/>
    <w:rsid w:val="00E87181"/>
    <w:rsid w:val="00E90A7A"/>
    <w:rsid w:val="00E90DF2"/>
    <w:rsid w:val="00E91129"/>
    <w:rsid w:val="00E91902"/>
    <w:rsid w:val="00E93030"/>
    <w:rsid w:val="00E93DD4"/>
    <w:rsid w:val="00E93F22"/>
    <w:rsid w:val="00E95380"/>
    <w:rsid w:val="00E9547D"/>
    <w:rsid w:val="00E96728"/>
    <w:rsid w:val="00E96EB0"/>
    <w:rsid w:val="00EA0977"/>
    <w:rsid w:val="00EA0A6C"/>
    <w:rsid w:val="00EA0D0C"/>
    <w:rsid w:val="00EA13A2"/>
    <w:rsid w:val="00EA17D0"/>
    <w:rsid w:val="00EA2027"/>
    <w:rsid w:val="00EA2827"/>
    <w:rsid w:val="00EA2FA8"/>
    <w:rsid w:val="00EA3246"/>
    <w:rsid w:val="00EA342D"/>
    <w:rsid w:val="00EA3917"/>
    <w:rsid w:val="00EA3EC4"/>
    <w:rsid w:val="00EA4235"/>
    <w:rsid w:val="00EA4267"/>
    <w:rsid w:val="00EA4B97"/>
    <w:rsid w:val="00EA58BB"/>
    <w:rsid w:val="00EA5CC5"/>
    <w:rsid w:val="00EA698C"/>
    <w:rsid w:val="00EA6B97"/>
    <w:rsid w:val="00EA6CCC"/>
    <w:rsid w:val="00EA6D24"/>
    <w:rsid w:val="00EA7AB4"/>
    <w:rsid w:val="00EB133E"/>
    <w:rsid w:val="00EB4BBF"/>
    <w:rsid w:val="00EB4CB0"/>
    <w:rsid w:val="00EB535E"/>
    <w:rsid w:val="00EB7CDC"/>
    <w:rsid w:val="00EC0226"/>
    <w:rsid w:val="00EC0CA3"/>
    <w:rsid w:val="00EC20E8"/>
    <w:rsid w:val="00EC213E"/>
    <w:rsid w:val="00EC288F"/>
    <w:rsid w:val="00EC3797"/>
    <w:rsid w:val="00EC3DCA"/>
    <w:rsid w:val="00EC66CC"/>
    <w:rsid w:val="00EC6C2A"/>
    <w:rsid w:val="00EC720A"/>
    <w:rsid w:val="00EC7683"/>
    <w:rsid w:val="00EC76D7"/>
    <w:rsid w:val="00ED0043"/>
    <w:rsid w:val="00ED07DE"/>
    <w:rsid w:val="00ED0977"/>
    <w:rsid w:val="00ED0BD0"/>
    <w:rsid w:val="00ED1842"/>
    <w:rsid w:val="00ED223F"/>
    <w:rsid w:val="00ED281B"/>
    <w:rsid w:val="00ED28D1"/>
    <w:rsid w:val="00ED2CCF"/>
    <w:rsid w:val="00ED2EA1"/>
    <w:rsid w:val="00ED31D0"/>
    <w:rsid w:val="00ED33B9"/>
    <w:rsid w:val="00ED414E"/>
    <w:rsid w:val="00ED4381"/>
    <w:rsid w:val="00ED46F7"/>
    <w:rsid w:val="00ED59E5"/>
    <w:rsid w:val="00ED7D5D"/>
    <w:rsid w:val="00EE03AF"/>
    <w:rsid w:val="00EE0A29"/>
    <w:rsid w:val="00EE23FD"/>
    <w:rsid w:val="00EE29EB"/>
    <w:rsid w:val="00EE2B24"/>
    <w:rsid w:val="00EE2E08"/>
    <w:rsid w:val="00EE3640"/>
    <w:rsid w:val="00EE3732"/>
    <w:rsid w:val="00EE4759"/>
    <w:rsid w:val="00EE482D"/>
    <w:rsid w:val="00EE4DDA"/>
    <w:rsid w:val="00EE5C95"/>
    <w:rsid w:val="00EE5E98"/>
    <w:rsid w:val="00EE5F2C"/>
    <w:rsid w:val="00EE6986"/>
    <w:rsid w:val="00EE6DE9"/>
    <w:rsid w:val="00EE7B07"/>
    <w:rsid w:val="00EF020A"/>
    <w:rsid w:val="00EF169E"/>
    <w:rsid w:val="00EF197A"/>
    <w:rsid w:val="00EF1BFC"/>
    <w:rsid w:val="00EF363B"/>
    <w:rsid w:val="00EF3A52"/>
    <w:rsid w:val="00EF3BDE"/>
    <w:rsid w:val="00EF4CED"/>
    <w:rsid w:val="00EF4FB9"/>
    <w:rsid w:val="00EF50CC"/>
    <w:rsid w:val="00EF67D0"/>
    <w:rsid w:val="00EF683C"/>
    <w:rsid w:val="00EF6E44"/>
    <w:rsid w:val="00EF77F5"/>
    <w:rsid w:val="00EF78C6"/>
    <w:rsid w:val="00EF78EF"/>
    <w:rsid w:val="00F0080B"/>
    <w:rsid w:val="00F00D75"/>
    <w:rsid w:val="00F00DC9"/>
    <w:rsid w:val="00F02E4B"/>
    <w:rsid w:val="00F03092"/>
    <w:rsid w:val="00F04EFC"/>
    <w:rsid w:val="00F055D4"/>
    <w:rsid w:val="00F05829"/>
    <w:rsid w:val="00F05C9B"/>
    <w:rsid w:val="00F06663"/>
    <w:rsid w:val="00F072F9"/>
    <w:rsid w:val="00F0757F"/>
    <w:rsid w:val="00F078BB"/>
    <w:rsid w:val="00F1001A"/>
    <w:rsid w:val="00F10D32"/>
    <w:rsid w:val="00F1143F"/>
    <w:rsid w:val="00F114C2"/>
    <w:rsid w:val="00F11F37"/>
    <w:rsid w:val="00F1357C"/>
    <w:rsid w:val="00F135AC"/>
    <w:rsid w:val="00F13C9E"/>
    <w:rsid w:val="00F14378"/>
    <w:rsid w:val="00F1513B"/>
    <w:rsid w:val="00F1555A"/>
    <w:rsid w:val="00F15F81"/>
    <w:rsid w:val="00F1680C"/>
    <w:rsid w:val="00F16852"/>
    <w:rsid w:val="00F17565"/>
    <w:rsid w:val="00F1764C"/>
    <w:rsid w:val="00F2007D"/>
    <w:rsid w:val="00F20EC9"/>
    <w:rsid w:val="00F210F1"/>
    <w:rsid w:val="00F21CF4"/>
    <w:rsid w:val="00F2254A"/>
    <w:rsid w:val="00F2434E"/>
    <w:rsid w:val="00F243E7"/>
    <w:rsid w:val="00F24FC0"/>
    <w:rsid w:val="00F267E5"/>
    <w:rsid w:val="00F27001"/>
    <w:rsid w:val="00F30DEA"/>
    <w:rsid w:val="00F31BD9"/>
    <w:rsid w:val="00F32043"/>
    <w:rsid w:val="00F336F1"/>
    <w:rsid w:val="00F33E34"/>
    <w:rsid w:val="00F33FFE"/>
    <w:rsid w:val="00F340CC"/>
    <w:rsid w:val="00F34209"/>
    <w:rsid w:val="00F34BF2"/>
    <w:rsid w:val="00F34DF4"/>
    <w:rsid w:val="00F34E59"/>
    <w:rsid w:val="00F3551F"/>
    <w:rsid w:val="00F35EDF"/>
    <w:rsid w:val="00F36E46"/>
    <w:rsid w:val="00F40EE2"/>
    <w:rsid w:val="00F41F42"/>
    <w:rsid w:val="00F429AD"/>
    <w:rsid w:val="00F43A9A"/>
    <w:rsid w:val="00F43D85"/>
    <w:rsid w:val="00F445AC"/>
    <w:rsid w:val="00F45882"/>
    <w:rsid w:val="00F47277"/>
    <w:rsid w:val="00F47AC8"/>
    <w:rsid w:val="00F5019E"/>
    <w:rsid w:val="00F501C1"/>
    <w:rsid w:val="00F509AD"/>
    <w:rsid w:val="00F50CDA"/>
    <w:rsid w:val="00F511F3"/>
    <w:rsid w:val="00F51478"/>
    <w:rsid w:val="00F51C4A"/>
    <w:rsid w:val="00F51CD6"/>
    <w:rsid w:val="00F51D55"/>
    <w:rsid w:val="00F52BF3"/>
    <w:rsid w:val="00F535F3"/>
    <w:rsid w:val="00F53C33"/>
    <w:rsid w:val="00F540AB"/>
    <w:rsid w:val="00F54BAE"/>
    <w:rsid w:val="00F555C1"/>
    <w:rsid w:val="00F55AEC"/>
    <w:rsid w:val="00F55DCD"/>
    <w:rsid w:val="00F56BA6"/>
    <w:rsid w:val="00F56D9B"/>
    <w:rsid w:val="00F57301"/>
    <w:rsid w:val="00F57D8F"/>
    <w:rsid w:val="00F61E16"/>
    <w:rsid w:val="00F61EDA"/>
    <w:rsid w:val="00F629A4"/>
    <w:rsid w:val="00F66687"/>
    <w:rsid w:val="00F66B39"/>
    <w:rsid w:val="00F704FF"/>
    <w:rsid w:val="00F70620"/>
    <w:rsid w:val="00F72C61"/>
    <w:rsid w:val="00F73478"/>
    <w:rsid w:val="00F735B5"/>
    <w:rsid w:val="00F7383E"/>
    <w:rsid w:val="00F74A58"/>
    <w:rsid w:val="00F74D6D"/>
    <w:rsid w:val="00F75230"/>
    <w:rsid w:val="00F75D97"/>
    <w:rsid w:val="00F80289"/>
    <w:rsid w:val="00F81160"/>
    <w:rsid w:val="00F813E2"/>
    <w:rsid w:val="00F81558"/>
    <w:rsid w:val="00F8160E"/>
    <w:rsid w:val="00F82412"/>
    <w:rsid w:val="00F82B36"/>
    <w:rsid w:val="00F84B01"/>
    <w:rsid w:val="00F870C6"/>
    <w:rsid w:val="00F87F35"/>
    <w:rsid w:val="00F9042E"/>
    <w:rsid w:val="00F90945"/>
    <w:rsid w:val="00F91682"/>
    <w:rsid w:val="00F91719"/>
    <w:rsid w:val="00F91EC2"/>
    <w:rsid w:val="00F92E9C"/>
    <w:rsid w:val="00F9351B"/>
    <w:rsid w:val="00F9395A"/>
    <w:rsid w:val="00F9530A"/>
    <w:rsid w:val="00F95460"/>
    <w:rsid w:val="00F95F4D"/>
    <w:rsid w:val="00F96159"/>
    <w:rsid w:val="00F96509"/>
    <w:rsid w:val="00F96B9F"/>
    <w:rsid w:val="00F97F50"/>
    <w:rsid w:val="00FA047A"/>
    <w:rsid w:val="00FA1266"/>
    <w:rsid w:val="00FA1AEC"/>
    <w:rsid w:val="00FA1B74"/>
    <w:rsid w:val="00FA30D8"/>
    <w:rsid w:val="00FA31E6"/>
    <w:rsid w:val="00FA6D40"/>
    <w:rsid w:val="00FA6D56"/>
    <w:rsid w:val="00FB17C5"/>
    <w:rsid w:val="00FB1FDB"/>
    <w:rsid w:val="00FB32A7"/>
    <w:rsid w:val="00FB3C5B"/>
    <w:rsid w:val="00FB5D9C"/>
    <w:rsid w:val="00FB6A12"/>
    <w:rsid w:val="00FB7057"/>
    <w:rsid w:val="00FC0537"/>
    <w:rsid w:val="00FC0A64"/>
    <w:rsid w:val="00FC0B87"/>
    <w:rsid w:val="00FC0E21"/>
    <w:rsid w:val="00FC16EA"/>
    <w:rsid w:val="00FC273D"/>
    <w:rsid w:val="00FC3FAE"/>
    <w:rsid w:val="00FC42C9"/>
    <w:rsid w:val="00FC5616"/>
    <w:rsid w:val="00FC57F7"/>
    <w:rsid w:val="00FC5A4B"/>
    <w:rsid w:val="00FC5D96"/>
    <w:rsid w:val="00FC61CE"/>
    <w:rsid w:val="00FC62B6"/>
    <w:rsid w:val="00FC6608"/>
    <w:rsid w:val="00FC747A"/>
    <w:rsid w:val="00FC76C4"/>
    <w:rsid w:val="00FD024D"/>
    <w:rsid w:val="00FD0266"/>
    <w:rsid w:val="00FD0323"/>
    <w:rsid w:val="00FD069E"/>
    <w:rsid w:val="00FD13CF"/>
    <w:rsid w:val="00FD29B4"/>
    <w:rsid w:val="00FD3C42"/>
    <w:rsid w:val="00FD445B"/>
    <w:rsid w:val="00FD545F"/>
    <w:rsid w:val="00FD6580"/>
    <w:rsid w:val="00FD6CEC"/>
    <w:rsid w:val="00FE1A22"/>
    <w:rsid w:val="00FE1EB2"/>
    <w:rsid w:val="00FE4080"/>
    <w:rsid w:val="00FE5557"/>
    <w:rsid w:val="00FE5D6E"/>
    <w:rsid w:val="00FE626F"/>
    <w:rsid w:val="00FE71F5"/>
    <w:rsid w:val="00FF0B09"/>
    <w:rsid w:val="00FF1F0D"/>
    <w:rsid w:val="00FF2332"/>
    <w:rsid w:val="00FF2964"/>
    <w:rsid w:val="00FF336F"/>
    <w:rsid w:val="00FF33CB"/>
    <w:rsid w:val="00FF3741"/>
    <w:rsid w:val="00FF4D07"/>
    <w:rsid w:val="00FF537E"/>
    <w:rsid w:val="00FF550F"/>
    <w:rsid w:val="00FF5739"/>
    <w:rsid w:val="00FF588D"/>
    <w:rsid w:val="00FF5BDE"/>
    <w:rsid w:val="00FF6FCA"/>
    <w:rsid w:val="00FF7103"/>
    <w:rsid w:val="00FF72CA"/>
    <w:rsid w:val="00FF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15:docId w15:val="{36E5B4F0-4C33-438D-A766-E6BA2BE8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871"/>
    <w:pPr>
      <w:spacing w:line="480" w:lineRule="auto"/>
      <w:jc w:val="both"/>
    </w:pPr>
    <w:rPr>
      <w:sz w:val="24"/>
      <w:lang w:eastAsia="de-DE"/>
    </w:rPr>
  </w:style>
  <w:style w:type="paragraph" w:styleId="Heading1">
    <w:name w:val="heading 1"/>
    <w:basedOn w:val="Normal"/>
    <w:next w:val="Normal"/>
    <w:link w:val="Heading1Char"/>
    <w:qFormat/>
    <w:rsid w:val="008613AF"/>
    <w:pPr>
      <w:widowControl w:val="0"/>
      <w:numPr>
        <w:numId w:val="1"/>
      </w:numPr>
      <w:tabs>
        <w:tab w:val="left" w:pos="999"/>
      </w:tabs>
      <w:spacing w:before="200" w:line="240" w:lineRule="auto"/>
      <w:jc w:val="left"/>
      <w:outlineLvl w:val="0"/>
    </w:pPr>
    <w:rPr>
      <w:sz w:val="32"/>
    </w:rPr>
  </w:style>
  <w:style w:type="paragraph" w:styleId="Heading2">
    <w:name w:val="heading 2"/>
    <w:basedOn w:val="Normal"/>
    <w:next w:val="Normal"/>
    <w:qFormat/>
    <w:rsid w:val="00FE5557"/>
    <w:pPr>
      <w:widowControl w:val="0"/>
      <w:numPr>
        <w:ilvl w:val="1"/>
        <w:numId w:val="1"/>
      </w:numPr>
      <w:spacing w:before="120" w:after="120" w:line="360" w:lineRule="auto"/>
      <w:outlineLvl w:val="1"/>
    </w:pPr>
    <w:rPr>
      <w:sz w:val="28"/>
    </w:rPr>
  </w:style>
  <w:style w:type="paragraph" w:styleId="Heading3">
    <w:name w:val="heading 3"/>
    <w:basedOn w:val="Normal"/>
    <w:next w:val="Normal"/>
    <w:qFormat/>
    <w:rsid w:val="00FE5557"/>
    <w:pPr>
      <w:widowControl w:val="0"/>
      <w:numPr>
        <w:ilvl w:val="2"/>
        <w:numId w:val="1"/>
      </w:numPr>
      <w:spacing w:before="120" w:line="360" w:lineRule="auto"/>
      <w:outlineLvl w:val="2"/>
    </w:pPr>
    <w:rPr>
      <w:sz w:val="28"/>
    </w:rPr>
  </w:style>
  <w:style w:type="paragraph" w:styleId="Heading4">
    <w:name w:val="heading 4"/>
    <w:basedOn w:val="Normal"/>
    <w:next w:val="Normal"/>
    <w:qFormat/>
    <w:rsid w:val="00FE5557"/>
    <w:pPr>
      <w:keepNext/>
      <w:numPr>
        <w:ilvl w:val="3"/>
        <w:numId w:val="1"/>
      </w:numPr>
      <w:spacing w:before="180" w:after="120" w:line="360" w:lineRule="auto"/>
      <w:outlineLvl w:val="3"/>
    </w:pPr>
    <w:rPr>
      <w:sz w:val="26"/>
    </w:rPr>
  </w:style>
  <w:style w:type="paragraph" w:styleId="Heading5">
    <w:name w:val="heading 5"/>
    <w:basedOn w:val="Normal"/>
    <w:next w:val="Normal"/>
    <w:qFormat/>
    <w:pPr>
      <w:numPr>
        <w:ilvl w:val="4"/>
        <w:numId w:val="1"/>
      </w:numPr>
      <w:spacing w:before="240" w:after="60"/>
      <w:outlineLvl w:val="4"/>
    </w:pPr>
    <w:rPr>
      <w:lang w:val="de-CH"/>
    </w:r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style>
  <w:style w:type="paragraph" w:styleId="Heading9">
    <w:name w:val="heading 9"/>
    <w:basedOn w:val="Normal"/>
    <w:next w:val="Normal"/>
    <w:qFormat/>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Absatz-Standardschriftart11">
    <w:name w:val="WW-Absatz-Standardschriftart11"/>
  </w:style>
  <w:style w:type="character" w:customStyle="1" w:styleId="Funotenzeichen1">
    <w:name w:val="Fußnotenzeichen1"/>
    <w:rPr>
      <w:vertAlign w:val="superscript"/>
    </w:rPr>
  </w:style>
  <w:style w:type="character" w:styleId="Hyperlink">
    <w:name w:val="Hyperlink"/>
    <w:basedOn w:val="WW-Absatz-Standardschriftart11"/>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uiPriority w:val="99"/>
    <w:rPr>
      <w:vertAlign w:val="superscript"/>
    </w:rPr>
  </w:style>
  <w:style w:type="character" w:customStyle="1" w:styleId="Endnotenzeichen1">
    <w:name w:val="Endnotenzeichen1"/>
    <w:rPr>
      <w:vertAlign w:val="superscript"/>
    </w:rPr>
  </w:style>
  <w:style w:type="character" w:customStyle="1" w:styleId="WW-Endnotenzeichen">
    <w:name w:val="WW-Endnotenzeichen"/>
  </w:style>
  <w:style w:type="character" w:styleId="EndnoteReference">
    <w:name w:val="endnote reference"/>
    <w:rPr>
      <w:vertAlign w:val="superscript"/>
    </w:rPr>
  </w:style>
  <w:style w:type="paragraph" w:customStyle="1" w:styleId="berschrift">
    <w:name w:val="Überschrift"/>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Tahoma"/>
    </w:rPr>
  </w:style>
  <w:style w:type="paragraph" w:customStyle="1" w:styleId="Beschriftung1">
    <w:name w:val="Beschriftung1"/>
    <w:basedOn w:val="Normal"/>
    <w:pPr>
      <w:suppressLineNumbers/>
      <w:spacing w:before="120" w:after="120"/>
    </w:pPr>
  </w:style>
  <w:style w:type="paragraph" w:customStyle="1" w:styleId="Verzeichnis">
    <w:name w:val="Verzeichnis"/>
    <w:basedOn w:val="Normal"/>
    <w:pPr>
      <w:suppressLineNumbers/>
    </w:pPr>
    <w:rPr>
      <w:rFonts w:cs="Tahoma"/>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FootnoteTextChar"/>
    <w:uiPriority w:val="99"/>
    <w:qFormat/>
    <w:rsid w:val="00D40871"/>
    <w:pPr>
      <w:spacing w:before="20" w:after="20" w:line="240" w:lineRule="auto"/>
      <w:ind w:left="198" w:hanging="198"/>
    </w:pPr>
    <w:rPr>
      <w:sz w:val="20"/>
    </w:rPr>
  </w:style>
  <w:style w:type="paragraph" w:styleId="Header">
    <w:name w:val="header"/>
    <w:basedOn w:val="Normal"/>
    <w:pPr>
      <w:tabs>
        <w:tab w:val="center" w:pos="4536"/>
        <w:tab w:val="right" w:pos="9072"/>
      </w:tabs>
      <w:spacing w:line="360" w:lineRule="auto"/>
    </w:pPr>
  </w:style>
  <w:style w:type="paragraph" w:styleId="Footer">
    <w:name w:val="footer"/>
    <w:basedOn w:val="Normal"/>
    <w:pPr>
      <w:tabs>
        <w:tab w:val="center" w:pos="4536"/>
        <w:tab w:val="right" w:pos="9072"/>
      </w:tabs>
    </w:pPr>
  </w:style>
  <w:style w:type="paragraph" w:styleId="TOC1">
    <w:name w:val="toc 1"/>
    <w:basedOn w:val="Normal"/>
    <w:next w:val="Normal"/>
    <w:uiPriority w:val="39"/>
    <w:pPr>
      <w:spacing w:before="120"/>
      <w:jc w:val="left"/>
    </w:pPr>
    <w:rPr>
      <w:rFonts w:ascii="Cambria" w:hAnsi="Cambria"/>
      <w:b/>
      <w:szCs w:val="24"/>
    </w:rPr>
  </w:style>
  <w:style w:type="paragraph" w:styleId="TOC2">
    <w:name w:val="toc 2"/>
    <w:basedOn w:val="Normal"/>
    <w:next w:val="Normal"/>
    <w:uiPriority w:val="39"/>
    <w:pPr>
      <w:ind w:left="240"/>
      <w:jc w:val="left"/>
    </w:pPr>
    <w:rPr>
      <w:rFonts w:ascii="Cambria" w:hAnsi="Cambria"/>
      <w:b/>
      <w:sz w:val="22"/>
      <w:szCs w:val="22"/>
    </w:rPr>
  </w:style>
  <w:style w:type="paragraph" w:styleId="TOC3">
    <w:name w:val="toc 3"/>
    <w:basedOn w:val="Normal"/>
    <w:next w:val="Normal"/>
    <w:uiPriority w:val="39"/>
    <w:pPr>
      <w:ind w:left="480"/>
      <w:jc w:val="left"/>
    </w:pPr>
    <w:rPr>
      <w:rFonts w:ascii="Cambria" w:hAnsi="Cambria"/>
      <w:sz w:val="22"/>
      <w:szCs w:val="22"/>
    </w:rPr>
  </w:style>
  <w:style w:type="paragraph" w:styleId="TOC4">
    <w:name w:val="toc 4"/>
    <w:basedOn w:val="Normal"/>
    <w:next w:val="Normal"/>
    <w:uiPriority w:val="39"/>
    <w:pPr>
      <w:ind w:left="720"/>
      <w:jc w:val="left"/>
    </w:pPr>
    <w:rPr>
      <w:rFonts w:ascii="Cambria" w:hAnsi="Cambria"/>
      <w:sz w:val="20"/>
    </w:rPr>
  </w:style>
  <w:style w:type="paragraph" w:styleId="TOC5">
    <w:name w:val="toc 5"/>
    <w:basedOn w:val="Normal"/>
    <w:next w:val="Normal"/>
    <w:pPr>
      <w:ind w:left="960"/>
      <w:jc w:val="left"/>
    </w:pPr>
    <w:rPr>
      <w:rFonts w:ascii="Cambria" w:hAnsi="Cambria"/>
      <w:sz w:val="20"/>
    </w:rPr>
  </w:style>
  <w:style w:type="paragraph" w:styleId="TOC6">
    <w:name w:val="toc 6"/>
    <w:basedOn w:val="Normal"/>
    <w:next w:val="Normal"/>
    <w:pPr>
      <w:ind w:left="1200"/>
      <w:jc w:val="left"/>
    </w:pPr>
    <w:rPr>
      <w:rFonts w:ascii="Cambria" w:hAnsi="Cambria"/>
      <w:sz w:val="20"/>
    </w:rPr>
  </w:style>
  <w:style w:type="paragraph" w:styleId="TOC7">
    <w:name w:val="toc 7"/>
    <w:basedOn w:val="Normal"/>
    <w:next w:val="Normal"/>
    <w:pPr>
      <w:ind w:left="1440"/>
      <w:jc w:val="left"/>
    </w:pPr>
    <w:rPr>
      <w:rFonts w:ascii="Cambria" w:hAnsi="Cambria"/>
      <w:sz w:val="20"/>
    </w:rPr>
  </w:style>
  <w:style w:type="paragraph" w:styleId="TOC8">
    <w:name w:val="toc 8"/>
    <w:basedOn w:val="Normal"/>
    <w:next w:val="Normal"/>
    <w:pPr>
      <w:ind w:left="1680"/>
      <w:jc w:val="left"/>
    </w:pPr>
    <w:rPr>
      <w:rFonts w:ascii="Cambria" w:hAnsi="Cambria"/>
      <w:sz w:val="20"/>
    </w:rPr>
  </w:style>
  <w:style w:type="paragraph" w:styleId="TOC9">
    <w:name w:val="toc 9"/>
    <w:basedOn w:val="Normal"/>
    <w:next w:val="Normal"/>
    <w:pPr>
      <w:ind w:left="1920"/>
      <w:jc w:val="left"/>
    </w:pPr>
    <w:rPr>
      <w:rFonts w:ascii="Cambria" w:hAnsi="Cambria"/>
      <w:sz w:val="20"/>
    </w:rPr>
  </w:style>
  <w:style w:type="paragraph" w:customStyle="1" w:styleId="Randziffer">
    <w:name w:val="Randziffer"/>
    <w:basedOn w:val="Normal"/>
    <w:pPr>
      <w:spacing w:line="240" w:lineRule="auto"/>
    </w:pPr>
  </w:style>
  <w:style w:type="paragraph" w:customStyle="1" w:styleId="TabellenInhalt">
    <w:name w:val="Tabellen Inhalt"/>
    <w:basedOn w:val="Normal"/>
    <w:pPr>
      <w:suppressLineNumbers/>
    </w:pPr>
  </w:style>
  <w:style w:type="paragraph" w:customStyle="1" w:styleId="Tabellenberschrift">
    <w:name w:val="Tabellen Überschrift"/>
    <w:basedOn w:val="TabellenInhalt"/>
    <w:pPr>
      <w:jc w:val="center"/>
    </w:pPr>
    <w:rPr>
      <w:b/>
      <w:bCs/>
    </w:rPr>
  </w:style>
  <w:style w:type="paragraph" w:styleId="NormalWeb">
    <w:name w:val="Normal (Web)"/>
    <w:basedOn w:val="Normal"/>
    <w:uiPriority w:val="99"/>
    <w:unhideWhenUsed/>
    <w:rsid w:val="00C8151E"/>
    <w:pPr>
      <w:spacing w:before="100" w:beforeAutospacing="1" w:after="100" w:afterAutospacing="1" w:line="240" w:lineRule="auto"/>
      <w:jc w:val="left"/>
    </w:pPr>
    <w:rPr>
      <w:rFonts w:ascii="Times" w:hAnsi="Times"/>
      <w:sz w:val="20"/>
      <w:lang w:val="de-CH"/>
    </w:rPr>
  </w:style>
  <w:style w:type="paragraph" w:styleId="DocumentMap">
    <w:name w:val="Document Map"/>
    <w:basedOn w:val="Normal"/>
    <w:link w:val="DocumentMapChar"/>
    <w:uiPriority w:val="99"/>
    <w:semiHidden/>
    <w:unhideWhenUsed/>
    <w:rsid w:val="006D77E1"/>
    <w:rPr>
      <w:rFonts w:ascii="Lucida Grande" w:hAnsi="Lucida Grande" w:cs="Lucida Grande"/>
      <w:szCs w:val="24"/>
    </w:rPr>
  </w:style>
  <w:style w:type="character" w:customStyle="1" w:styleId="DocumentMapChar">
    <w:name w:val="Document Map Char"/>
    <w:link w:val="DocumentMap"/>
    <w:uiPriority w:val="99"/>
    <w:semiHidden/>
    <w:rsid w:val="006D77E1"/>
    <w:rPr>
      <w:rFonts w:ascii="Lucida Grande" w:hAnsi="Lucida Grande" w:cs="Lucida Grande"/>
      <w:sz w:val="24"/>
      <w:szCs w:val="24"/>
      <w:lang w:val="en-GB"/>
    </w:rPr>
  </w:style>
  <w:style w:type="table" w:styleId="TableGrid">
    <w:name w:val="Table Grid"/>
    <w:basedOn w:val="TableNormal"/>
    <w:uiPriority w:val="59"/>
    <w:rsid w:val="005D3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1E70"/>
    <w:pPr>
      <w:spacing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D11E70"/>
    <w:rPr>
      <w:rFonts w:ascii="Lucida Grande" w:hAnsi="Lucida Grande" w:cs="Lucida Grande"/>
      <w:sz w:val="18"/>
      <w:szCs w:val="18"/>
      <w:lang w:val="en-GB"/>
    </w:rPr>
  </w:style>
  <w:style w:type="character" w:styleId="PageNumber">
    <w:name w:val="page number"/>
    <w:uiPriority w:val="99"/>
    <w:semiHidden/>
    <w:unhideWhenUsed/>
    <w:rsid w:val="00487EE9"/>
  </w:style>
  <w:style w:type="paragraph" w:customStyle="1" w:styleId="Inhaltsverzeichnisberschrift">
    <w:name w:val="Inhaltsverzeichnisüberschrift"/>
    <w:basedOn w:val="Heading1"/>
    <w:next w:val="Normal"/>
    <w:uiPriority w:val="39"/>
    <w:unhideWhenUsed/>
    <w:qFormat/>
    <w:rsid w:val="00D40871"/>
    <w:pPr>
      <w:keepNext/>
      <w:keepLines/>
      <w:widowControl/>
      <w:numPr>
        <w:numId w:val="0"/>
      </w:numPr>
      <w:tabs>
        <w:tab w:val="clear" w:pos="999"/>
      </w:tabs>
      <w:spacing w:before="480" w:line="276" w:lineRule="auto"/>
      <w:outlineLvl w:val="9"/>
    </w:pPr>
    <w:rPr>
      <w:rFonts w:ascii="Calibri" w:eastAsia="MS Gothic" w:hAnsi="Calibri"/>
      <w:b/>
      <w:bCs/>
      <w:color w:val="365F91"/>
      <w:sz w:val="28"/>
      <w:szCs w:val="28"/>
      <w:lang w:val="de-CH"/>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link w:val="FootnoteText"/>
    <w:uiPriority w:val="99"/>
    <w:rsid w:val="00D40871"/>
    <w:rPr>
      <w:lang w:val="en-GB"/>
    </w:rPr>
  </w:style>
  <w:style w:type="character" w:styleId="CommentReference">
    <w:name w:val="annotation reference"/>
    <w:uiPriority w:val="99"/>
    <w:semiHidden/>
    <w:unhideWhenUsed/>
    <w:rsid w:val="00932F43"/>
    <w:rPr>
      <w:sz w:val="16"/>
      <w:szCs w:val="16"/>
    </w:rPr>
  </w:style>
  <w:style w:type="paragraph" w:styleId="CommentText">
    <w:name w:val="annotation text"/>
    <w:basedOn w:val="Normal"/>
    <w:link w:val="CommentTextChar"/>
    <w:uiPriority w:val="99"/>
    <w:semiHidden/>
    <w:unhideWhenUsed/>
    <w:rsid w:val="00932F43"/>
    <w:rPr>
      <w:sz w:val="20"/>
    </w:rPr>
  </w:style>
  <w:style w:type="character" w:customStyle="1" w:styleId="CommentTextChar">
    <w:name w:val="Comment Text Char"/>
    <w:link w:val="CommentText"/>
    <w:uiPriority w:val="99"/>
    <w:semiHidden/>
    <w:rsid w:val="00932F43"/>
    <w:rPr>
      <w:lang w:val="en-GB" w:eastAsia="de-DE"/>
    </w:rPr>
  </w:style>
  <w:style w:type="paragraph" w:styleId="CommentSubject">
    <w:name w:val="annotation subject"/>
    <w:basedOn w:val="CommentText"/>
    <w:next w:val="CommentText"/>
    <w:link w:val="CommentSubjectChar"/>
    <w:uiPriority w:val="99"/>
    <w:semiHidden/>
    <w:unhideWhenUsed/>
    <w:rsid w:val="00932F43"/>
    <w:rPr>
      <w:b/>
      <w:bCs/>
    </w:rPr>
  </w:style>
  <w:style w:type="character" w:customStyle="1" w:styleId="CommentSubjectChar">
    <w:name w:val="Comment Subject Char"/>
    <w:link w:val="CommentSubject"/>
    <w:uiPriority w:val="99"/>
    <w:semiHidden/>
    <w:rsid w:val="00932F43"/>
    <w:rPr>
      <w:b/>
      <w:bCs/>
      <w:lang w:val="en-GB" w:eastAsia="de-DE"/>
    </w:rPr>
  </w:style>
  <w:style w:type="paragraph" w:customStyle="1" w:styleId="MediumList2-Accent21">
    <w:name w:val="Medium List 2 - Accent 21"/>
    <w:hidden/>
    <w:uiPriority w:val="99"/>
    <w:semiHidden/>
    <w:rsid w:val="00A6109A"/>
    <w:rPr>
      <w:sz w:val="24"/>
      <w:lang w:val="en-GB" w:eastAsia="de-DE"/>
    </w:rPr>
  </w:style>
  <w:style w:type="character" w:styleId="Emphasis">
    <w:name w:val="Emphasis"/>
    <w:uiPriority w:val="20"/>
    <w:qFormat/>
    <w:rsid w:val="00070CCA"/>
    <w:rPr>
      <w:i/>
      <w:iCs/>
    </w:rPr>
  </w:style>
  <w:style w:type="character" w:customStyle="1" w:styleId="st">
    <w:name w:val="st"/>
    <w:rsid w:val="003F3776"/>
  </w:style>
  <w:style w:type="character" w:customStyle="1" w:styleId="5yl5">
    <w:name w:val="_5yl5"/>
    <w:rsid w:val="001A2844"/>
  </w:style>
  <w:style w:type="paragraph" w:styleId="EndnoteText">
    <w:name w:val="endnote text"/>
    <w:basedOn w:val="Normal"/>
    <w:link w:val="EndnoteTextChar"/>
    <w:uiPriority w:val="99"/>
    <w:unhideWhenUsed/>
    <w:rsid w:val="008B5B93"/>
    <w:rPr>
      <w:szCs w:val="24"/>
    </w:rPr>
  </w:style>
  <w:style w:type="character" w:customStyle="1" w:styleId="EndnoteTextChar">
    <w:name w:val="Endnote Text Char"/>
    <w:link w:val="EndnoteText"/>
    <w:uiPriority w:val="99"/>
    <w:rsid w:val="008B5B93"/>
    <w:rPr>
      <w:sz w:val="24"/>
      <w:szCs w:val="24"/>
      <w:lang w:val="en-US" w:eastAsia="de-DE"/>
    </w:rPr>
  </w:style>
  <w:style w:type="character" w:customStyle="1" w:styleId="Heading1Char">
    <w:name w:val="Heading 1 Char"/>
    <w:link w:val="Heading1"/>
    <w:rsid w:val="001C613B"/>
    <w:rPr>
      <w:sz w:val="32"/>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81799">
      <w:bodyDiv w:val="1"/>
      <w:marLeft w:val="0"/>
      <w:marRight w:val="0"/>
      <w:marTop w:val="0"/>
      <w:marBottom w:val="0"/>
      <w:divBdr>
        <w:top w:val="none" w:sz="0" w:space="0" w:color="auto"/>
        <w:left w:val="none" w:sz="0" w:space="0" w:color="auto"/>
        <w:bottom w:val="none" w:sz="0" w:space="0" w:color="auto"/>
        <w:right w:val="none" w:sz="0" w:space="0" w:color="auto"/>
      </w:divBdr>
    </w:div>
    <w:div w:id="325088642">
      <w:bodyDiv w:val="1"/>
      <w:marLeft w:val="0"/>
      <w:marRight w:val="0"/>
      <w:marTop w:val="0"/>
      <w:marBottom w:val="0"/>
      <w:divBdr>
        <w:top w:val="none" w:sz="0" w:space="0" w:color="auto"/>
        <w:left w:val="none" w:sz="0" w:space="0" w:color="auto"/>
        <w:bottom w:val="none" w:sz="0" w:space="0" w:color="auto"/>
        <w:right w:val="none" w:sz="0" w:space="0" w:color="auto"/>
      </w:divBdr>
      <w:divsChild>
        <w:div w:id="392586154">
          <w:marLeft w:val="0"/>
          <w:marRight w:val="0"/>
          <w:marTop w:val="0"/>
          <w:marBottom w:val="0"/>
          <w:divBdr>
            <w:top w:val="none" w:sz="0" w:space="0" w:color="auto"/>
            <w:left w:val="none" w:sz="0" w:space="0" w:color="auto"/>
            <w:bottom w:val="none" w:sz="0" w:space="0" w:color="auto"/>
            <w:right w:val="none" w:sz="0" w:space="0" w:color="auto"/>
          </w:divBdr>
          <w:divsChild>
            <w:div w:id="1261184573">
              <w:marLeft w:val="0"/>
              <w:marRight w:val="0"/>
              <w:marTop w:val="0"/>
              <w:marBottom w:val="0"/>
              <w:divBdr>
                <w:top w:val="none" w:sz="0" w:space="0" w:color="auto"/>
                <w:left w:val="none" w:sz="0" w:space="0" w:color="auto"/>
                <w:bottom w:val="none" w:sz="0" w:space="0" w:color="auto"/>
                <w:right w:val="none" w:sz="0" w:space="0" w:color="auto"/>
              </w:divBdr>
              <w:divsChild>
                <w:div w:id="1761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11717">
      <w:bodyDiv w:val="1"/>
      <w:marLeft w:val="0"/>
      <w:marRight w:val="0"/>
      <w:marTop w:val="0"/>
      <w:marBottom w:val="0"/>
      <w:divBdr>
        <w:top w:val="none" w:sz="0" w:space="0" w:color="auto"/>
        <w:left w:val="none" w:sz="0" w:space="0" w:color="auto"/>
        <w:bottom w:val="none" w:sz="0" w:space="0" w:color="auto"/>
        <w:right w:val="none" w:sz="0" w:space="0" w:color="auto"/>
      </w:divBdr>
    </w:div>
    <w:div w:id="348412844">
      <w:bodyDiv w:val="1"/>
      <w:marLeft w:val="0"/>
      <w:marRight w:val="0"/>
      <w:marTop w:val="0"/>
      <w:marBottom w:val="0"/>
      <w:divBdr>
        <w:top w:val="none" w:sz="0" w:space="0" w:color="auto"/>
        <w:left w:val="none" w:sz="0" w:space="0" w:color="auto"/>
        <w:bottom w:val="none" w:sz="0" w:space="0" w:color="auto"/>
        <w:right w:val="none" w:sz="0" w:space="0" w:color="auto"/>
      </w:divBdr>
      <w:divsChild>
        <w:div w:id="1771854565">
          <w:marLeft w:val="0"/>
          <w:marRight w:val="0"/>
          <w:marTop w:val="0"/>
          <w:marBottom w:val="0"/>
          <w:divBdr>
            <w:top w:val="none" w:sz="0" w:space="0" w:color="auto"/>
            <w:left w:val="none" w:sz="0" w:space="0" w:color="auto"/>
            <w:bottom w:val="none" w:sz="0" w:space="0" w:color="auto"/>
            <w:right w:val="none" w:sz="0" w:space="0" w:color="auto"/>
          </w:divBdr>
          <w:divsChild>
            <w:div w:id="1007489268">
              <w:marLeft w:val="0"/>
              <w:marRight w:val="0"/>
              <w:marTop w:val="0"/>
              <w:marBottom w:val="0"/>
              <w:divBdr>
                <w:top w:val="none" w:sz="0" w:space="0" w:color="auto"/>
                <w:left w:val="none" w:sz="0" w:space="0" w:color="auto"/>
                <w:bottom w:val="none" w:sz="0" w:space="0" w:color="auto"/>
                <w:right w:val="none" w:sz="0" w:space="0" w:color="auto"/>
              </w:divBdr>
              <w:divsChild>
                <w:div w:id="6078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2050">
      <w:bodyDiv w:val="1"/>
      <w:marLeft w:val="0"/>
      <w:marRight w:val="0"/>
      <w:marTop w:val="0"/>
      <w:marBottom w:val="0"/>
      <w:divBdr>
        <w:top w:val="none" w:sz="0" w:space="0" w:color="auto"/>
        <w:left w:val="none" w:sz="0" w:space="0" w:color="auto"/>
        <w:bottom w:val="none" w:sz="0" w:space="0" w:color="auto"/>
        <w:right w:val="none" w:sz="0" w:space="0" w:color="auto"/>
      </w:divBdr>
      <w:divsChild>
        <w:div w:id="1033575576">
          <w:marLeft w:val="0"/>
          <w:marRight w:val="0"/>
          <w:marTop w:val="0"/>
          <w:marBottom w:val="0"/>
          <w:divBdr>
            <w:top w:val="none" w:sz="0" w:space="0" w:color="auto"/>
            <w:left w:val="none" w:sz="0" w:space="0" w:color="auto"/>
            <w:bottom w:val="none" w:sz="0" w:space="0" w:color="auto"/>
            <w:right w:val="none" w:sz="0" w:space="0" w:color="auto"/>
          </w:divBdr>
        </w:div>
        <w:div w:id="1128010985">
          <w:marLeft w:val="0"/>
          <w:marRight w:val="0"/>
          <w:marTop w:val="0"/>
          <w:marBottom w:val="0"/>
          <w:divBdr>
            <w:top w:val="none" w:sz="0" w:space="0" w:color="auto"/>
            <w:left w:val="none" w:sz="0" w:space="0" w:color="auto"/>
            <w:bottom w:val="none" w:sz="0" w:space="0" w:color="auto"/>
            <w:right w:val="none" w:sz="0" w:space="0" w:color="auto"/>
          </w:divBdr>
        </w:div>
      </w:divsChild>
    </w:div>
    <w:div w:id="408424232">
      <w:bodyDiv w:val="1"/>
      <w:marLeft w:val="0"/>
      <w:marRight w:val="0"/>
      <w:marTop w:val="0"/>
      <w:marBottom w:val="0"/>
      <w:divBdr>
        <w:top w:val="none" w:sz="0" w:space="0" w:color="auto"/>
        <w:left w:val="none" w:sz="0" w:space="0" w:color="auto"/>
        <w:bottom w:val="none" w:sz="0" w:space="0" w:color="auto"/>
        <w:right w:val="none" w:sz="0" w:space="0" w:color="auto"/>
      </w:divBdr>
      <w:divsChild>
        <w:div w:id="1744833467">
          <w:marLeft w:val="0"/>
          <w:marRight w:val="0"/>
          <w:marTop w:val="0"/>
          <w:marBottom w:val="0"/>
          <w:divBdr>
            <w:top w:val="none" w:sz="0" w:space="0" w:color="auto"/>
            <w:left w:val="none" w:sz="0" w:space="0" w:color="auto"/>
            <w:bottom w:val="none" w:sz="0" w:space="0" w:color="auto"/>
            <w:right w:val="none" w:sz="0" w:space="0" w:color="auto"/>
          </w:divBdr>
          <w:divsChild>
            <w:div w:id="1722289035">
              <w:marLeft w:val="0"/>
              <w:marRight w:val="0"/>
              <w:marTop w:val="0"/>
              <w:marBottom w:val="0"/>
              <w:divBdr>
                <w:top w:val="none" w:sz="0" w:space="0" w:color="auto"/>
                <w:left w:val="none" w:sz="0" w:space="0" w:color="auto"/>
                <w:bottom w:val="none" w:sz="0" w:space="0" w:color="auto"/>
                <w:right w:val="none" w:sz="0" w:space="0" w:color="auto"/>
              </w:divBdr>
              <w:divsChild>
                <w:div w:id="11152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94265">
      <w:bodyDiv w:val="1"/>
      <w:marLeft w:val="0"/>
      <w:marRight w:val="0"/>
      <w:marTop w:val="0"/>
      <w:marBottom w:val="0"/>
      <w:divBdr>
        <w:top w:val="none" w:sz="0" w:space="0" w:color="auto"/>
        <w:left w:val="none" w:sz="0" w:space="0" w:color="auto"/>
        <w:bottom w:val="none" w:sz="0" w:space="0" w:color="auto"/>
        <w:right w:val="none" w:sz="0" w:space="0" w:color="auto"/>
      </w:divBdr>
      <w:divsChild>
        <w:div w:id="1223834605">
          <w:marLeft w:val="0"/>
          <w:marRight w:val="0"/>
          <w:marTop w:val="0"/>
          <w:marBottom w:val="0"/>
          <w:divBdr>
            <w:top w:val="none" w:sz="0" w:space="0" w:color="auto"/>
            <w:left w:val="none" w:sz="0" w:space="0" w:color="auto"/>
            <w:bottom w:val="none" w:sz="0" w:space="0" w:color="auto"/>
            <w:right w:val="none" w:sz="0" w:space="0" w:color="auto"/>
          </w:divBdr>
          <w:divsChild>
            <w:div w:id="608702637">
              <w:marLeft w:val="0"/>
              <w:marRight w:val="0"/>
              <w:marTop w:val="0"/>
              <w:marBottom w:val="0"/>
              <w:divBdr>
                <w:top w:val="none" w:sz="0" w:space="0" w:color="auto"/>
                <w:left w:val="none" w:sz="0" w:space="0" w:color="auto"/>
                <w:bottom w:val="none" w:sz="0" w:space="0" w:color="auto"/>
                <w:right w:val="none" w:sz="0" w:space="0" w:color="auto"/>
              </w:divBdr>
              <w:divsChild>
                <w:div w:id="727340282">
                  <w:marLeft w:val="0"/>
                  <w:marRight w:val="0"/>
                  <w:marTop w:val="0"/>
                  <w:marBottom w:val="0"/>
                  <w:divBdr>
                    <w:top w:val="none" w:sz="0" w:space="0" w:color="auto"/>
                    <w:left w:val="none" w:sz="0" w:space="0" w:color="auto"/>
                    <w:bottom w:val="none" w:sz="0" w:space="0" w:color="auto"/>
                    <w:right w:val="none" w:sz="0" w:space="0" w:color="auto"/>
                  </w:divBdr>
                  <w:divsChild>
                    <w:div w:id="1149983171">
                      <w:marLeft w:val="0"/>
                      <w:marRight w:val="0"/>
                      <w:marTop w:val="0"/>
                      <w:marBottom w:val="0"/>
                      <w:divBdr>
                        <w:top w:val="none" w:sz="0" w:space="0" w:color="auto"/>
                        <w:left w:val="none" w:sz="0" w:space="0" w:color="auto"/>
                        <w:bottom w:val="none" w:sz="0" w:space="0" w:color="auto"/>
                        <w:right w:val="none" w:sz="0" w:space="0" w:color="auto"/>
                      </w:divBdr>
                      <w:divsChild>
                        <w:div w:id="43425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584806">
      <w:bodyDiv w:val="1"/>
      <w:marLeft w:val="0"/>
      <w:marRight w:val="0"/>
      <w:marTop w:val="0"/>
      <w:marBottom w:val="0"/>
      <w:divBdr>
        <w:top w:val="none" w:sz="0" w:space="0" w:color="auto"/>
        <w:left w:val="none" w:sz="0" w:space="0" w:color="auto"/>
        <w:bottom w:val="none" w:sz="0" w:space="0" w:color="auto"/>
        <w:right w:val="none" w:sz="0" w:space="0" w:color="auto"/>
      </w:divBdr>
    </w:div>
    <w:div w:id="614799286">
      <w:bodyDiv w:val="1"/>
      <w:marLeft w:val="0"/>
      <w:marRight w:val="0"/>
      <w:marTop w:val="0"/>
      <w:marBottom w:val="0"/>
      <w:divBdr>
        <w:top w:val="none" w:sz="0" w:space="0" w:color="auto"/>
        <w:left w:val="none" w:sz="0" w:space="0" w:color="auto"/>
        <w:bottom w:val="none" w:sz="0" w:space="0" w:color="auto"/>
        <w:right w:val="none" w:sz="0" w:space="0" w:color="auto"/>
      </w:divBdr>
      <w:divsChild>
        <w:div w:id="626161564">
          <w:marLeft w:val="0"/>
          <w:marRight w:val="0"/>
          <w:marTop w:val="0"/>
          <w:marBottom w:val="0"/>
          <w:divBdr>
            <w:top w:val="none" w:sz="0" w:space="0" w:color="auto"/>
            <w:left w:val="none" w:sz="0" w:space="0" w:color="auto"/>
            <w:bottom w:val="none" w:sz="0" w:space="0" w:color="auto"/>
            <w:right w:val="none" w:sz="0" w:space="0" w:color="auto"/>
          </w:divBdr>
        </w:div>
        <w:div w:id="1518890404">
          <w:marLeft w:val="0"/>
          <w:marRight w:val="0"/>
          <w:marTop w:val="0"/>
          <w:marBottom w:val="0"/>
          <w:divBdr>
            <w:top w:val="none" w:sz="0" w:space="0" w:color="auto"/>
            <w:left w:val="none" w:sz="0" w:space="0" w:color="auto"/>
            <w:bottom w:val="none" w:sz="0" w:space="0" w:color="auto"/>
            <w:right w:val="none" w:sz="0" w:space="0" w:color="auto"/>
          </w:divBdr>
        </w:div>
        <w:div w:id="1569416387">
          <w:marLeft w:val="0"/>
          <w:marRight w:val="0"/>
          <w:marTop w:val="0"/>
          <w:marBottom w:val="0"/>
          <w:divBdr>
            <w:top w:val="none" w:sz="0" w:space="0" w:color="auto"/>
            <w:left w:val="none" w:sz="0" w:space="0" w:color="auto"/>
            <w:bottom w:val="none" w:sz="0" w:space="0" w:color="auto"/>
            <w:right w:val="none" w:sz="0" w:space="0" w:color="auto"/>
          </w:divBdr>
        </w:div>
      </w:divsChild>
    </w:div>
    <w:div w:id="745761491">
      <w:bodyDiv w:val="1"/>
      <w:marLeft w:val="0"/>
      <w:marRight w:val="0"/>
      <w:marTop w:val="0"/>
      <w:marBottom w:val="0"/>
      <w:divBdr>
        <w:top w:val="none" w:sz="0" w:space="0" w:color="auto"/>
        <w:left w:val="none" w:sz="0" w:space="0" w:color="auto"/>
        <w:bottom w:val="none" w:sz="0" w:space="0" w:color="auto"/>
        <w:right w:val="none" w:sz="0" w:space="0" w:color="auto"/>
      </w:divBdr>
      <w:divsChild>
        <w:div w:id="309943223">
          <w:marLeft w:val="0"/>
          <w:marRight w:val="0"/>
          <w:marTop w:val="0"/>
          <w:marBottom w:val="0"/>
          <w:divBdr>
            <w:top w:val="none" w:sz="0" w:space="0" w:color="auto"/>
            <w:left w:val="none" w:sz="0" w:space="0" w:color="auto"/>
            <w:bottom w:val="none" w:sz="0" w:space="0" w:color="auto"/>
            <w:right w:val="none" w:sz="0" w:space="0" w:color="auto"/>
          </w:divBdr>
          <w:divsChild>
            <w:div w:id="15789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1730">
      <w:bodyDiv w:val="1"/>
      <w:marLeft w:val="0"/>
      <w:marRight w:val="0"/>
      <w:marTop w:val="0"/>
      <w:marBottom w:val="0"/>
      <w:divBdr>
        <w:top w:val="none" w:sz="0" w:space="0" w:color="auto"/>
        <w:left w:val="none" w:sz="0" w:space="0" w:color="auto"/>
        <w:bottom w:val="none" w:sz="0" w:space="0" w:color="auto"/>
        <w:right w:val="none" w:sz="0" w:space="0" w:color="auto"/>
      </w:divBdr>
      <w:divsChild>
        <w:div w:id="1286035914">
          <w:marLeft w:val="0"/>
          <w:marRight w:val="0"/>
          <w:marTop w:val="0"/>
          <w:marBottom w:val="0"/>
          <w:divBdr>
            <w:top w:val="none" w:sz="0" w:space="0" w:color="auto"/>
            <w:left w:val="none" w:sz="0" w:space="0" w:color="auto"/>
            <w:bottom w:val="none" w:sz="0" w:space="0" w:color="auto"/>
            <w:right w:val="none" w:sz="0" w:space="0" w:color="auto"/>
          </w:divBdr>
          <w:divsChild>
            <w:div w:id="168520653">
              <w:marLeft w:val="0"/>
              <w:marRight w:val="0"/>
              <w:marTop w:val="0"/>
              <w:marBottom w:val="0"/>
              <w:divBdr>
                <w:top w:val="none" w:sz="0" w:space="0" w:color="auto"/>
                <w:left w:val="none" w:sz="0" w:space="0" w:color="auto"/>
                <w:bottom w:val="none" w:sz="0" w:space="0" w:color="auto"/>
                <w:right w:val="none" w:sz="0" w:space="0" w:color="auto"/>
              </w:divBdr>
              <w:divsChild>
                <w:div w:id="450562492">
                  <w:marLeft w:val="0"/>
                  <w:marRight w:val="0"/>
                  <w:marTop w:val="0"/>
                  <w:marBottom w:val="0"/>
                  <w:divBdr>
                    <w:top w:val="none" w:sz="0" w:space="0" w:color="auto"/>
                    <w:left w:val="none" w:sz="0" w:space="0" w:color="auto"/>
                    <w:bottom w:val="none" w:sz="0" w:space="0" w:color="auto"/>
                    <w:right w:val="none" w:sz="0" w:space="0" w:color="auto"/>
                  </w:divBdr>
                  <w:divsChild>
                    <w:div w:id="1149518033">
                      <w:marLeft w:val="0"/>
                      <w:marRight w:val="0"/>
                      <w:marTop w:val="0"/>
                      <w:marBottom w:val="0"/>
                      <w:divBdr>
                        <w:top w:val="none" w:sz="0" w:space="0" w:color="auto"/>
                        <w:left w:val="none" w:sz="0" w:space="0" w:color="auto"/>
                        <w:bottom w:val="none" w:sz="0" w:space="0" w:color="auto"/>
                        <w:right w:val="none" w:sz="0" w:space="0" w:color="auto"/>
                      </w:divBdr>
                      <w:divsChild>
                        <w:div w:id="14644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283416">
      <w:bodyDiv w:val="1"/>
      <w:marLeft w:val="0"/>
      <w:marRight w:val="0"/>
      <w:marTop w:val="0"/>
      <w:marBottom w:val="0"/>
      <w:divBdr>
        <w:top w:val="none" w:sz="0" w:space="0" w:color="auto"/>
        <w:left w:val="none" w:sz="0" w:space="0" w:color="auto"/>
        <w:bottom w:val="none" w:sz="0" w:space="0" w:color="auto"/>
        <w:right w:val="none" w:sz="0" w:space="0" w:color="auto"/>
      </w:divBdr>
      <w:divsChild>
        <w:div w:id="1707096">
          <w:marLeft w:val="0"/>
          <w:marRight w:val="0"/>
          <w:marTop w:val="0"/>
          <w:marBottom w:val="0"/>
          <w:divBdr>
            <w:top w:val="none" w:sz="0" w:space="0" w:color="auto"/>
            <w:left w:val="none" w:sz="0" w:space="0" w:color="auto"/>
            <w:bottom w:val="none" w:sz="0" w:space="0" w:color="auto"/>
            <w:right w:val="none" w:sz="0" w:space="0" w:color="auto"/>
          </w:divBdr>
        </w:div>
        <w:div w:id="264075110">
          <w:marLeft w:val="0"/>
          <w:marRight w:val="0"/>
          <w:marTop w:val="0"/>
          <w:marBottom w:val="0"/>
          <w:divBdr>
            <w:top w:val="none" w:sz="0" w:space="0" w:color="auto"/>
            <w:left w:val="none" w:sz="0" w:space="0" w:color="auto"/>
            <w:bottom w:val="none" w:sz="0" w:space="0" w:color="auto"/>
            <w:right w:val="none" w:sz="0" w:space="0" w:color="auto"/>
          </w:divBdr>
        </w:div>
        <w:div w:id="895319439">
          <w:marLeft w:val="0"/>
          <w:marRight w:val="0"/>
          <w:marTop w:val="0"/>
          <w:marBottom w:val="0"/>
          <w:divBdr>
            <w:top w:val="none" w:sz="0" w:space="0" w:color="auto"/>
            <w:left w:val="none" w:sz="0" w:space="0" w:color="auto"/>
            <w:bottom w:val="none" w:sz="0" w:space="0" w:color="auto"/>
            <w:right w:val="none" w:sz="0" w:space="0" w:color="auto"/>
          </w:divBdr>
        </w:div>
        <w:div w:id="1795949458">
          <w:marLeft w:val="0"/>
          <w:marRight w:val="0"/>
          <w:marTop w:val="0"/>
          <w:marBottom w:val="0"/>
          <w:divBdr>
            <w:top w:val="none" w:sz="0" w:space="0" w:color="auto"/>
            <w:left w:val="none" w:sz="0" w:space="0" w:color="auto"/>
            <w:bottom w:val="none" w:sz="0" w:space="0" w:color="auto"/>
            <w:right w:val="none" w:sz="0" w:space="0" w:color="auto"/>
          </w:divBdr>
        </w:div>
        <w:div w:id="2132673301">
          <w:marLeft w:val="0"/>
          <w:marRight w:val="0"/>
          <w:marTop w:val="0"/>
          <w:marBottom w:val="0"/>
          <w:divBdr>
            <w:top w:val="none" w:sz="0" w:space="0" w:color="auto"/>
            <w:left w:val="none" w:sz="0" w:space="0" w:color="auto"/>
            <w:bottom w:val="none" w:sz="0" w:space="0" w:color="auto"/>
            <w:right w:val="none" w:sz="0" w:space="0" w:color="auto"/>
          </w:divBdr>
        </w:div>
      </w:divsChild>
    </w:div>
    <w:div w:id="1040056384">
      <w:bodyDiv w:val="1"/>
      <w:marLeft w:val="0"/>
      <w:marRight w:val="0"/>
      <w:marTop w:val="0"/>
      <w:marBottom w:val="0"/>
      <w:divBdr>
        <w:top w:val="none" w:sz="0" w:space="0" w:color="auto"/>
        <w:left w:val="none" w:sz="0" w:space="0" w:color="auto"/>
        <w:bottom w:val="none" w:sz="0" w:space="0" w:color="auto"/>
        <w:right w:val="none" w:sz="0" w:space="0" w:color="auto"/>
      </w:divBdr>
      <w:divsChild>
        <w:div w:id="66878475">
          <w:marLeft w:val="0"/>
          <w:marRight w:val="0"/>
          <w:marTop w:val="0"/>
          <w:marBottom w:val="0"/>
          <w:divBdr>
            <w:top w:val="none" w:sz="0" w:space="0" w:color="auto"/>
            <w:left w:val="none" w:sz="0" w:space="0" w:color="auto"/>
            <w:bottom w:val="none" w:sz="0" w:space="0" w:color="auto"/>
            <w:right w:val="none" w:sz="0" w:space="0" w:color="auto"/>
          </w:divBdr>
        </w:div>
        <w:div w:id="642200865">
          <w:marLeft w:val="0"/>
          <w:marRight w:val="0"/>
          <w:marTop w:val="0"/>
          <w:marBottom w:val="0"/>
          <w:divBdr>
            <w:top w:val="none" w:sz="0" w:space="0" w:color="auto"/>
            <w:left w:val="none" w:sz="0" w:space="0" w:color="auto"/>
            <w:bottom w:val="none" w:sz="0" w:space="0" w:color="auto"/>
            <w:right w:val="none" w:sz="0" w:space="0" w:color="auto"/>
          </w:divBdr>
        </w:div>
        <w:div w:id="1589271573">
          <w:marLeft w:val="0"/>
          <w:marRight w:val="0"/>
          <w:marTop w:val="0"/>
          <w:marBottom w:val="0"/>
          <w:divBdr>
            <w:top w:val="none" w:sz="0" w:space="0" w:color="auto"/>
            <w:left w:val="none" w:sz="0" w:space="0" w:color="auto"/>
            <w:bottom w:val="none" w:sz="0" w:space="0" w:color="auto"/>
            <w:right w:val="none" w:sz="0" w:space="0" w:color="auto"/>
          </w:divBdr>
        </w:div>
      </w:divsChild>
    </w:div>
    <w:div w:id="1085760266">
      <w:bodyDiv w:val="1"/>
      <w:marLeft w:val="0"/>
      <w:marRight w:val="0"/>
      <w:marTop w:val="0"/>
      <w:marBottom w:val="0"/>
      <w:divBdr>
        <w:top w:val="none" w:sz="0" w:space="0" w:color="auto"/>
        <w:left w:val="none" w:sz="0" w:space="0" w:color="auto"/>
        <w:bottom w:val="none" w:sz="0" w:space="0" w:color="auto"/>
        <w:right w:val="none" w:sz="0" w:space="0" w:color="auto"/>
      </w:divBdr>
      <w:divsChild>
        <w:div w:id="1535732518">
          <w:marLeft w:val="0"/>
          <w:marRight w:val="0"/>
          <w:marTop w:val="0"/>
          <w:marBottom w:val="0"/>
          <w:divBdr>
            <w:top w:val="none" w:sz="0" w:space="0" w:color="auto"/>
            <w:left w:val="none" w:sz="0" w:space="0" w:color="auto"/>
            <w:bottom w:val="none" w:sz="0" w:space="0" w:color="auto"/>
            <w:right w:val="none" w:sz="0" w:space="0" w:color="auto"/>
          </w:divBdr>
          <w:divsChild>
            <w:div w:id="1104348743">
              <w:marLeft w:val="0"/>
              <w:marRight w:val="0"/>
              <w:marTop w:val="0"/>
              <w:marBottom w:val="0"/>
              <w:divBdr>
                <w:top w:val="none" w:sz="0" w:space="0" w:color="auto"/>
                <w:left w:val="none" w:sz="0" w:space="0" w:color="auto"/>
                <w:bottom w:val="none" w:sz="0" w:space="0" w:color="auto"/>
                <w:right w:val="none" w:sz="0" w:space="0" w:color="auto"/>
              </w:divBdr>
              <w:divsChild>
                <w:div w:id="51153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86272">
      <w:bodyDiv w:val="1"/>
      <w:marLeft w:val="0"/>
      <w:marRight w:val="0"/>
      <w:marTop w:val="0"/>
      <w:marBottom w:val="0"/>
      <w:divBdr>
        <w:top w:val="none" w:sz="0" w:space="0" w:color="auto"/>
        <w:left w:val="none" w:sz="0" w:space="0" w:color="auto"/>
        <w:bottom w:val="none" w:sz="0" w:space="0" w:color="auto"/>
        <w:right w:val="none" w:sz="0" w:space="0" w:color="auto"/>
      </w:divBdr>
      <w:divsChild>
        <w:div w:id="1724715761">
          <w:marLeft w:val="0"/>
          <w:marRight w:val="0"/>
          <w:marTop w:val="0"/>
          <w:marBottom w:val="0"/>
          <w:divBdr>
            <w:top w:val="none" w:sz="0" w:space="0" w:color="auto"/>
            <w:left w:val="none" w:sz="0" w:space="0" w:color="auto"/>
            <w:bottom w:val="none" w:sz="0" w:space="0" w:color="auto"/>
            <w:right w:val="none" w:sz="0" w:space="0" w:color="auto"/>
          </w:divBdr>
          <w:divsChild>
            <w:div w:id="1160119122">
              <w:marLeft w:val="0"/>
              <w:marRight w:val="0"/>
              <w:marTop w:val="0"/>
              <w:marBottom w:val="0"/>
              <w:divBdr>
                <w:top w:val="none" w:sz="0" w:space="0" w:color="auto"/>
                <w:left w:val="none" w:sz="0" w:space="0" w:color="auto"/>
                <w:bottom w:val="none" w:sz="0" w:space="0" w:color="auto"/>
                <w:right w:val="none" w:sz="0" w:space="0" w:color="auto"/>
              </w:divBdr>
              <w:divsChild>
                <w:div w:id="16177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26593">
      <w:bodyDiv w:val="1"/>
      <w:marLeft w:val="0"/>
      <w:marRight w:val="0"/>
      <w:marTop w:val="0"/>
      <w:marBottom w:val="0"/>
      <w:divBdr>
        <w:top w:val="none" w:sz="0" w:space="0" w:color="auto"/>
        <w:left w:val="none" w:sz="0" w:space="0" w:color="auto"/>
        <w:bottom w:val="none" w:sz="0" w:space="0" w:color="auto"/>
        <w:right w:val="none" w:sz="0" w:space="0" w:color="auto"/>
      </w:divBdr>
      <w:divsChild>
        <w:div w:id="1721319390">
          <w:marLeft w:val="0"/>
          <w:marRight w:val="0"/>
          <w:marTop w:val="0"/>
          <w:marBottom w:val="0"/>
          <w:divBdr>
            <w:top w:val="none" w:sz="0" w:space="0" w:color="auto"/>
            <w:left w:val="none" w:sz="0" w:space="0" w:color="auto"/>
            <w:bottom w:val="none" w:sz="0" w:space="0" w:color="auto"/>
            <w:right w:val="none" w:sz="0" w:space="0" w:color="auto"/>
          </w:divBdr>
          <w:divsChild>
            <w:div w:id="193004046">
              <w:marLeft w:val="0"/>
              <w:marRight w:val="0"/>
              <w:marTop w:val="0"/>
              <w:marBottom w:val="0"/>
              <w:divBdr>
                <w:top w:val="none" w:sz="0" w:space="0" w:color="auto"/>
                <w:left w:val="none" w:sz="0" w:space="0" w:color="auto"/>
                <w:bottom w:val="none" w:sz="0" w:space="0" w:color="auto"/>
                <w:right w:val="none" w:sz="0" w:space="0" w:color="auto"/>
              </w:divBdr>
              <w:divsChild>
                <w:div w:id="1443528389">
                  <w:marLeft w:val="0"/>
                  <w:marRight w:val="0"/>
                  <w:marTop w:val="0"/>
                  <w:marBottom w:val="0"/>
                  <w:divBdr>
                    <w:top w:val="none" w:sz="0" w:space="0" w:color="auto"/>
                    <w:left w:val="none" w:sz="0" w:space="0" w:color="auto"/>
                    <w:bottom w:val="none" w:sz="0" w:space="0" w:color="auto"/>
                    <w:right w:val="none" w:sz="0" w:space="0" w:color="auto"/>
                  </w:divBdr>
                  <w:divsChild>
                    <w:div w:id="1740052854">
                      <w:marLeft w:val="0"/>
                      <w:marRight w:val="0"/>
                      <w:marTop w:val="0"/>
                      <w:marBottom w:val="0"/>
                      <w:divBdr>
                        <w:top w:val="none" w:sz="0" w:space="0" w:color="auto"/>
                        <w:left w:val="none" w:sz="0" w:space="0" w:color="auto"/>
                        <w:bottom w:val="none" w:sz="0" w:space="0" w:color="auto"/>
                        <w:right w:val="none" w:sz="0" w:space="0" w:color="auto"/>
                      </w:divBdr>
                      <w:divsChild>
                        <w:div w:id="6612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53709">
      <w:bodyDiv w:val="1"/>
      <w:marLeft w:val="0"/>
      <w:marRight w:val="0"/>
      <w:marTop w:val="0"/>
      <w:marBottom w:val="0"/>
      <w:divBdr>
        <w:top w:val="none" w:sz="0" w:space="0" w:color="auto"/>
        <w:left w:val="none" w:sz="0" w:space="0" w:color="auto"/>
        <w:bottom w:val="none" w:sz="0" w:space="0" w:color="auto"/>
        <w:right w:val="none" w:sz="0" w:space="0" w:color="auto"/>
      </w:divBdr>
      <w:divsChild>
        <w:div w:id="1981303254">
          <w:marLeft w:val="0"/>
          <w:marRight w:val="0"/>
          <w:marTop w:val="0"/>
          <w:marBottom w:val="0"/>
          <w:divBdr>
            <w:top w:val="none" w:sz="0" w:space="0" w:color="auto"/>
            <w:left w:val="none" w:sz="0" w:space="0" w:color="auto"/>
            <w:bottom w:val="none" w:sz="0" w:space="0" w:color="auto"/>
            <w:right w:val="none" w:sz="0" w:space="0" w:color="auto"/>
          </w:divBdr>
          <w:divsChild>
            <w:div w:id="1858538226">
              <w:marLeft w:val="0"/>
              <w:marRight w:val="0"/>
              <w:marTop w:val="0"/>
              <w:marBottom w:val="0"/>
              <w:divBdr>
                <w:top w:val="none" w:sz="0" w:space="0" w:color="auto"/>
                <w:left w:val="none" w:sz="0" w:space="0" w:color="auto"/>
                <w:bottom w:val="none" w:sz="0" w:space="0" w:color="auto"/>
                <w:right w:val="none" w:sz="0" w:space="0" w:color="auto"/>
              </w:divBdr>
              <w:divsChild>
                <w:div w:id="5106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47225">
      <w:bodyDiv w:val="1"/>
      <w:marLeft w:val="0"/>
      <w:marRight w:val="0"/>
      <w:marTop w:val="0"/>
      <w:marBottom w:val="0"/>
      <w:divBdr>
        <w:top w:val="none" w:sz="0" w:space="0" w:color="auto"/>
        <w:left w:val="none" w:sz="0" w:space="0" w:color="auto"/>
        <w:bottom w:val="none" w:sz="0" w:space="0" w:color="auto"/>
        <w:right w:val="none" w:sz="0" w:space="0" w:color="auto"/>
      </w:divBdr>
      <w:divsChild>
        <w:div w:id="107506980">
          <w:marLeft w:val="0"/>
          <w:marRight w:val="0"/>
          <w:marTop w:val="0"/>
          <w:marBottom w:val="0"/>
          <w:divBdr>
            <w:top w:val="none" w:sz="0" w:space="0" w:color="auto"/>
            <w:left w:val="none" w:sz="0" w:space="0" w:color="auto"/>
            <w:bottom w:val="none" w:sz="0" w:space="0" w:color="auto"/>
            <w:right w:val="none" w:sz="0" w:space="0" w:color="auto"/>
          </w:divBdr>
        </w:div>
        <w:div w:id="410004718">
          <w:marLeft w:val="0"/>
          <w:marRight w:val="0"/>
          <w:marTop w:val="0"/>
          <w:marBottom w:val="0"/>
          <w:divBdr>
            <w:top w:val="none" w:sz="0" w:space="0" w:color="auto"/>
            <w:left w:val="none" w:sz="0" w:space="0" w:color="auto"/>
            <w:bottom w:val="none" w:sz="0" w:space="0" w:color="auto"/>
            <w:right w:val="none" w:sz="0" w:space="0" w:color="auto"/>
          </w:divBdr>
        </w:div>
        <w:div w:id="455028537">
          <w:marLeft w:val="0"/>
          <w:marRight w:val="0"/>
          <w:marTop w:val="0"/>
          <w:marBottom w:val="0"/>
          <w:divBdr>
            <w:top w:val="none" w:sz="0" w:space="0" w:color="auto"/>
            <w:left w:val="none" w:sz="0" w:space="0" w:color="auto"/>
            <w:bottom w:val="none" w:sz="0" w:space="0" w:color="auto"/>
            <w:right w:val="none" w:sz="0" w:space="0" w:color="auto"/>
          </w:divBdr>
        </w:div>
        <w:div w:id="835804912">
          <w:marLeft w:val="0"/>
          <w:marRight w:val="0"/>
          <w:marTop w:val="0"/>
          <w:marBottom w:val="0"/>
          <w:divBdr>
            <w:top w:val="none" w:sz="0" w:space="0" w:color="auto"/>
            <w:left w:val="none" w:sz="0" w:space="0" w:color="auto"/>
            <w:bottom w:val="none" w:sz="0" w:space="0" w:color="auto"/>
            <w:right w:val="none" w:sz="0" w:space="0" w:color="auto"/>
          </w:divBdr>
        </w:div>
        <w:div w:id="1099374758">
          <w:marLeft w:val="0"/>
          <w:marRight w:val="0"/>
          <w:marTop w:val="0"/>
          <w:marBottom w:val="0"/>
          <w:divBdr>
            <w:top w:val="none" w:sz="0" w:space="0" w:color="auto"/>
            <w:left w:val="none" w:sz="0" w:space="0" w:color="auto"/>
            <w:bottom w:val="none" w:sz="0" w:space="0" w:color="auto"/>
            <w:right w:val="none" w:sz="0" w:space="0" w:color="auto"/>
          </w:divBdr>
        </w:div>
      </w:divsChild>
    </w:div>
    <w:div w:id="1215973120">
      <w:bodyDiv w:val="1"/>
      <w:marLeft w:val="0"/>
      <w:marRight w:val="0"/>
      <w:marTop w:val="0"/>
      <w:marBottom w:val="0"/>
      <w:divBdr>
        <w:top w:val="none" w:sz="0" w:space="0" w:color="auto"/>
        <w:left w:val="none" w:sz="0" w:space="0" w:color="auto"/>
        <w:bottom w:val="none" w:sz="0" w:space="0" w:color="auto"/>
        <w:right w:val="none" w:sz="0" w:space="0" w:color="auto"/>
      </w:divBdr>
      <w:divsChild>
        <w:div w:id="1815171900">
          <w:marLeft w:val="0"/>
          <w:marRight w:val="0"/>
          <w:marTop w:val="0"/>
          <w:marBottom w:val="0"/>
          <w:divBdr>
            <w:top w:val="none" w:sz="0" w:space="0" w:color="auto"/>
            <w:left w:val="none" w:sz="0" w:space="0" w:color="auto"/>
            <w:bottom w:val="none" w:sz="0" w:space="0" w:color="auto"/>
            <w:right w:val="none" w:sz="0" w:space="0" w:color="auto"/>
          </w:divBdr>
          <w:divsChild>
            <w:div w:id="586577701">
              <w:marLeft w:val="0"/>
              <w:marRight w:val="0"/>
              <w:marTop w:val="0"/>
              <w:marBottom w:val="0"/>
              <w:divBdr>
                <w:top w:val="none" w:sz="0" w:space="0" w:color="auto"/>
                <w:left w:val="none" w:sz="0" w:space="0" w:color="auto"/>
                <w:bottom w:val="none" w:sz="0" w:space="0" w:color="auto"/>
                <w:right w:val="none" w:sz="0" w:space="0" w:color="auto"/>
              </w:divBdr>
              <w:divsChild>
                <w:div w:id="1916814608">
                  <w:marLeft w:val="0"/>
                  <w:marRight w:val="0"/>
                  <w:marTop w:val="0"/>
                  <w:marBottom w:val="0"/>
                  <w:divBdr>
                    <w:top w:val="none" w:sz="0" w:space="0" w:color="auto"/>
                    <w:left w:val="none" w:sz="0" w:space="0" w:color="auto"/>
                    <w:bottom w:val="none" w:sz="0" w:space="0" w:color="auto"/>
                    <w:right w:val="none" w:sz="0" w:space="0" w:color="auto"/>
                  </w:divBdr>
                  <w:divsChild>
                    <w:div w:id="355077771">
                      <w:marLeft w:val="0"/>
                      <w:marRight w:val="0"/>
                      <w:marTop w:val="0"/>
                      <w:marBottom w:val="0"/>
                      <w:divBdr>
                        <w:top w:val="none" w:sz="0" w:space="0" w:color="auto"/>
                        <w:left w:val="none" w:sz="0" w:space="0" w:color="auto"/>
                        <w:bottom w:val="none" w:sz="0" w:space="0" w:color="auto"/>
                        <w:right w:val="none" w:sz="0" w:space="0" w:color="auto"/>
                      </w:divBdr>
                      <w:divsChild>
                        <w:div w:id="20640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247568">
      <w:bodyDiv w:val="1"/>
      <w:marLeft w:val="0"/>
      <w:marRight w:val="0"/>
      <w:marTop w:val="0"/>
      <w:marBottom w:val="0"/>
      <w:divBdr>
        <w:top w:val="none" w:sz="0" w:space="0" w:color="auto"/>
        <w:left w:val="none" w:sz="0" w:space="0" w:color="auto"/>
        <w:bottom w:val="none" w:sz="0" w:space="0" w:color="auto"/>
        <w:right w:val="none" w:sz="0" w:space="0" w:color="auto"/>
      </w:divBdr>
      <w:divsChild>
        <w:div w:id="581262001">
          <w:marLeft w:val="0"/>
          <w:marRight w:val="0"/>
          <w:marTop w:val="0"/>
          <w:marBottom w:val="0"/>
          <w:divBdr>
            <w:top w:val="none" w:sz="0" w:space="0" w:color="auto"/>
            <w:left w:val="none" w:sz="0" w:space="0" w:color="auto"/>
            <w:bottom w:val="none" w:sz="0" w:space="0" w:color="auto"/>
            <w:right w:val="none" w:sz="0" w:space="0" w:color="auto"/>
          </w:divBdr>
          <w:divsChild>
            <w:div w:id="482891089">
              <w:marLeft w:val="0"/>
              <w:marRight w:val="0"/>
              <w:marTop w:val="0"/>
              <w:marBottom w:val="0"/>
              <w:divBdr>
                <w:top w:val="none" w:sz="0" w:space="0" w:color="auto"/>
                <w:left w:val="none" w:sz="0" w:space="0" w:color="auto"/>
                <w:bottom w:val="none" w:sz="0" w:space="0" w:color="auto"/>
                <w:right w:val="none" w:sz="0" w:space="0" w:color="auto"/>
              </w:divBdr>
              <w:divsChild>
                <w:div w:id="597104285">
                  <w:marLeft w:val="0"/>
                  <w:marRight w:val="0"/>
                  <w:marTop w:val="0"/>
                  <w:marBottom w:val="0"/>
                  <w:divBdr>
                    <w:top w:val="none" w:sz="0" w:space="0" w:color="auto"/>
                    <w:left w:val="none" w:sz="0" w:space="0" w:color="auto"/>
                    <w:bottom w:val="none" w:sz="0" w:space="0" w:color="auto"/>
                    <w:right w:val="none" w:sz="0" w:space="0" w:color="auto"/>
                  </w:divBdr>
                  <w:divsChild>
                    <w:div w:id="1320502504">
                      <w:marLeft w:val="0"/>
                      <w:marRight w:val="0"/>
                      <w:marTop w:val="0"/>
                      <w:marBottom w:val="0"/>
                      <w:divBdr>
                        <w:top w:val="none" w:sz="0" w:space="0" w:color="auto"/>
                        <w:left w:val="none" w:sz="0" w:space="0" w:color="auto"/>
                        <w:bottom w:val="none" w:sz="0" w:space="0" w:color="auto"/>
                        <w:right w:val="none" w:sz="0" w:space="0" w:color="auto"/>
                      </w:divBdr>
                      <w:divsChild>
                        <w:div w:id="8770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530258">
      <w:bodyDiv w:val="1"/>
      <w:marLeft w:val="0"/>
      <w:marRight w:val="0"/>
      <w:marTop w:val="0"/>
      <w:marBottom w:val="0"/>
      <w:divBdr>
        <w:top w:val="none" w:sz="0" w:space="0" w:color="auto"/>
        <w:left w:val="none" w:sz="0" w:space="0" w:color="auto"/>
        <w:bottom w:val="none" w:sz="0" w:space="0" w:color="auto"/>
        <w:right w:val="none" w:sz="0" w:space="0" w:color="auto"/>
      </w:divBdr>
      <w:divsChild>
        <w:div w:id="178585869">
          <w:marLeft w:val="0"/>
          <w:marRight w:val="0"/>
          <w:marTop w:val="0"/>
          <w:marBottom w:val="0"/>
          <w:divBdr>
            <w:top w:val="none" w:sz="0" w:space="0" w:color="auto"/>
            <w:left w:val="none" w:sz="0" w:space="0" w:color="auto"/>
            <w:bottom w:val="none" w:sz="0" w:space="0" w:color="auto"/>
            <w:right w:val="none" w:sz="0" w:space="0" w:color="auto"/>
          </w:divBdr>
          <w:divsChild>
            <w:div w:id="1332105806">
              <w:marLeft w:val="0"/>
              <w:marRight w:val="0"/>
              <w:marTop w:val="0"/>
              <w:marBottom w:val="0"/>
              <w:divBdr>
                <w:top w:val="none" w:sz="0" w:space="0" w:color="auto"/>
                <w:left w:val="none" w:sz="0" w:space="0" w:color="auto"/>
                <w:bottom w:val="none" w:sz="0" w:space="0" w:color="auto"/>
                <w:right w:val="none" w:sz="0" w:space="0" w:color="auto"/>
              </w:divBdr>
              <w:divsChild>
                <w:div w:id="14175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395809">
      <w:bodyDiv w:val="1"/>
      <w:marLeft w:val="0"/>
      <w:marRight w:val="0"/>
      <w:marTop w:val="0"/>
      <w:marBottom w:val="0"/>
      <w:divBdr>
        <w:top w:val="none" w:sz="0" w:space="0" w:color="auto"/>
        <w:left w:val="none" w:sz="0" w:space="0" w:color="auto"/>
        <w:bottom w:val="none" w:sz="0" w:space="0" w:color="auto"/>
        <w:right w:val="none" w:sz="0" w:space="0" w:color="auto"/>
      </w:divBdr>
      <w:divsChild>
        <w:div w:id="889347448">
          <w:marLeft w:val="0"/>
          <w:marRight w:val="0"/>
          <w:marTop w:val="0"/>
          <w:marBottom w:val="0"/>
          <w:divBdr>
            <w:top w:val="none" w:sz="0" w:space="0" w:color="auto"/>
            <w:left w:val="none" w:sz="0" w:space="0" w:color="auto"/>
            <w:bottom w:val="none" w:sz="0" w:space="0" w:color="auto"/>
            <w:right w:val="none" w:sz="0" w:space="0" w:color="auto"/>
          </w:divBdr>
          <w:divsChild>
            <w:div w:id="2141724182">
              <w:marLeft w:val="0"/>
              <w:marRight w:val="0"/>
              <w:marTop w:val="0"/>
              <w:marBottom w:val="0"/>
              <w:divBdr>
                <w:top w:val="none" w:sz="0" w:space="0" w:color="auto"/>
                <w:left w:val="none" w:sz="0" w:space="0" w:color="auto"/>
                <w:bottom w:val="none" w:sz="0" w:space="0" w:color="auto"/>
                <w:right w:val="none" w:sz="0" w:space="0" w:color="auto"/>
              </w:divBdr>
              <w:divsChild>
                <w:div w:id="15366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855663">
      <w:bodyDiv w:val="1"/>
      <w:marLeft w:val="0"/>
      <w:marRight w:val="0"/>
      <w:marTop w:val="0"/>
      <w:marBottom w:val="0"/>
      <w:divBdr>
        <w:top w:val="none" w:sz="0" w:space="0" w:color="auto"/>
        <w:left w:val="none" w:sz="0" w:space="0" w:color="auto"/>
        <w:bottom w:val="none" w:sz="0" w:space="0" w:color="auto"/>
        <w:right w:val="none" w:sz="0" w:space="0" w:color="auto"/>
      </w:divBdr>
      <w:divsChild>
        <w:div w:id="895974745">
          <w:marLeft w:val="0"/>
          <w:marRight w:val="0"/>
          <w:marTop w:val="0"/>
          <w:marBottom w:val="0"/>
          <w:divBdr>
            <w:top w:val="none" w:sz="0" w:space="0" w:color="auto"/>
            <w:left w:val="none" w:sz="0" w:space="0" w:color="auto"/>
            <w:bottom w:val="none" w:sz="0" w:space="0" w:color="auto"/>
            <w:right w:val="none" w:sz="0" w:space="0" w:color="auto"/>
          </w:divBdr>
          <w:divsChild>
            <w:div w:id="1978415730">
              <w:marLeft w:val="0"/>
              <w:marRight w:val="0"/>
              <w:marTop w:val="0"/>
              <w:marBottom w:val="0"/>
              <w:divBdr>
                <w:top w:val="none" w:sz="0" w:space="0" w:color="auto"/>
                <w:left w:val="none" w:sz="0" w:space="0" w:color="auto"/>
                <w:bottom w:val="none" w:sz="0" w:space="0" w:color="auto"/>
                <w:right w:val="none" w:sz="0" w:space="0" w:color="auto"/>
              </w:divBdr>
              <w:divsChild>
                <w:div w:id="2052881840">
                  <w:marLeft w:val="0"/>
                  <w:marRight w:val="0"/>
                  <w:marTop w:val="0"/>
                  <w:marBottom w:val="0"/>
                  <w:divBdr>
                    <w:top w:val="none" w:sz="0" w:space="0" w:color="auto"/>
                    <w:left w:val="none" w:sz="0" w:space="0" w:color="auto"/>
                    <w:bottom w:val="none" w:sz="0" w:space="0" w:color="auto"/>
                    <w:right w:val="none" w:sz="0" w:space="0" w:color="auto"/>
                  </w:divBdr>
                  <w:divsChild>
                    <w:div w:id="1332373941">
                      <w:marLeft w:val="0"/>
                      <w:marRight w:val="0"/>
                      <w:marTop w:val="0"/>
                      <w:marBottom w:val="0"/>
                      <w:divBdr>
                        <w:top w:val="none" w:sz="0" w:space="0" w:color="auto"/>
                        <w:left w:val="none" w:sz="0" w:space="0" w:color="auto"/>
                        <w:bottom w:val="none" w:sz="0" w:space="0" w:color="auto"/>
                        <w:right w:val="none" w:sz="0" w:space="0" w:color="auto"/>
                      </w:divBdr>
                      <w:divsChild>
                        <w:div w:id="165802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065321">
      <w:bodyDiv w:val="1"/>
      <w:marLeft w:val="0"/>
      <w:marRight w:val="0"/>
      <w:marTop w:val="0"/>
      <w:marBottom w:val="0"/>
      <w:divBdr>
        <w:top w:val="none" w:sz="0" w:space="0" w:color="auto"/>
        <w:left w:val="none" w:sz="0" w:space="0" w:color="auto"/>
        <w:bottom w:val="none" w:sz="0" w:space="0" w:color="auto"/>
        <w:right w:val="none" w:sz="0" w:space="0" w:color="auto"/>
      </w:divBdr>
    </w:div>
    <w:div w:id="1628462274">
      <w:bodyDiv w:val="1"/>
      <w:marLeft w:val="0"/>
      <w:marRight w:val="0"/>
      <w:marTop w:val="0"/>
      <w:marBottom w:val="0"/>
      <w:divBdr>
        <w:top w:val="none" w:sz="0" w:space="0" w:color="auto"/>
        <w:left w:val="none" w:sz="0" w:space="0" w:color="auto"/>
        <w:bottom w:val="none" w:sz="0" w:space="0" w:color="auto"/>
        <w:right w:val="none" w:sz="0" w:space="0" w:color="auto"/>
      </w:divBdr>
      <w:divsChild>
        <w:div w:id="1873767437">
          <w:marLeft w:val="0"/>
          <w:marRight w:val="0"/>
          <w:marTop w:val="0"/>
          <w:marBottom w:val="0"/>
          <w:divBdr>
            <w:top w:val="none" w:sz="0" w:space="0" w:color="auto"/>
            <w:left w:val="none" w:sz="0" w:space="0" w:color="auto"/>
            <w:bottom w:val="none" w:sz="0" w:space="0" w:color="auto"/>
            <w:right w:val="none" w:sz="0" w:space="0" w:color="auto"/>
          </w:divBdr>
          <w:divsChild>
            <w:div w:id="679506695">
              <w:marLeft w:val="0"/>
              <w:marRight w:val="0"/>
              <w:marTop w:val="0"/>
              <w:marBottom w:val="0"/>
              <w:divBdr>
                <w:top w:val="none" w:sz="0" w:space="0" w:color="auto"/>
                <w:left w:val="none" w:sz="0" w:space="0" w:color="auto"/>
                <w:bottom w:val="none" w:sz="0" w:space="0" w:color="auto"/>
                <w:right w:val="none" w:sz="0" w:space="0" w:color="auto"/>
              </w:divBdr>
              <w:divsChild>
                <w:div w:id="804810804">
                  <w:marLeft w:val="0"/>
                  <w:marRight w:val="0"/>
                  <w:marTop w:val="0"/>
                  <w:marBottom w:val="0"/>
                  <w:divBdr>
                    <w:top w:val="none" w:sz="0" w:space="0" w:color="auto"/>
                    <w:left w:val="none" w:sz="0" w:space="0" w:color="auto"/>
                    <w:bottom w:val="none" w:sz="0" w:space="0" w:color="auto"/>
                    <w:right w:val="none" w:sz="0" w:space="0" w:color="auto"/>
                  </w:divBdr>
                  <w:divsChild>
                    <w:div w:id="846604462">
                      <w:marLeft w:val="0"/>
                      <w:marRight w:val="0"/>
                      <w:marTop w:val="0"/>
                      <w:marBottom w:val="0"/>
                      <w:divBdr>
                        <w:top w:val="none" w:sz="0" w:space="0" w:color="auto"/>
                        <w:left w:val="none" w:sz="0" w:space="0" w:color="auto"/>
                        <w:bottom w:val="none" w:sz="0" w:space="0" w:color="auto"/>
                        <w:right w:val="none" w:sz="0" w:space="0" w:color="auto"/>
                      </w:divBdr>
                      <w:divsChild>
                        <w:div w:id="8881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256695">
      <w:bodyDiv w:val="1"/>
      <w:marLeft w:val="0"/>
      <w:marRight w:val="0"/>
      <w:marTop w:val="0"/>
      <w:marBottom w:val="0"/>
      <w:divBdr>
        <w:top w:val="none" w:sz="0" w:space="0" w:color="auto"/>
        <w:left w:val="none" w:sz="0" w:space="0" w:color="auto"/>
        <w:bottom w:val="none" w:sz="0" w:space="0" w:color="auto"/>
        <w:right w:val="none" w:sz="0" w:space="0" w:color="auto"/>
      </w:divBdr>
      <w:divsChild>
        <w:div w:id="1029598769">
          <w:marLeft w:val="0"/>
          <w:marRight w:val="0"/>
          <w:marTop w:val="0"/>
          <w:marBottom w:val="0"/>
          <w:divBdr>
            <w:top w:val="none" w:sz="0" w:space="0" w:color="auto"/>
            <w:left w:val="none" w:sz="0" w:space="0" w:color="auto"/>
            <w:bottom w:val="none" w:sz="0" w:space="0" w:color="auto"/>
            <w:right w:val="none" w:sz="0" w:space="0" w:color="auto"/>
          </w:divBdr>
          <w:divsChild>
            <w:div w:id="254824915">
              <w:marLeft w:val="0"/>
              <w:marRight w:val="0"/>
              <w:marTop w:val="0"/>
              <w:marBottom w:val="0"/>
              <w:divBdr>
                <w:top w:val="none" w:sz="0" w:space="0" w:color="auto"/>
                <w:left w:val="none" w:sz="0" w:space="0" w:color="auto"/>
                <w:bottom w:val="none" w:sz="0" w:space="0" w:color="auto"/>
                <w:right w:val="none" w:sz="0" w:space="0" w:color="auto"/>
              </w:divBdr>
              <w:divsChild>
                <w:div w:id="9989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3120">
      <w:bodyDiv w:val="1"/>
      <w:marLeft w:val="0"/>
      <w:marRight w:val="0"/>
      <w:marTop w:val="0"/>
      <w:marBottom w:val="0"/>
      <w:divBdr>
        <w:top w:val="none" w:sz="0" w:space="0" w:color="auto"/>
        <w:left w:val="none" w:sz="0" w:space="0" w:color="auto"/>
        <w:bottom w:val="none" w:sz="0" w:space="0" w:color="auto"/>
        <w:right w:val="none" w:sz="0" w:space="0" w:color="auto"/>
      </w:divBdr>
      <w:divsChild>
        <w:div w:id="1627195192">
          <w:marLeft w:val="0"/>
          <w:marRight w:val="0"/>
          <w:marTop w:val="0"/>
          <w:marBottom w:val="0"/>
          <w:divBdr>
            <w:top w:val="none" w:sz="0" w:space="0" w:color="auto"/>
            <w:left w:val="none" w:sz="0" w:space="0" w:color="auto"/>
            <w:bottom w:val="none" w:sz="0" w:space="0" w:color="auto"/>
            <w:right w:val="none" w:sz="0" w:space="0" w:color="auto"/>
          </w:divBdr>
          <w:divsChild>
            <w:div w:id="1990744480">
              <w:marLeft w:val="0"/>
              <w:marRight w:val="0"/>
              <w:marTop w:val="0"/>
              <w:marBottom w:val="0"/>
              <w:divBdr>
                <w:top w:val="none" w:sz="0" w:space="0" w:color="auto"/>
                <w:left w:val="none" w:sz="0" w:space="0" w:color="auto"/>
                <w:bottom w:val="none" w:sz="0" w:space="0" w:color="auto"/>
                <w:right w:val="none" w:sz="0" w:space="0" w:color="auto"/>
              </w:divBdr>
              <w:divsChild>
                <w:div w:id="10335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4363">
      <w:bodyDiv w:val="1"/>
      <w:marLeft w:val="0"/>
      <w:marRight w:val="0"/>
      <w:marTop w:val="0"/>
      <w:marBottom w:val="0"/>
      <w:divBdr>
        <w:top w:val="none" w:sz="0" w:space="0" w:color="auto"/>
        <w:left w:val="none" w:sz="0" w:space="0" w:color="auto"/>
        <w:bottom w:val="none" w:sz="0" w:space="0" w:color="auto"/>
        <w:right w:val="none" w:sz="0" w:space="0" w:color="auto"/>
      </w:divBdr>
      <w:divsChild>
        <w:div w:id="1685009217">
          <w:marLeft w:val="0"/>
          <w:marRight w:val="0"/>
          <w:marTop w:val="0"/>
          <w:marBottom w:val="0"/>
          <w:divBdr>
            <w:top w:val="none" w:sz="0" w:space="0" w:color="auto"/>
            <w:left w:val="none" w:sz="0" w:space="0" w:color="auto"/>
            <w:bottom w:val="none" w:sz="0" w:space="0" w:color="auto"/>
            <w:right w:val="none" w:sz="0" w:space="0" w:color="auto"/>
          </w:divBdr>
          <w:divsChild>
            <w:div w:id="1078475649">
              <w:marLeft w:val="0"/>
              <w:marRight w:val="0"/>
              <w:marTop w:val="0"/>
              <w:marBottom w:val="0"/>
              <w:divBdr>
                <w:top w:val="none" w:sz="0" w:space="0" w:color="auto"/>
                <w:left w:val="none" w:sz="0" w:space="0" w:color="auto"/>
                <w:bottom w:val="none" w:sz="0" w:space="0" w:color="auto"/>
                <w:right w:val="none" w:sz="0" w:space="0" w:color="auto"/>
              </w:divBdr>
              <w:divsChild>
                <w:div w:id="20347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94510">
      <w:bodyDiv w:val="1"/>
      <w:marLeft w:val="0"/>
      <w:marRight w:val="0"/>
      <w:marTop w:val="0"/>
      <w:marBottom w:val="0"/>
      <w:divBdr>
        <w:top w:val="none" w:sz="0" w:space="0" w:color="auto"/>
        <w:left w:val="none" w:sz="0" w:space="0" w:color="auto"/>
        <w:bottom w:val="none" w:sz="0" w:space="0" w:color="auto"/>
        <w:right w:val="none" w:sz="0" w:space="0" w:color="auto"/>
      </w:divBdr>
      <w:divsChild>
        <w:div w:id="1958173995">
          <w:marLeft w:val="0"/>
          <w:marRight w:val="0"/>
          <w:marTop w:val="0"/>
          <w:marBottom w:val="0"/>
          <w:divBdr>
            <w:top w:val="none" w:sz="0" w:space="0" w:color="auto"/>
            <w:left w:val="none" w:sz="0" w:space="0" w:color="auto"/>
            <w:bottom w:val="none" w:sz="0" w:space="0" w:color="auto"/>
            <w:right w:val="none" w:sz="0" w:space="0" w:color="auto"/>
          </w:divBdr>
          <w:divsChild>
            <w:div w:id="78207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16293">
      <w:bodyDiv w:val="1"/>
      <w:marLeft w:val="0"/>
      <w:marRight w:val="0"/>
      <w:marTop w:val="0"/>
      <w:marBottom w:val="0"/>
      <w:divBdr>
        <w:top w:val="none" w:sz="0" w:space="0" w:color="auto"/>
        <w:left w:val="none" w:sz="0" w:space="0" w:color="auto"/>
        <w:bottom w:val="none" w:sz="0" w:space="0" w:color="auto"/>
        <w:right w:val="none" w:sz="0" w:space="0" w:color="auto"/>
      </w:divBdr>
      <w:divsChild>
        <w:div w:id="956639651">
          <w:marLeft w:val="0"/>
          <w:marRight w:val="0"/>
          <w:marTop w:val="0"/>
          <w:marBottom w:val="0"/>
          <w:divBdr>
            <w:top w:val="none" w:sz="0" w:space="0" w:color="auto"/>
            <w:left w:val="none" w:sz="0" w:space="0" w:color="auto"/>
            <w:bottom w:val="none" w:sz="0" w:space="0" w:color="auto"/>
            <w:right w:val="none" w:sz="0" w:space="0" w:color="auto"/>
          </w:divBdr>
          <w:divsChild>
            <w:div w:id="1357732795">
              <w:marLeft w:val="0"/>
              <w:marRight w:val="0"/>
              <w:marTop w:val="0"/>
              <w:marBottom w:val="0"/>
              <w:divBdr>
                <w:top w:val="none" w:sz="0" w:space="0" w:color="auto"/>
                <w:left w:val="none" w:sz="0" w:space="0" w:color="auto"/>
                <w:bottom w:val="none" w:sz="0" w:space="0" w:color="auto"/>
                <w:right w:val="none" w:sz="0" w:space="0" w:color="auto"/>
              </w:divBdr>
              <w:divsChild>
                <w:div w:id="69635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124300">
      <w:bodyDiv w:val="1"/>
      <w:marLeft w:val="0"/>
      <w:marRight w:val="0"/>
      <w:marTop w:val="0"/>
      <w:marBottom w:val="0"/>
      <w:divBdr>
        <w:top w:val="none" w:sz="0" w:space="0" w:color="auto"/>
        <w:left w:val="none" w:sz="0" w:space="0" w:color="auto"/>
        <w:bottom w:val="none" w:sz="0" w:space="0" w:color="auto"/>
        <w:right w:val="none" w:sz="0" w:space="0" w:color="auto"/>
      </w:divBdr>
      <w:divsChild>
        <w:div w:id="871115832">
          <w:marLeft w:val="0"/>
          <w:marRight w:val="0"/>
          <w:marTop w:val="0"/>
          <w:marBottom w:val="0"/>
          <w:divBdr>
            <w:top w:val="none" w:sz="0" w:space="0" w:color="auto"/>
            <w:left w:val="none" w:sz="0" w:space="0" w:color="auto"/>
            <w:bottom w:val="none" w:sz="0" w:space="0" w:color="auto"/>
            <w:right w:val="none" w:sz="0" w:space="0" w:color="auto"/>
          </w:divBdr>
          <w:divsChild>
            <w:div w:id="1280648953">
              <w:marLeft w:val="0"/>
              <w:marRight w:val="0"/>
              <w:marTop w:val="0"/>
              <w:marBottom w:val="0"/>
              <w:divBdr>
                <w:top w:val="none" w:sz="0" w:space="0" w:color="auto"/>
                <w:left w:val="none" w:sz="0" w:space="0" w:color="auto"/>
                <w:bottom w:val="none" w:sz="0" w:space="0" w:color="auto"/>
                <w:right w:val="none" w:sz="0" w:space="0" w:color="auto"/>
              </w:divBdr>
              <w:divsChild>
                <w:div w:id="113155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39325">
      <w:bodyDiv w:val="1"/>
      <w:marLeft w:val="0"/>
      <w:marRight w:val="0"/>
      <w:marTop w:val="0"/>
      <w:marBottom w:val="0"/>
      <w:divBdr>
        <w:top w:val="none" w:sz="0" w:space="0" w:color="auto"/>
        <w:left w:val="none" w:sz="0" w:space="0" w:color="auto"/>
        <w:bottom w:val="none" w:sz="0" w:space="0" w:color="auto"/>
        <w:right w:val="none" w:sz="0" w:space="0" w:color="auto"/>
      </w:divBdr>
      <w:divsChild>
        <w:div w:id="1145701376">
          <w:marLeft w:val="0"/>
          <w:marRight w:val="0"/>
          <w:marTop w:val="0"/>
          <w:marBottom w:val="0"/>
          <w:divBdr>
            <w:top w:val="none" w:sz="0" w:space="0" w:color="auto"/>
            <w:left w:val="none" w:sz="0" w:space="0" w:color="auto"/>
            <w:bottom w:val="none" w:sz="0" w:space="0" w:color="auto"/>
            <w:right w:val="none" w:sz="0" w:space="0" w:color="auto"/>
          </w:divBdr>
          <w:divsChild>
            <w:div w:id="963079574">
              <w:marLeft w:val="0"/>
              <w:marRight w:val="0"/>
              <w:marTop w:val="0"/>
              <w:marBottom w:val="0"/>
              <w:divBdr>
                <w:top w:val="none" w:sz="0" w:space="0" w:color="auto"/>
                <w:left w:val="none" w:sz="0" w:space="0" w:color="auto"/>
                <w:bottom w:val="none" w:sz="0" w:space="0" w:color="auto"/>
                <w:right w:val="none" w:sz="0" w:space="0" w:color="auto"/>
              </w:divBdr>
              <w:divsChild>
                <w:div w:id="13981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2432">
      <w:bodyDiv w:val="1"/>
      <w:marLeft w:val="0"/>
      <w:marRight w:val="0"/>
      <w:marTop w:val="0"/>
      <w:marBottom w:val="0"/>
      <w:divBdr>
        <w:top w:val="none" w:sz="0" w:space="0" w:color="auto"/>
        <w:left w:val="none" w:sz="0" w:space="0" w:color="auto"/>
        <w:bottom w:val="none" w:sz="0" w:space="0" w:color="auto"/>
        <w:right w:val="none" w:sz="0" w:space="0" w:color="auto"/>
      </w:divBdr>
      <w:divsChild>
        <w:div w:id="1147086010">
          <w:marLeft w:val="0"/>
          <w:marRight w:val="0"/>
          <w:marTop w:val="0"/>
          <w:marBottom w:val="0"/>
          <w:divBdr>
            <w:top w:val="none" w:sz="0" w:space="0" w:color="auto"/>
            <w:left w:val="none" w:sz="0" w:space="0" w:color="auto"/>
            <w:bottom w:val="none" w:sz="0" w:space="0" w:color="auto"/>
            <w:right w:val="none" w:sz="0" w:space="0" w:color="auto"/>
          </w:divBdr>
          <w:divsChild>
            <w:div w:id="234291485">
              <w:marLeft w:val="0"/>
              <w:marRight w:val="0"/>
              <w:marTop w:val="0"/>
              <w:marBottom w:val="0"/>
              <w:divBdr>
                <w:top w:val="none" w:sz="0" w:space="0" w:color="auto"/>
                <w:left w:val="none" w:sz="0" w:space="0" w:color="auto"/>
                <w:bottom w:val="none" w:sz="0" w:space="0" w:color="auto"/>
                <w:right w:val="none" w:sz="0" w:space="0" w:color="auto"/>
              </w:divBdr>
              <w:divsChild>
                <w:div w:id="547307148">
                  <w:marLeft w:val="0"/>
                  <w:marRight w:val="0"/>
                  <w:marTop w:val="0"/>
                  <w:marBottom w:val="0"/>
                  <w:divBdr>
                    <w:top w:val="none" w:sz="0" w:space="0" w:color="auto"/>
                    <w:left w:val="none" w:sz="0" w:space="0" w:color="auto"/>
                    <w:bottom w:val="none" w:sz="0" w:space="0" w:color="auto"/>
                    <w:right w:val="none" w:sz="0" w:space="0" w:color="auto"/>
                  </w:divBdr>
                  <w:divsChild>
                    <w:div w:id="206139704">
                      <w:marLeft w:val="0"/>
                      <w:marRight w:val="0"/>
                      <w:marTop w:val="0"/>
                      <w:marBottom w:val="0"/>
                      <w:divBdr>
                        <w:top w:val="none" w:sz="0" w:space="0" w:color="auto"/>
                        <w:left w:val="none" w:sz="0" w:space="0" w:color="auto"/>
                        <w:bottom w:val="none" w:sz="0" w:space="0" w:color="auto"/>
                        <w:right w:val="none" w:sz="0" w:space="0" w:color="auto"/>
                      </w:divBdr>
                      <w:divsChild>
                        <w:div w:id="174445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EDC96-4FC9-4241-B066-4F3B349CF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8866</Words>
  <Characters>50540</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Dokumentvorlage für wissenschaftliche Arbeiten</vt:lpstr>
    </vt:vector>
  </TitlesOfParts>
  <Company>Washington College of Law</Company>
  <LinksUpToDate>false</LinksUpToDate>
  <CharactersWithSpaces>59288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Dokumentvorlage für wissenschaftliche Arbeiten</dc:title>
  <dc:subject>Universität Luzern</dc:subject>
  <dc:creator>Raphaël Haas</dc:creator>
  <cp:lastModifiedBy>Inter-American HR Moot Court Competition</cp:lastModifiedBy>
  <cp:revision>2</cp:revision>
  <cp:lastPrinted>2016-03-10T00:07:00Z</cp:lastPrinted>
  <dcterms:created xsi:type="dcterms:W3CDTF">2017-09-21T15:40:00Z</dcterms:created>
  <dcterms:modified xsi:type="dcterms:W3CDTF">2017-09-21T15:40:00Z</dcterms:modified>
</cp:coreProperties>
</file>