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AC" w:rsidRPr="0085461F" w:rsidRDefault="00700DAC" w:rsidP="00700DAC">
      <w:pPr>
        <w:rPr>
          <w:b/>
          <w:szCs w:val="24"/>
        </w:rPr>
      </w:pPr>
      <w:bookmarkStart w:id="0" w:name="_GoBack"/>
      <w:bookmarkEnd w:id="0"/>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700DAC" w:rsidRPr="0085461F" w:rsidRDefault="00700DAC" w:rsidP="00700DAC">
      <w:pPr>
        <w:rPr>
          <w:b/>
          <w:szCs w:val="24"/>
        </w:rPr>
      </w:pPr>
    </w:p>
    <w:p w:rsidR="00E527F2" w:rsidRPr="00CB027F" w:rsidRDefault="00700DAC" w:rsidP="00700DAC">
      <w:pPr>
        <w:jc w:val="center"/>
        <w:rPr>
          <w:b/>
          <w:szCs w:val="24"/>
        </w:rPr>
      </w:pPr>
      <w:r w:rsidRPr="00CB027F">
        <w:rPr>
          <w:b/>
          <w:szCs w:val="24"/>
        </w:rPr>
        <w:t>Caso Bolt e outros vs. República Cardenal</w:t>
      </w:r>
    </w:p>
    <w:p w:rsidR="00E527F2" w:rsidRPr="00CB027F" w:rsidRDefault="00700DAC" w:rsidP="00700DAC">
      <w:pPr>
        <w:jc w:val="center"/>
        <w:rPr>
          <w:b/>
          <w:szCs w:val="24"/>
        </w:rPr>
      </w:pPr>
      <w:r w:rsidRPr="00CB027F">
        <w:rPr>
          <w:b/>
          <w:szCs w:val="24"/>
        </w:rPr>
        <w:t>MEMORIAL DOS REPRESENTANTES DAS VÍTIMAS</w:t>
      </w:r>
    </w:p>
    <w:p w:rsidR="00700DAC" w:rsidRPr="00CB027F" w:rsidRDefault="00700DAC" w:rsidP="00700DAC">
      <w:pPr>
        <w:jc w:val="center"/>
        <w:rPr>
          <w:b/>
          <w:szCs w:val="24"/>
        </w:rPr>
      </w:pPr>
    </w:p>
    <w:p w:rsidR="00700DAC" w:rsidRPr="00CB027F" w:rsidRDefault="00700DAC" w:rsidP="00700DAC">
      <w:pPr>
        <w:jc w:val="center"/>
        <w:rPr>
          <w:b/>
          <w:szCs w:val="24"/>
        </w:rPr>
      </w:pPr>
    </w:p>
    <w:p w:rsidR="00700DAC" w:rsidRPr="00CB027F" w:rsidRDefault="00700DAC" w:rsidP="00700DAC">
      <w:pPr>
        <w:jc w:val="center"/>
        <w:rPr>
          <w:b/>
          <w:szCs w:val="24"/>
        </w:rPr>
      </w:pPr>
    </w:p>
    <w:p w:rsidR="00700DAC" w:rsidRPr="00CB027F" w:rsidRDefault="00700DAC" w:rsidP="00700DAC">
      <w:pPr>
        <w:jc w:val="center"/>
        <w:rPr>
          <w:b/>
          <w:szCs w:val="24"/>
        </w:rPr>
      </w:pPr>
    </w:p>
    <w:p w:rsidR="00700DAC" w:rsidRPr="00CB027F" w:rsidRDefault="00700DAC" w:rsidP="00700DAC">
      <w:pPr>
        <w:jc w:val="center"/>
        <w:rPr>
          <w:b/>
          <w:szCs w:val="24"/>
        </w:rPr>
      </w:pPr>
    </w:p>
    <w:p w:rsidR="00700DAC" w:rsidRPr="00CB027F" w:rsidRDefault="00700DAC" w:rsidP="00700DAC">
      <w:pPr>
        <w:jc w:val="center"/>
        <w:rPr>
          <w:b/>
          <w:szCs w:val="24"/>
        </w:rPr>
      </w:pPr>
    </w:p>
    <w:p w:rsidR="00700DAC" w:rsidRPr="00CB027F" w:rsidRDefault="00700DAC" w:rsidP="00700DAC">
      <w:pPr>
        <w:jc w:val="center"/>
        <w:rPr>
          <w:b/>
          <w:szCs w:val="24"/>
        </w:rPr>
      </w:pPr>
    </w:p>
    <w:p w:rsidR="00700DAC" w:rsidRPr="00CB027F" w:rsidRDefault="00700DAC" w:rsidP="00700DAC">
      <w:pPr>
        <w:jc w:val="center"/>
        <w:rPr>
          <w:b/>
          <w:szCs w:val="24"/>
        </w:rPr>
      </w:pPr>
    </w:p>
    <w:p w:rsidR="00482263" w:rsidRPr="00CB027F" w:rsidRDefault="00482263" w:rsidP="009541A5">
      <w:pPr>
        <w:rPr>
          <w:b/>
          <w:szCs w:val="24"/>
        </w:rPr>
      </w:pPr>
    </w:p>
    <w:p w:rsidR="00482263" w:rsidRPr="00CB027F" w:rsidRDefault="00482263" w:rsidP="00012EB0">
      <w:pPr>
        <w:pStyle w:val="TOCHeading"/>
        <w:jc w:val="center"/>
        <w:rPr>
          <w:rFonts w:ascii="Times New Roman" w:hAnsi="Times New Roman"/>
          <w:color w:val="auto"/>
        </w:rPr>
      </w:pPr>
      <w:r w:rsidRPr="00CB027F">
        <w:rPr>
          <w:rFonts w:ascii="Times New Roman" w:hAnsi="Times New Roman"/>
          <w:color w:val="auto"/>
        </w:rPr>
        <w:lastRenderedPageBreak/>
        <w:t>ÍNDICE</w:t>
      </w:r>
    </w:p>
    <w:p w:rsidR="00247BBE" w:rsidRPr="00CB027F" w:rsidRDefault="00247BBE" w:rsidP="00A1584E">
      <w:pPr>
        <w:pStyle w:val="TOC1"/>
        <w:rPr>
          <w:rFonts w:ascii="Times New Roman" w:hAnsi="Times New Roman"/>
        </w:rPr>
      </w:pPr>
    </w:p>
    <w:p w:rsidR="00061658" w:rsidRDefault="00482263" w:rsidP="00B46D95">
      <w:pPr>
        <w:pStyle w:val="TOC1"/>
        <w:rPr>
          <w:rFonts w:asciiTheme="minorHAnsi" w:eastAsiaTheme="minorEastAsia" w:hAnsiTheme="minorHAnsi" w:cstheme="minorBidi"/>
          <w:noProof/>
          <w:sz w:val="22"/>
        </w:rPr>
      </w:pPr>
      <w:r w:rsidRPr="00CB027F">
        <w:rPr>
          <w:rFonts w:ascii="Times New Roman" w:hAnsi="Times New Roman"/>
        </w:rPr>
        <w:fldChar w:fldCharType="begin"/>
      </w:r>
      <w:r w:rsidRPr="00CB027F">
        <w:rPr>
          <w:rFonts w:ascii="Times New Roman" w:hAnsi="Times New Roman"/>
        </w:rPr>
        <w:instrText xml:space="preserve"> TOC \o "1-3" \h \z \u </w:instrText>
      </w:r>
      <w:r w:rsidRPr="00CB027F">
        <w:rPr>
          <w:rFonts w:ascii="Times New Roman" w:hAnsi="Times New Roman"/>
        </w:rPr>
        <w:fldChar w:fldCharType="separate"/>
      </w:r>
      <w:hyperlink w:anchor="_Toc414890802" w:history="1">
        <w:r w:rsidR="00061658" w:rsidRPr="00C7691A">
          <w:rPr>
            <w:rStyle w:val="Hyperlink"/>
            <w:rFonts w:ascii="Times New Roman" w:eastAsia="Calibri" w:hAnsi="Times New Roman"/>
            <w:noProof/>
            <w:lang w:val="en-US" w:eastAsia="en-US"/>
          </w:rPr>
          <w:t>ÍNDICE DE AUTORIDADES</w:t>
        </w:r>
        <w:r w:rsidR="00061658">
          <w:rPr>
            <w:noProof/>
            <w:webHidden/>
          </w:rPr>
          <w:tab/>
        </w:r>
        <w:r w:rsidR="00061658">
          <w:rPr>
            <w:noProof/>
            <w:webHidden/>
          </w:rPr>
          <w:fldChar w:fldCharType="begin"/>
        </w:r>
        <w:r w:rsidR="00061658">
          <w:rPr>
            <w:noProof/>
            <w:webHidden/>
          </w:rPr>
          <w:instrText xml:space="preserve"> PAGEREF _Toc414890802 \h </w:instrText>
        </w:r>
        <w:r w:rsidR="00061658">
          <w:rPr>
            <w:noProof/>
            <w:webHidden/>
          </w:rPr>
        </w:r>
        <w:r w:rsidR="00061658">
          <w:rPr>
            <w:noProof/>
            <w:webHidden/>
          </w:rPr>
          <w:fldChar w:fldCharType="separate"/>
        </w:r>
        <w:r w:rsidR="00061658">
          <w:rPr>
            <w:noProof/>
            <w:webHidden/>
          </w:rPr>
          <w:t>2</w:t>
        </w:r>
        <w:r w:rsidR="00061658">
          <w:rPr>
            <w:noProof/>
            <w:webHidden/>
          </w:rPr>
          <w:fldChar w:fldCharType="end"/>
        </w:r>
      </w:hyperlink>
    </w:p>
    <w:p w:rsidR="00061658" w:rsidRDefault="006977C6" w:rsidP="00B46D95">
      <w:pPr>
        <w:pStyle w:val="TOC2"/>
        <w:tabs>
          <w:tab w:val="right" w:leader="dot" w:pos="9352"/>
        </w:tabs>
        <w:spacing w:line="480" w:lineRule="auto"/>
        <w:rPr>
          <w:rFonts w:asciiTheme="minorHAnsi" w:eastAsiaTheme="minorEastAsia" w:hAnsiTheme="minorHAnsi" w:cstheme="minorBidi"/>
          <w:noProof/>
          <w:sz w:val="22"/>
        </w:rPr>
      </w:pPr>
      <w:hyperlink w:anchor="_Toc414890803" w:history="1">
        <w:r w:rsidR="00061658" w:rsidRPr="00C7691A">
          <w:rPr>
            <w:rStyle w:val="Hyperlink"/>
            <w:rFonts w:ascii="Times New Roman" w:hAnsi="Times New Roman"/>
            <w:noProof/>
            <w:lang w:val="en-US"/>
          </w:rPr>
          <w:t>1.1 - Doutrina</w:t>
        </w:r>
        <w:r w:rsidR="00061658">
          <w:rPr>
            <w:noProof/>
            <w:webHidden/>
          </w:rPr>
          <w:tab/>
        </w:r>
        <w:r w:rsidR="00061658">
          <w:rPr>
            <w:noProof/>
            <w:webHidden/>
          </w:rPr>
          <w:fldChar w:fldCharType="begin"/>
        </w:r>
        <w:r w:rsidR="00061658">
          <w:rPr>
            <w:noProof/>
            <w:webHidden/>
          </w:rPr>
          <w:instrText xml:space="preserve"> PAGEREF _Toc414890803 \h </w:instrText>
        </w:r>
        <w:r w:rsidR="00061658">
          <w:rPr>
            <w:noProof/>
            <w:webHidden/>
          </w:rPr>
        </w:r>
        <w:r w:rsidR="00061658">
          <w:rPr>
            <w:noProof/>
            <w:webHidden/>
          </w:rPr>
          <w:fldChar w:fldCharType="separate"/>
        </w:r>
        <w:r w:rsidR="00061658">
          <w:rPr>
            <w:noProof/>
            <w:webHidden/>
          </w:rPr>
          <w:t>3</w:t>
        </w:r>
        <w:r w:rsidR="00061658">
          <w:rPr>
            <w:noProof/>
            <w:webHidden/>
          </w:rPr>
          <w:fldChar w:fldCharType="end"/>
        </w:r>
      </w:hyperlink>
    </w:p>
    <w:p w:rsidR="00061658" w:rsidRDefault="006977C6" w:rsidP="00B46D95">
      <w:pPr>
        <w:pStyle w:val="TOC2"/>
        <w:tabs>
          <w:tab w:val="right" w:leader="dot" w:pos="9352"/>
        </w:tabs>
        <w:spacing w:line="480" w:lineRule="auto"/>
        <w:rPr>
          <w:rFonts w:asciiTheme="minorHAnsi" w:eastAsiaTheme="minorEastAsia" w:hAnsiTheme="minorHAnsi" w:cstheme="minorBidi"/>
          <w:noProof/>
          <w:sz w:val="22"/>
        </w:rPr>
      </w:pPr>
      <w:hyperlink w:anchor="_Toc414890804" w:history="1">
        <w:r w:rsidR="00061658" w:rsidRPr="00C7691A">
          <w:rPr>
            <w:rStyle w:val="Hyperlink"/>
            <w:rFonts w:ascii="Times New Roman" w:hAnsi="Times New Roman"/>
            <w:noProof/>
          </w:rPr>
          <w:t>1.2 – Jurisprudência</w:t>
        </w:r>
        <w:r w:rsidR="00061658">
          <w:rPr>
            <w:noProof/>
            <w:webHidden/>
          </w:rPr>
          <w:tab/>
        </w:r>
        <w:r w:rsidR="00061658">
          <w:rPr>
            <w:noProof/>
            <w:webHidden/>
          </w:rPr>
          <w:fldChar w:fldCharType="begin"/>
        </w:r>
        <w:r w:rsidR="00061658">
          <w:rPr>
            <w:noProof/>
            <w:webHidden/>
          </w:rPr>
          <w:instrText xml:space="preserve"> PAGEREF _Toc414890804 \h </w:instrText>
        </w:r>
        <w:r w:rsidR="00061658">
          <w:rPr>
            <w:noProof/>
            <w:webHidden/>
          </w:rPr>
        </w:r>
        <w:r w:rsidR="00061658">
          <w:rPr>
            <w:noProof/>
            <w:webHidden/>
          </w:rPr>
          <w:fldChar w:fldCharType="separate"/>
        </w:r>
        <w:r w:rsidR="00061658">
          <w:rPr>
            <w:noProof/>
            <w:webHidden/>
          </w:rPr>
          <w:t>3</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05" w:history="1">
        <w:r w:rsidR="00061658" w:rsidRPr="00C7691A">
          <w:rPr>
            <w:rStyle w:val="Hyperlink"/>
            <w:rFonts w:ascii="Times New Roman" w:hAnsi="Times New Roman"/>
            <w:noProof/>
          </w:rPr>
          <w:t>1.2.1 - Corte Interamericana de Direitos Humanos</w:t>
        </w:r>
        <w:r w:rsidR="00061658">
          <w:rPr>
            <w:noProof/>
            <w:webHidden/>
          </w:rPr>
          <w:tab/>
        </w:r>
        <w:r w:rsidR="00061658">
          <w:rPr>
            <w:noProof/>
            <w:webHidden/>
          </w:rPr>
          <w:fldChar w:fldCharType="begin"/>
        </w:r>
        <w:r w:rsidR="00061658">
          <w:rPr>
            <w:noProof/>
            <w:webHidden/>
          </w:rPr>
          <w:instrText xml:space="preserve"> PAGEREF _Toc414890805 \h </w:instrText>
        </w:r>
        <w:r w:rsidR="00061658">
          <w:rPr>
            <w:noProof/>
            <w:webHidden/>
          </w:rPr>
        </w:r>
        <w:r w:rsidR="00061658">
          <w:rPr>
            <w:noProof/>
            <w:webHidden/>
          </w:rPr>
          <w:fldChar w:fldCharType="separate"/>
        </w:r>
        <w:r w:rsidR="00061658">
          <w:rPr>
            <w:noProof/>
            <w:webHidden/>
          </w:rPr>
          <w:t>3</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06" w:history="1">
        <w:r w:rsidR="00061658" w:rsidRPr="00C7691A">
          <w:rPr>
            <w:rStyle w:val="Hyperlink"/>
            <w:rFonts w:ascii="Times New Roman" w:hAnsi="Times New Roman"/>
            <w:noProof/>
          </w:rPr>
          <w:t>1.2.2 – Tribunal Europeu dos Direitos Humanos</w:t>
        </w:r>
        <w:r w:rsidR="00061658">
          <w:rPr>
            <w:noProof/>
            <w:webHidden/>
          </w:rPr>
          <w:tab/>
        </w:r>
        <w:r w:rsidR="00061658">
          <w:rPr>
            <w:noProof/>
            <w:webHidden/>
          </w:rPr>
          <w:fldChar w:fldCharType="begin"/>
        </w:r>
        <w:r w:rsidR="00061658">
          <w:rPr>
            <w:noProof/>
            <w:webHidden/>
          </w:rPr>
          <w:instrText xml:space="preserve"> PAGEREF _Toc414890806 \h </w:instrText>
        </w:r>
        <w:r w:rsidR="00061658">
          <w:rPr>
            <w:noProof/>
            <w:webHidden/>
          </w:rPr>
        </w:r>
        <w:r w:rsidR="00061658">
          <w:rPr>
            <w:noProof/>
            <w:webHidden/>
          </w:rPr>
          <w:fldChar w:fldCharType="separate"/>
        </w:r>
        <w:r w:rsidR="00061658">
          <w:rPr>
            <w:noProof/>
            <w:webHidden/>
          </w:rPr>
          <w:t>6</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07" w:history="1">
        <w:r w:rsidR="00061658" w:rsidRPr="00C7691A">
          <w:rPr>
            <w:rStyle w:val="Hyperlink"/>
            <w:rFonts w:ascii="Times New Roman" w:hAnsi="Times New Roman"/>
            <w:noProof/>
          </w:rPr>
          <w:t>1.2.3- Comissão Africana de Direitos Humanos e dos Povos</w:t>
        </w:r>
        <w:r w:rsidR="00061658">
          <w:rPr>
            <w:noProof/>
            <w:webHidden/>
          </w:rPr>
          <w:tab/>
        </w:r>
        <w:r w:rsidR="00061658">
          <w:rPr>
            <w:noProof/>
            <w:webHidden/>
          </w:rPr>
          <w:fldChar w:fldCharType="begin"/>
        </w:r>
        <w:r w:rsidR="00061658">
          <w:rPr>
            <w:noProof/>
            <w:webHidden/>
          </w:rPr>
          <w:instrText xml:space="preserve"> PAGEREF _Toc414890807 \h </w:instrText>
        </w:r>
        <w:r w:rsidR="00061658">
          <w:rPr>
            <w:noProof/>
            <w:webHidden/>
          </w:rPr>
        </w:r>
        <w:r w:rsidR="00061658">
          <w:rPr>
            <w:noProof/>
            <w:webHidden/>
          </w:rPr>
          <w:fldChar w:fldCharType="separate"/>
        </w:r>
        <w:r w:rsidR="00061658">
          <w:rPr>
            <w:noProof/>
            <w:webHidden/>
          </w:rPr>
          <w:t>6</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08" w:history="1">
        <w:r w:rsidR="00061658" w:rsidRPr="00C7691A">
          <w:rPr>
            <w:rStyle w:val="Hyperlink"/>
            <w:rFonts w:ascii="Times New Roman" w:hAnsi="Times New Roman"/>
            <w:noProof/>
          </w:rPr>
          <w:t>1.2.4 Corte Africana de Direitos Humanos e dos Povos</w:t>
        </w:r>
        <w:r w:rsidR="00061658">
          <w:rPr>
            <w:noProof/>
            <w:webHidden/>
          </w:rPr>
          <w:tab/>
        </w:r>
        <w:r w:rsidR="00061658">
          <w:rPr>
            <w:noProof/>
            <w:webHidden/>
          </w:rPr>
          <w:fldChar w:fldCharType="begin"/>
        </w:r>
        <w:r w:rsidR="00061658">
          <w:rPr>
            <w:noProof/>
            <w:webHidden/>
          </w:rPr>
          <w:instrText xml:space="preserve"> PAGEREF _Toc414890808 \h </w:instrText>
        </w:r>
        <w:r w:rsidR="00061658">
          <w:rPr>
            <w:noProof/>
            <w:webHidden/>
          </w:rPr>
        </w:r>
        <w:r w:rsidR="00061658">
          <w:rPr>
            <w:noProof/>
            <w:webHidden/>
          </w:rPr>
          <w:fldChar w:fldCharType="separate"/>
        </w:r>
        <w:r w:rsidR="00061658">
          <w:rPr>
            <w:noProof/>
            <w:webHidden/>
          </w:rPr>
          <w:t>6</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09" w:history="1">
        <w:r w:rsidR="00061658" w:rsidRPr="00C7691A">
          <w:rPr>
            <w:rStyle w:val="Hyperlink"/>
            <w:rFonts w:ascii="Times New Roman" w:hAnsi="Times New Roman"/>
            <w:noProof/>
          </w:rPr>
          <w:t>1.2.3 – Documentos internacionais</w:t>
        </w:r>
        <w:r w:rsidR="00061658">
          <w:rPr>
            <w:noProof/>
            <w:webHidden/>
          </w:rPr>
          <w:tab/>
        </w:r>
        <w:r w:rsidR="00061658">
          <w:rPr>
            <w:noProof/>
            <w:webHidden/>
          </w:rPr>
          <w:fldChar w:fldCharType="begin"/>
        </w:r>
        <w:r w:rsidR="00061658">
          <w:rPr>
            <w:noProof/>
            <w:webHidden/>
          </w:rPr>
          <w:instrText xml:space="preserve"> PAGEREF _Toc414890809 \h </w:instrText>
        </w:r>
        <w:r w:rsidR="00061658">
          <w:rPr>
            <w:noProof/>
            <w:webHidden/>
          </w:rPr>
        </w:r>
        <w:r w:rsidR="00061658">
          <w:rPr>
            <w:noProof/>
            <w:webHidden/>
          </w:rPr>
          <w:fldChar w:fldCharType="separate"/>
        </w:r>
        <w:r w:rsidR="00061658">
          <w:rPr>
            <w:noProof/>
            <w:webHidden/>
          </w:rPr>
          <w:t>6</w:t>
        </w:r>
        <w:r w:rsidR="00061658">
          <w:rPr>
            <w:noProof/>
            <w:webHidden/>
          </w:rPr>
          <w:fldChar w:fldCharType="end"/>
        </w:r>
      </w:hyperlink>
    </w:p>
    <w:p w:rsidR="00061658" w:rsidRDefault="006977C6" w:rsidP="00B46D95">
      <w:pPr>
        <w:pStyle w:val="TOC1"/>
        <w:rPr>
          <w:rFonts w:asciiTheme="minorHAnsi" w:eastAsiaTheme="minorEastAsia" w:hAnsiTheme="minorHAnsi" w:cstheme="minorBidi"/>
          <w:noProof/>
          <w:sz w:val="22"/>
        </w:rPr>
      </w:pPr>
      <w:hyperlink w:anchor="_Toc414890810" w:history="1">
        <w:r w:rsidR="00061658" w:rsidRPr="00C7691A">
          <w:rPr>
            <w:rStyle w:val="Hyperlink"/>
            <w:rFonts w:ascii="Times New Roman" w:hAnsi="Times New Roman"/>
            <w:noProof/>
          </w:rPr>
          <w:t>LISTA DE SIGLAS</w:t>
        </w:r>
        <w:r w:rsidR="00061658">
          <w:rPr>
            <w:noProof/>
            <w:webHidden/>
          </w:rPr>
          <w:tab/>
        </w:r>
        <w:r w:rsidR="00061658">
          <w:rPr>
            <w:noProof/>
            <w:webHidden/>
          </w:rPr>
          <w:fldChar w:fldCharType="begin"/>
        </w:r>
        <w:r w:rsidR="00061658">
          <w:rPr>
            <w:noProof/>
            <w:webHidden/>
          </w:rPr>
          <w:instrText xml:space="preserve"> PAGEREF _Toc414890810 \h </w:instrText>
        </w:r>
        <w:r w:rsidR="00061658">
          <w:rPr>
            <w:noProof/>
            <w:webHidden/>
          </w:rPr>
        </w:r>
        <w:r w:rsidR="00061658">
          <w:rPr>
            <w:noProof/>
            <w:webHidden/>
          </w:rPr>
          <w:fldChar w:fldCharType="separate"/>
        </w:r>
        <w:r w:rsidR="00061658">
          <w:rPr>
            <w:noProof/>
            <w:webHidden/>
          </w:rPr>
          <w:t>7</w:t>
        </w:r>
        <w:r w:rsidR="00061658">
          <w:rPr>
            <w:noProof/>
            <w:webHidden/>
          </w:rPr>
          <w:fldChar w:fldCharType="end"/>
        </w:r>
      </w:hyperlink>
    </w:p>
    <w:p w:rsidR="00061658" w:rsidRDefault="006977C6" w:rsidP="00B46D95">
      <w:pPr>
        <w:pStyle w:val="TOC1"/>
        <w:rPr>
          <w:rFonts w:asciiTheme="minorHAnsi" w:eastAsiaTheme="minorEastAsia" w:hAnsiTheme="minorHAnsi" w:cstheme="minorBidi"/>
          <w:noProof/>
          <w:sz w:val="22"/>
        </w:rPr>
      </w:pPr>
      <w:hyperlink w:anchor="_Toc414890811" w:history="1">
        <w:r w:rsidR="00061658" w:rsidRPr="00C7691A">
          <w:rPr>
            <w:rStyle w:val="Hyperlink"/>
            <w:rFonts w:ascii="Times New Roman" w:hAnsi="Times New Roman"/>
            <w:noProof/>
          </w:rPr>
          <w:t>1. DOS FATOS</w:t>
        </w:r>
        <w:r w:rsidR="00061658">
          <w:rPr>
            <w:noProof/>
            <w:webHidden/>
          </w:rPr>
          <w:tab/>
        </w:r>
        <w:r w:rsidR="00061658">
          <w:rPr>
            <w:noProof/>
            <w:webHidden/>
          </w:rPr>
          <w:fldChar w:fldCharType="begin"/>
        </w:r>
        <w:r w:rsidR="00061658">
          <w:rPr>
            <w:noProof/>
            <w:webHidden/>
          </w:rPr>
          <w:instrText xml:space="preserve"> PAGEREF _Toc414890811 \h </w:instrText>
        </w:r>
        <w:r w:rsidR="00061658">
          <w:rPr>
            <w:noProof/>
            <w:webHidden/>
          </w:rPr>
        </w:r>
        <w:r w:rsidR="00061658">
          <w:rPr>
            <w:noProof/>
            <w:webHidden/>
          </w:rPr>
          <w:fldChar w:fldCharType="separate"/>
        </w:r>
        <w:r w:rsidR="00061658">
          <w:rPr>
            <w:noProof/>
            <w:webHidden/>
          </w:rPr>
          <w:t>8</w:t>
        </w:r>
        <w:r w:rsidR="00061658">
          <w:rPr>
            <w:noProof/>
            <w:webHidden/>
          </w:rPr>
          <w:fldChar w:fldCharType="end"/>
        </w:r>
      </w:hyperlink>
    </w:p>
    <w:p w:rsidR="00061658" w:rsidRDefault="006977C6" w:rsidP="00B46D95">
      <w:pPr>
        <w:pStyle w:val="TOC1"/>
        <w:rPr>
          <w:rFonts w:asciiTheme="minorHAnsi" w:eastAsiaTheme="minorEastAsia" w:hAnsiTheme="minorHAnsi" w:cstheme="minorBidi"/>
          <w:noProof/>
          <w:sz w:val="22"/>
        </w:rPr>
      </w:pPr>
      <w:hyperlink w:anchor="_Toc414890812" w:history="1">
        <w:r w:rsidR="00061658" w:rsidRPr="00C7691A">
          <w:rPr>
            <w:rStyle w:val="Hyperlink"/>
            <w:rFonts w:ascii="Times New Roman" w:hAnsi="Times New Roman"/>
            <w:noProof/>
          </w:rPr>
          <w:t>2.ANÁLISE LEGAL</w:t>
        </w:r>
        <w:r w:rsidR="00061658">
          <w:rPr>
            <w:noProof/>
            <w:webHidden/>
          </w:rPr>
          <w:tab/>
        </w:r>
        <w:r w:rsidR="00061658">
          <w:rPr>
            <w:noProof/>
            <w:webHidden/>
          </w:rPr>
          <w:fldChar w:fldCharType="begin"/>
        </w:r>
        <w:r w:rsidR="00061658">
          <w:rPr>
            <w:noProof/>
            <w:webHidden/>
          </w:rPr>
          <w:instrText xml:space="preserve"> PAGEREF _Toc414890812 \h </w:instrText>
        </w:r>
        <w:r w:rsidR="00061658">
          <w:rPr>
            <w:noProof/>
            <w:webHidden/>
          </w:rPr>
        </w:r>
        <w:r w:rsidR="00061658">
          <w:rPr>
            <w:noProof/>
            <w:webHidden/>
          </w:rPr>
          <w:fldChar w:fldCharType="separate"/>
        </w:r>
        <w:r w:rsidR="00061658">
          <w:rPr>
            <w:noProof/>
            <w:webHidden/>
          </w:rPr>
          <w:t>11</w:t>
        </w:r>
        <w:r w:rsidR="00061658">
          <w:rPr>
            <w:noProof/>
            <w:webHidden/>
          </w:rPr>
          <w:fldChar w:fldCharType="end"/>
        </w:r>
      </w:hyperlink>
    </w:p>
    <w:p w:rsidR="00061658" w:rsidRDefault="006977C6" w:rsidP="00B46D95">
      <w:pPr>
        <w:pStyle w:val="TOC2"/>
        <w:tabs>
          <w:tab w:val="right" w:leader="dot" w:pos="9352"/>
        </w:tabs>
        <w:spacing w:line="480" w:lineRule="auto"/>
        <w:rPr>
          <w:rFonts w:asciiTheme="minorHAnsi" w:eastAsiaTheme="minorEastAsia" w:hAnsiTheme="minorHAnsi" w:cstheme="minorBidi"/>
          <w:noProof/>
          <w:sz w:val="22"/>
        </w:rPr>
      </w:pPr>
      <w:hyperlink w:anchor="_Toc414890813" w:history="1">
        <w:r w:rsidR="00061658" w:rsidRPr="00C7691A">
          <w:rPr>
            <w:rStyle w:val="Hyperlink"/>
            <w:rFonts w:ascii="Times New Roman" w:hAnsi="Times New Roman"/>
            <w:noProof/>
          </w:rPr>
          <w:t>2.1. DA ADMISSIBILIDADE DOS CASOS</w:t>
        </w:r>
        <w:r w:rsidR="00061658">
          <w:rPr>
            <w:noProof/>
            <w:webHidden/>
          </w:rPr>
          <w:tab/>
        </w:r>
        <w:r w:rsidR="00061658">
          <w:rPr>
            <w:noProof/>
            <w:webHidden/>
          </w:rPr>
          <w:fldChar w:fldCharType="begin"/>
        </w:r>
        <w:r w:rsidR="00061658">
          <w:rPr>
            <w:noProof/>
            <w:webHidden/>
          </w:rPr>
          <w:instrText xml:space="preserve"> PAGEREF _Toc414890813 \h </w:instrText>
        </w:r>
        <w:r w:rsidR="00061658">
          <w:rPr>
            <w:noProof/>
            <w:webHidden/>
          </w:rPr>
        </w:r>
        <w:r w:rsidR="00061658">
          <w:rPr>
            <w:noProof/>
            <w:webHidden/>
          </w:rPr>
          <w:fldChar w:fldCharType="separate"/>
        </w:r>
        <w:r w:rsidR="00061658">
          <w:rPr>
            <w:noProof/>
            <w:webHidden/>
          </w:rPr>
          <w:t>11</w:t>
        </w:r>
        <w:r w:rsidR="00061658">
          <w:rPr>
            <w:noProof/>
            <w:webHidden/>
          </w:rPr>
          <w:fldChar w:fldCharType="end"/>
        </w:r>
      </w:hyperlink>
    </w:p>
    <w:p w:rsidR="00061658" w:rsidRDefault="006977C6" w:rsidP="00B46D95">
      <w:pPr>
        <w:pStyle w:val="TOC2"/>
        <w:tabs>
          <w:tab w:val="right" w:leader="dot" w:pos="9352"/>
        </w:tabs>
        <w:spacing w:line="480" w:lineRule="auto"/>
        <w:rPr>
          <w:rFonts w:asciiTheme="minorHAnsi" w:eastAsiaTheme="minorEastAsia" w:hAnsiTheme="minorHAnsi" w:cstheme="minorBidi"/>
          <w:noProof/>
          <w:sz w:val="22"/>
        </w:rPr>
      </w:pPr>
      <w:hyperlink w:anchor="_Toc414890814" w:history="1">
        <w:r w:rsidR="00061658" w:rsidRPr="00C7691A">
          <w:rPr>
            <w:rStyle w:val="Hyperlink"/>
            <w:rFonts w:ascii="Times New Roman" w:hAnsi="Times New Roman"/>
            <w:noProof/>
          </w:rPr>
          <w:t>2.2. DO MÉRITO</w:t>
        </w:r>
        <w:r w:rsidR="00061658">
          <w:rPr>
            <w:noProof/>
            <w:webHidden/>
          </w:rPr>
          <w:tab/>
        </w:r>
        <w:r w:rsidR="00061658">
          <w:rPr>
            <w:noProof/>
            <w:webHidden/>
          </w:rPr>
          <w:fldChar w:fldCharType="begin"/>
        </w:r>
        <w:r w:rsidR="00061658">
          <w:rPr>
            <w:noProof/>
            <w:webHidden/>
          </w:rPr>
          <w:instrText xml:space="preserve"> PAGEREF _Toc414890814 \h </w:instrText>
        </w:r>
        <w:r w:rsidR="00061658">
          <w:rPr>
            <w:noProof/>
            <w:webHidden/>
          </w:rPr>
        </w:r>
        <w:r w:rsidR="00061658">
          <w:rPr>
            <w:noProof/>
            <w:webHidden/>
          </w:rPr>
          <w:fldChar w:fldCharType="separate"/>
        </w:r>
        <w:r w:rsidR="00061658">
          <w:rPr>
            <w:noProof/>
            <w:webHidden/>
          </w:rPr>
          <w:t>13</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15" w:history="1">
        <w:r w:rsidR="00061658" w:rsidRPr="00C7691A">
          <w:rPr>
            <w:rStyle w:val="Hyperlink"/>
            <w:rFonts w:ascii="Times New Roman" w:hAnsi="Times New Roman"/>
            <w:noProof/>
          </w:rPr>
          <w:t>2.2.1 Caso Ricardo Bolt vs. República de Cardenal</w:t>
        </w:r>
        <w:r w:rsidR="00061658">
          <w:rPr>
            <w:noProof/>
            <w:webHidden/>
          </w:rPr>
          <w:tab/>
        </w:r>
        <w:r w:rsidR="00061658">
          <w:rPr>
            <w:noProof/>
            <w:webHidden/>
          </w:rPr>
          <w:fldChar w:fldCharType="begin"/>
        </w:r>
        <w:r w:rsidR="00061658">
          <w:rPr>
            <w:noProof/>
            <w:webHidden/>
          </w:rPr>
          <w:instrText xml:space="preserve"> PAGEREF _Toc414890815 \h </w:instrText>
        </w:r>
        <w:r w:rsidR="00061658">
          <w:rPr>
            <w:noProof/>
            <w:webHidden/>
          </w:rPr>
        </w:r>
        <w:r w:rsidR="00061658">
          <w:rPr>
            <w:noProof/>
            <w:webHidden/>
          </w:rPr>
          <w:fldChar w:fldCharType="separate"/>
        </w:r>
        <w:r w:rsidR="00061658">
          <w:rPr>
            <w:noProof/>
            <w:webHidden/>
          </w:rPr>
          <w:t>13</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16" w:history="1">
        <w:r w:rsidR="00061658" w:rsidRPr="00C7691A">
          <w:rPr>
            <w:rStyle w:val="Hyperlink"/>
            <w:rFonts w:ascii="Times New Roman" w:hAnsi="Times New Roman"/>
            <w:noProof/>
          </w:rPr>
          <w:t>2.2.2 Caso Lucrécia Rossi vs. República Cardenal</w:t>
        </w:r>
        <w:r w:rsidR="00061658">
          <w:rPr>
            <w:noProof/>
            <w:webHidden/>
          </w:rPr>
          <w:tab/>
        </w:r>
        <w:r w:rsidR="00061658">
          <w:rPr>
            <w:noProof/>
            <w:webHidden/>
          </w:rPr>
          <w:fldChar w:fldCharType="begin"/>
        </w:r>
        <w:r w:rsidR="00061658">
          <w:rPr>
            <w:noProof/>
            <w:webHidden/>
          </w:rPr>
          <w:instrText xml:space="preserve"> PAGEREF _Toc414890816 \h </w:instrText>
        </w:r>
        <w:r w:rsidR="00061658">
          <w:rPr>
            <w:noProof/>
            <w:webHidden/>
          </w:rPr>
        </w:r>
        <w:r w:rsidR="00061658">
          <w:rPr>
            <w:noProof/>
            <w:webHidden/>
          </w:rPr>
          <w:fldChar w:fldCharType="separate"/>
        </w:r>
        <w:r w:rsidR="00061658">
          <w:rPr>
            <w:noProof/>
            <w:webHidden/>
          </w:rPr>
          <w:t>29</w:t>
        </w:r>
        <w:r w:rsidR="00061658">
          <w:rPr>
            <w:noProof/>
            <w:webHidden/>
          </w:rPr>
          <w:fldChar w:fldCharType="end"/>
        </w:r>
      </w:hyperlink>
    </w:p>
    <w:p w:rsidR="00061658" w:rsidRDefault="006977C6" w:rsidP="00B46D95">
      <w:pPr>
        <w:pStyle w:val="TOC3"/>
        <w:tabs>
          <w:tab w:val="right" w:leader="dot" w:pos="9352"/>
        </w:tabs>
        <w:spacing w:line="480" w:lineRule="auto"/>
        <w:rPr>
          <w:rFonts w:asciiTheme="minorHAnsi" w:eastAsiaTheme="minorEastAsia" w:hAnsiTheme="minorHAnsi" w:cstheme="minorBidi"/>
          <w:noProof/>
          <w:sz w:val="22"/>
        </w:rPr>
      </w:pPr>
      <w:hyperlink w:anchor="_Toc414890817" w:history="1">
        <w:r w:rsidR="00061658" w:rsidRPr="00C7691A">
          <w:rPr>
            <w:rStyle w:val="Hyperlink"/>
            <w:rFonts w:ascii="Times New Roman" w:hAnsi="Times New Roman"/>
            <w:noProof/>
          </w:rPr>
          <w:t>2.2.3 Caso Aníbal López vs. República Cardenal</w:t>
        </w:r>
        <w:r w:rsidR="00061658">
          <w:rPr>
            <w:noProof/>
            <w:webHidden/>
          </w:rPr>
          <w:tab/>
        </w:r>
        <w:r w:rsidR="00061658">
          <w:rPr>
            <w:noProof/>
            <w:webHidden/>
          </w:rPr>
          <w:fldChar w:fldCharType="begin"/>
        </w:r>
        <w:r w:rsidR="00061658">
          <w:rPr>
            <w:noProof/>
            <w:webHidden/>
          </w:rPr>
          <w:instrText xml:space="preserve"> PAGEREF _Toc414890817 \h </w:instrText>
        </w:r>
        <w:r w:rsidR="00061658">
          <w:rPr>
            <w:noProof/>
            <w:webHidden/>
          </w:rPr>
        </w:r>
        <w:r w:rsidR="00061658">
          <w:rPr>
            <w:noProof/>
            <w:webHidden/>
          </w:rPr>
          <w:fldChar w:fldCharType="separate"/>
        </w:r>
        <w:r w:rsidR="00061658">
          <w:rPr>
            <w:noProof/>
            <w:webHidden/>
          </w:rPr>
          <w:t>33</w:t>
        </w:r>
        <w:r w:rsidR="00061658">
          <w:rPr>
            <w:noProof/>
            <w:webHidden/>
          </w:rPr>
          <w:fldChar w:fldCharType="end"/>
        </w:r>
      </w:hyperlink>
    </w:p>
    <w:p w:rsidR="00061658" w:rsidRDefault="006977C6" w:rsidP="00B46D95">
      <w:pPr>
        <w:pStyle w:val="TOC1"/>
        <w:rPr>
          <w:rFonts w:asciiTheme="minorHAnsi" w:eastAsiaTheme="minorEastAsia" w:hAnsiTheme="minorHAnsi" w:cstheme="minorBidi"/>
          <w:noProof/>
          <w:sz w:val="22"/>
        </w:rPr>
      </w:pPr>
      <w:hyperlink w:anchor="_Toc414890818" w:history="1">
        <w:r w:rsidR="00061658" w:rsidRPr="00C7691A">
          <w:rPr>
            <w:rStyle w:val="Hyperlink"/>
            <w:rFonts w:ascii="Times New Roman" w:hAnsi="Times New Roman"/>
            <w:noProof/>
          </w:rPr>
          <w:t>3.DAS REPARAÇÕES NOS CASOS BOLT, ROSSI E LÓPEZ:</w:t>
        </w:r>
        <w:r w:rsidR="00061658">
          <w:rPr>
            <w:noProof/>
            <w:webHidden/>
          </w:rPr>
          <w:tab/>
        </w:r>
        <w:r w:rsidR="00061658">
          <w:rPr>
            <w:noProof/>
            <w:webHidden/>
          </w:rPr>
          <w:fldChar w:fldCharType="begin"/>
        </w:r>
        <w:r w:rsidR="00061658">
          <w:rPr>
            <w:noProof/>
            <w:webHidden/>
          </w:rPr>
          <w:instrText xml:space="preserve"> PAGEREF _Toc414890818 \h </w:instrText>
        </w:r>
        <w:r w:rsidR="00061658">
          <w:rPr>
            <w:noProof/>
            <w:webHidden/>
          </w:rPr>
        </w:r>
        <w:r w:rsidR="00061658">
          <w:rPr>
            <w:noProof/>
            <w:webHidden/>
          </w:rPr>
          <w:fldChar w:fldCharType="separate"/>
        </w:r>
        <w:r w:rsidR="00061658">
          <w:rPr>
            <w:noProof/>
            <w:webHidden/>
          </w:rPr>
          <w:t>36</w:t>
        </w:r>
        <w:r w:rsidR="00061658">
          <w:rPr>
            <w:noProof/>
            <w:webHidden/>
          </w:rPr>
          <w:fldChar w:fldCharType="end"/>
        </w:r>
      </w:hyperlink>
    </w:p>
    <w:p w:rsidR="00061658" w:rsidRDefault="006977C6" w:rsidP="00B46D95">
      <w:pPr>
        <w:pStyle w:val="TOC1"/>
        <w:rPr>
          <w:rFonts w:asciiTheme="minorHAnsi" w:eastAsiaTheme="minorEastAsia" w:hAnsiTheme="minorHAnsi" w:cstheme="minorBidi"/>
          <w:noProof/>
          <w:sz w:val="22"/>
        </w:rPr>
      </w:pPr>
      <w:hyperlink w:anchor="_Toc414890819" w:history="1">
        <w:r w:rsidR="00061658" w:rsidRPr="00C7691A">
          <w:rPr>
            <w:rStyle w:val="Hyperlink"/>
            <w:rFonts w:ascii="Times New Roman" w:hAnsi="Times New Roman"/>
            <w:noProof/>
          </w:rPr>
          <w:t>4.SOLICITAÇÃO DE ASSISTÊNCIA</w:t>
        </w:r>
        <w:r w:rsidR="00061658">
          <w:rPr>
            <w:noProof/>
            <w:webHidden/>
          </w:rPr>
          <w:tab/>
        </w:r>
        <w:r w:rsidR="00061658">
          <w:rPr>
            <w:noProof/>
            <w:webHidden/>
          </w:rPr>
          <w:fldChar w:fldCharType="begin"/>
        </w:r>
        <w:r w:rsidR="00061658">
          <w:rPr>
            <w:noProof/>
            <w:webHidden/>
          </w:rPr>
          <w:instrText xml:space="preserve"> PAGEREF _Toc414890819 \h </w:instrText>
        </w:r>
        <w:r w:rsidR="00061658">
          <w:rPr>
            <w:noProof/>
            <w:webHidden/>
          </w:rPr>
        </w:r>
        <w:r w:rsidR="00061658">
          <w:rPr>
            <w:noProof/>
            <w:webHidden/>
          </w:rPr>
          <w:fldChar w:fldCharType="separate"/>
        </w:r>
        <w:r w:rsidR="00061658">
          <w:rPr>
            <w:noProof/>
            <w:webHidden/>
          </w:rPr>
          <w:t>40</w:t>
        </w:r>
        <w:r w:rsidR="00061658">
          <w:rPr>
            <w:noProof/>
            <w:webHidden/>
          </w:rPr>
          <w:fldChar w:fldCharType="end"/>
        </w:r>
      </w:hyperlink>
    </w:p>
    <w:p w:rsidR="0085461F" w:rsidRPr="00B46D95" w:rsidRDefault="00482263" w:rsidP="009467CD">
      <w:pPr>
        <w:rPr>
          <w:b/>
          <w:bCs/>
        </w:rPr>
      </w:pPr>
      <w:r w:rsidRPr="00CB027F">
        <w:rPr>
          <w:b/>
          <w:bCs/>
        </w:rPr>
        <w:fldChar w:fldCharType="end"/>
      </w:r>
    </w:p>
    <w:p w:rsidR="006B1930" w:rsidRPr="00CB027F" w:rsidRDefault="006B1930" w:rsidP="00B46D95">
      <w:pPr>
        <w:rPr>
          <w:rStyle w:val="Heading1Char"/>
          <w:rFonts w:ascii="Times New Roman" w:eastAsia="Calibri" w:hAnsi="Times New Roman"/>
          <w:lang w:val="en-US"/>
        </w:rPr>
      </w:pPr>
      <w:bookmarkStart w:id="1" w:name="_Toc414890802"/>
      <w:r w:rsidRPr="00CB027F">
        <w:rPr>
          <w:rStyle w:val="Heading1Char"/>
          <w:rFonts w:ascii="Times New Roman" w:eastAsia="Calibri" w:hAnsi="Times New Roman"/>
          <w:lang w:val="en-US"/>
        </w:rPr>
        <w:lastRenderedPageBreak/>
        <w:t>ÍNDICE DE AUTORIDADES</w:t>
      </w:r>
      <w:bookmarkEnd w:id="1"/>
    </w:p>
    <w:p w:rsidR="006B1930" w:rsidRPr="00CB027F" w:rsidRDefault="006B1930" w:rsidP="00B46D95">
      <w:pPr>
        <w:pStyle w:val="Heading2"/>
        <w:rPr>
          <w:rFonts w:ascii="Times New Roman" w:hAnsi="Times New Roman"/>
          <w:lang w:val="en-US"/>
        </w:rPr>
      </w:pPr>
      <w:bookmarkStart w:id="2" w:name="_Toc414890803"/>
      <w:r w:rsidRPr="00CB027F">
        <w:rPr>
          <w:rFonts w:ascii="Times New Roman" w:hAnsi="Times New Roman"/>
          <w:lang w:val="en-US"/>
        </w:rPr>
        <w:t>1.1 - Doutrina</w:t>
      </w:r>
      <w:bookmarkEnd w:id="2"/>
    </w:p>
    <w:p w:rsidR="006B1930" w:rsidRPr="00CB027F" w:rsidRDefault="006B1930" w:rsidP="00F32746">
      <w:pPr>
        <w:jc w:val="both"/>
        <w:rPr>
          <w:szCs w:val="24"/>
          <w:lang w:val="en-US"/>
        </w:rPr>
      </w:pPr>
      <w:r w:rsidRPr="00CB027F">
        <w:rPr>
          <w:szCs w:val="24"/>
          <w:lang w:val="en-US"/>
        </w:rPr>
        <w:t xml:space="preserve">PASQUALUCCI, Jo M. </w:t>
      </w:r>
      <w:r w:rsidRPr="00CB027F">
        <w:rPr>
          <w:b/>
          <w:szCs w:val="24"/>
          <w:lang w:val="en-US"/>
        </w:rPr>
        <w:t>The practice and procedure of the Inter-American Court of Human Rights.</w:t>
      </w:r>
      <w:r w:rsidRPr="00CB027F">
        <w:rPr>
          <w:szCs w:val="24"/>
          <w:lang w:val="en-US"/>
        </w:rPr>
        <w:t xml:space="preserve"> 2</w:t>
      </w:r>
      <w:r w:rsidR="00F32746" w:rsidRPr="00CB027F">
        <w:rPr>
          <w:szCs w:val="24"/>
          <w:vertAlign w:val="superscript"/>
          <w:lang w:val="en-US"/>
        </w:rPr>
        <w:t>ª</w:t>
      </w:r>
      <w:r w:rsidR="00F32746" w:rsidRPr="00CB027F">
        <w:rPr>
          <w:szCs w:val="24"/>
          <w:lang w:val="en-US"/>
        </w:rPr>
        <w:t xml:space="preserve"> edição</w:t>
      </w:r>
      <w:r w:rsidRPr="00CB027F">
        <w:rPr>
          <w:szCs w:val="24"/>
          <w:lang w:val="en-US"/>
        </w:rPr>
        <w:t xml:space="preserve">. </w:t>
      </w:r>
      <w:r w:rsidR="00F32746" w:rsidRPr="00CB027F">
        <w:rPr>
          <w:szCs w:val="24"/>
          <w:lang w:val="en-US"/>
        </w:rPr>
        <w:t>Nova</w:t>
      </w:r>
      <w:r w:rsidRPr="00CB027F">
        <w:rPr>
          <w:szCs w:val="24"/>
          <w:lang w:val="en-US"/>
        </w:rPr>
        <w:t xml:space="preserve"> York: Cambridge University Press, 2012.</w:t>
      </w:r>
      <w:r w:rsidR="0085461F" w:rsidRPr="00CB027F">
        <w:rPr>
          <w:szCs w:val="24"/>
          <w:lang w:val="en-US"/>
        </w:rPr>
        <w:t xml:space="preserve"> ……...............</w:t>
      </w:r>
      <w:r w:rsidR="00F32746" w:rsidRPr="00CB027F">
        <w:rPr>
          <w:szCs w:val="24"/>
          <w:lang w:val="en-US"/>
        </w:rPr>
        <w:t>........</w:t>
      </w:r>
      <w:r w:rsidR="0085461F" w:rsidRPr="00CB027F">
        <w:rPr>
          <w:szCs w:val="24"/>
          <w:lang w:val="en-US"/>
        </w:rPr>
        <w:t>.....…..(12)</w:t>
      </w:r>
    </w:p>
    <w:p w:rsidR="0085461F" w:rsidRPr="00CB027F" w:rsidRDefault="00D17295" w:rsidP="005E4E2E">
      <w:r w:rsidRPr="005A443D">
        <w:rPr>
          <w:lang w:val="en-US"/>
        </w:rPr>
        <w:t xml:space="preserve">BURGORGUE-LARSEN, Laurence e ÚBEDA DE TORRES, Amaya. </w:t>
      </w:r>
      <w:r w:rsidRPr="005A443D">
        <w:rPr>
          <w:b/>
          <w:lang w:val="en-US"/>
        </w:rPr>
        <w:t>The Inter-American Court of Human Rights: Case-Law and Commentary</w:t>
      </w:r>
      <w:r w:rsidRPr="005A443D">
        <w:rPr>
          <w:lang w:val="en-US"/>
        </w:rPr>
        <w:t xml:space="preserve">. </w:t>
      </w:r>
      <w:r w:rsidR="00F32746" w:rsidRPr="00CB027F">
        <w:t>2ª edição. Nova York: Oxford University Press, 2011. ...............................................................................................................(20)</w:t>
      </w:r>
    </w:p>
    <w:p w:rsidR="006956CC" w:rsidRPr="00CB027F" w:rsidRDefault="006956CC" w:rsidP="006956CC">
      <w:pPr>
        <w:pStyle w:val="Heading2"/>
        <w:rPr>
          <w:rFonts w:ascii="Times New Roman" w:hAnsi="Times New Roman"/>
        </w:rPr>
      </w:pPr>
      <w:bookmarkStart w:id="3" w:name="_Toc414890804"/>
      <w:r w:rsidRPr="00CB027F">
        <w:rPr>
          <w:rFonts w:ascii="Times New Roman" w:hAnsi="Times New Roman"/>
        </w:rPr>
        <w:t>1.2 – Jurisprudência</w:t>
      </w:r>
      <w:bookmarkEnd w:id="3"/>
    </w:p>
    <w:p w:rsidR="006956CC" w:rsidRPr="00CB027F" w:rsidRDefault="006956CC" w:rsidP="006956CC">
      <w:pPr>
        <w:pStyle w:val="Heading3"/>
        <w:rPr>
          <w:rFonts w:ascii="Times New Roman" w:hAnsi="Times New Roman"/>
        </w:rPr>
      </w:pPr>
      <w:bookmarkStart w:id="4" w:name="_Toc414890805"/>
      <w:r w:rsidRPr="00CB027F">
        <w:rPr>
          <w:rFonts w:ascii="Times New Roman" w:hAnsi="Times New Roman"/>
        </w:rPr>
        <w:t>1.2.1 - Corte Interamericana de Direitos Humanos</w:t>
      </w:r>
      <w:bookmarkEnd w:id="4"/>
    </w:p>
    <w:p w:rsidR="006956CC" w:rsidRPr="00CB027F" w:rsidRDefault="006956CC" w:rsidP="006956CC">
      <w:pPr>
        <w:pStyle w:val="Heading4"/>
        <w:rPr>
          <w:rFonts w:ascii="Times New Roman" w:hAnsi="Times New Roman"/>
        </w:rPr>
      </w:pPr>
      <w:r w:rsidRPr="00CB027F">
        <w:rPr>
          <w:rFonts w:ascii="Times New Roman" w:hAnsi="Times New Roman"/>
        </w:rPr>
        <w:t>1.2.1.1 - Casos</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19 Comerciantes Vs. Colômbia</w:t>
      </w:r>
      <w:r w:rsidRPr="00CB027F">
        <w:rPr>
          <w:color w:val="000000"/>
        </w:rPr>
        <w:t>, 2004</w:t>
      </w:r>
      <w:r w:rsidR="00662E91" w:rsidRPr="00CB027F">
        <w:rPr>
          <w:color w:val="000000"/>
        </w:rPr>
        <w:t>. ..............................................................</w:t>
      </w:r>
      <w:r w:rsidR="000909EF" w:rsidRPr="00CB027F">
        <w:rPr>
          <w:color w:val="000000"/>
        </w:rPr>
        <w:t xml:space="preserve"> (27, 31, 34)</w:t>
      </w:r>
    </w:p>
    <w:p w:rsidR="006956CC" w:rsidRPr="00CB027F" w:rsidRDefault="006956CC" w:rsidP="006956CC">
      <w:pPr>
        <w:pStyle w:val="NormalWeb"/>
        <w:spacing w:before="0" w:beforeAutospacing="0" w:after="0" w:afterAutospacing="0" w:line="480" w:lineRule="auto"/>
        <w:jc w:val="both"/>
      </w:pPr>
      <w:r w:rsidRPr="00CB027F">
        <w:rPr>
          <w:b/>
          <w:bCs/>
          <w:color w:val="000000"/>
        </w:rPr>
        <w:t>Caso Almonacid Arellano e outros Vs. Chile</w:t>
      </w:r>
      <w:r w:rsidRPr="00CB027F">
        <w:rPr>
          <w:color w:val="000000"/>
        </w:rPr>
        <w:t>, 2006</w:t>
      </w:r>
      <w:r w:rsidR="009467CD" w:rsidRPr="00CB027F">
        <w:rPr>
          <w:color w:val="000000"/>
        </w:rPr>
        <w:t>.</w:t>
      </w:r>
      <w:r w:rsidR="00BB3D99" w:rsidRPr="00CB027F">
        <w:rPr>
          <w:color w:val="000000"/>
        </w:rPr>
        <w:t xml:space="preserve"> </w:t>
      </w:r>
      <w:r w:rsidR="00662E91" w:rsidRPr="00CB027F">
        <w:rPr>
          <w:color w:val="000000"/>
        </w:rPr>
        <w:t>..............................................................</w:t>
      </w:r>
      <w:r w:rsidR="00BB3D99" w:rsidRPr="00CB027F">
        <w:rPr>
          <w:color w:val="000000"/>
        </w:rPr>
        <w:t>(25)</w:t>
      </w:r>
    </w:p>
    <w:p w:rsidR="006956CC" w:rsidRPr="00CB027F" w:rsidRDefault="006956CC" w:rsidP="006956CC">
      <w:pPr>
        <w:pStyle w:val="NormalWeb"/>
        <w:spacing w:before="0" w:beforeAutospacing="0" w:after="0" w:afterAutospacing="0" w:line="480" w:lineRule="auto"/>
      </w:pPr>
      <w:r w:rsidRPr="00CB027F">
        <w:rPr>
          <w:b/>
          <w:bCs/>
          <w:color w:val="000000"/>
        </w:rPr>
        <w:t>Caso Anzualdo Castro Vs. Peru</w:t>
      </w:r>
      <w:r w:rsidR="009467CD" w:rsidRPr="00CB027F">
        <w:rPr>
          <w:bCs/>
          <w:color w:val="000000"/>
        </w:rPr>
        <w:t>, 2009.</w:t>
      </w:r>
      <w:r w:rsidR="00BB3D99" w:rsidRPr="00CB027F">
        <w:rPr>
          <w:bCs/>
          <w:color w:val="000000"/>
        </w:rPr>
        <w:t xml:space="preserve"> </w:t>
      </w:r>
      <w:r w:rsidR="00662E91" w:rsidRPr="00CB027F">
        <w:rPr>
          <w:bCs/>
          <w:color w:val="000000"/>
        </w:rPr>
        <w:t>.............................................................................</w:t>
      </w:r>
      <w:r w:rsidR="00BB3D99" w:rsidRPr="00CB027F">
        <w:rPr>
          <w:bCs/>
          <w:color w:val="000000"/>
        </w:rPr>
        <w:t>(17, 23)</w:t>
      </w:r>
    </w:p>
    <w:p w:rsidR="006956CC" w:rsidRPr="00FA5FC8" w:rsidRDefault="006956CC" w:rsidP="006956CC">
      <w:pPr>
        <w:pStyle w:val="NormalWeb"/>
        <w:spacing w:before="0" w:beforeAutospacing="0" w:after="0" w:afterAutospacing="0" w:line="480" w:lineRule="auto"/>
        <w:jc w:val="both"/>
        <w:rPr>
          <w:lang w:val="es-CO"/>
        </w:rPr>
      </w:pPr>
      <w:r w:rsidRPr="00CB027F">
        <w:rPr>
          <w:b/>
          <w:bCs/>
          <w:color w:val="000000"/>
        </w:rPr>
        <w:t xml:space="preserve">Caso Baena Ricardo e outros Vs. </w:t>
      </w:r>
      <w:r w:rsidRPr="00FA5FC8">
        <w:rPr>
          <w:b/>
          <w:bCs/>
          <w:color w:val="000000"/>
          <w:lang w:val="es-CO"/>
        </w:rPr>
        <w:t>Panamá,</w:t>
      </w:r>
      <w:r w:rsidRPr="00FA5FC8">
        <w:rPr>
          <w:color w:val="000000"/>
          <w:lang w:val="es-CO"/>
        </w:rPr>
        <w:t xml:space="preserve"> 1999.</w:t>
      </w:r>
      <w:r w:rsidR="00BB3D99" w:rsidRPr="00FA5FC8">
        <w:rPr>
          <w:color w:val="000000"/>
          <w:lang w:val="es-CO"/>
        </w:rPr>
        <w:t xml:space="preserve"> </w:t>
      </w:r>
      <w:r w:rsidR="00662E91" w:rsidRPr="00FA5FC8">
        <w:rPr>
          <w:color w:val="000000"/>
          <w:lang w:val="es-CO"/>
        </w:rPr>
        <w:t>..................................................................</w:t>
      </w:r>
      <w:r w:rsidR="00BB3D99" w:rsidRPr="00FA5FC8">
        <w:rPr>
          <w:color w:val="000000"/>
          <w:lang w:val="es-CO"/>
        </w:rPr>
        <w:t>(12)</w:t>
      </w:r>
      <w:r w:rsidRPr="00FA5FC8">
        <w:rPr>
          <w:color w:val="000000"/>
          <w:lang w:val="es-CO"/>
        </w:rPr>
        <w:t xml:space="preserve"> </w:t>
      </w:r>
    </w:p>
    <w:p w:rsidR="006956CC" w:rsidRPr="00462775" w:rsidRDefault="006956CC" w:rsidP="006956CC">
      <w:pPr>
        <w:pStyle w:val="NormalWeb"/>
        <w:spacing w:before="0" w:beforeAutospacing="0" w:after="0" w:afterAutospacing="0" w:line="480" w:lineRule="auto"/>
        <w:jc w:val="both"/>
        <w:rPr>
          <w:color w:val="000000"/>
          <w:lang w:val="es-CO"/>
        </w:rPr>
      </w:pPr>
      <w:r w:rsidRPr="00FA5FC8">
        <w:rPr>
          <w:b/>
          <w:bCs/>
          <w:color w:val="000000"/>
          <w:lang w:val="es-CO"/>
        </w:rPr>
        <w:t xml:space="preserve">Caso Bámaca Velásquez Vs. </w:t>
      </w:r>
      <w:r w:rsidRPr="00462775">
        <w:rPr>
          <w:b/>
          <w:bCs/>
          <w:color w:val="000000"/>
          <w:lang w:val="es-CO"/>
        </w:rPr>
        <w:t xml:space="preserve">Guatemala, </w:t>
      </w:r>
      <w:r w:rsidR="009467CD" w:rsidRPr="00462775">
        <w:rPr>
          <w:bCs/>
          <w:color w:val="000000"/>
          <w:lang w:val="es-CO"/>
        </w:rPr>
        <w:t>2000.</w:t>
      </w:r>
      <w:r w:rsidR="00BB3D99" w:rsidRPr="00462775">
        <w:rPr>
          <w:bCs/>
          <w:color w:val="000000"/>
          <w:lang w:val="es-CO"/>
        </w:rPr>
        <w:t xml:space="preserve"> </w:t>
      </w:r>
      <w:r w:rsidR="00662E91" w:rsidRPr="00462775">
        <w:rPr>
          <w:bCs/>
          <w:color w:val="000000"/>
          <w:lang w:val="es-CO"/>
        </w:rPr>
        <w:t>...................................................</w:t>
      </w:r>
      <w:r w:rsidR="00BB3D99" w:rsidRPr="00462775">
        <w:rPr>
          <w:bCs/>
          <w:color w:val="000000"/>
          <w:lang w:val="es-CO"/>
        </w:rPr>
        <w:t>(15, 16, 18, 38)</w:t>
      </w:r>
    </w:p>
    <w:p w:rsidR="006956CC" w:rsidRPr="00462775" w:rsidRDefault="006956CC" w:rsidP="006956CC">
      <w:pPr>
        <w:pStyle w:val="NormalWeb"/>
        <w:spacing w:before="0" w:beforeAutospacing="0" w:after="0" w:afterAutospacing="0" w:line="480" w:lineRule="auto"/>
        <w:rPr>
          <w:lang w:val="es-CO"/>
        </w:rPr>
      </w:pPr>
      <w:r w:rsidRPr="00462775">
        <w:rPr>
          <w:b/>
          <w:bCs/>
          <w:color w:val="000000"/>
          <w:lang w:val="es-CO"/>
        </w:rPr>
        <w:t>Caso Barreto Leiva Vs. Venezuela</w:t>
      </w:r>
      <w:r w:rsidRPr="00462775">
        <w:rPr>
          <w:color w:val="000000"/>
          <w:lang w:val="es-CO"/>
        </w:rPr>
        <w:t>, 2009</w:t>
      </w:r>
      <w:r w:rsidR="009467CD" w:rsidRPr="00462775">
        <w:rPr>
          <w:color w:val="000000"/>
          <w:lang w:val="es-CO"/>
        </w:rPr>
        <w:t>.</w:t>
      </w:r>
      <w:r w:rsidR="00BB3D99" w:rsidRPr="00462775">
        <w:rPr>
          <w:color w:val="000000"/>
          <w:lang w:val="es-CO"/>
        </w:rPr>
        <w:t xml:space="preserve"> </w:t>
      </w:r>
      <w:r w:rsidR="00662E91" w:rsidRPr="00462775">
        <w:rPr>
          <w:color w:val="000000"/>
          <w:lang w:val="es-CO"/>
        </w:rPr>
        <w:t>...............................................................................</w:t>
      </w:r>
      <w:r w:rsidR="00BB3D99" w:rsidRPr="00462775">
        <w:rPr>
          <w:color w:val="000000"/>
          <w:lang w:val="es-CO"/>
        </w:rPr>
        <w:t>(25)</w:t>
      </w:r>
    </w:p>
    <w:p w:rsidR="006956CC" w:rsidRPr="00462775" w:rsidRDefault="006956CC" w:rsidP="006956CC">
      <w:pPr>
        <w:pStyle w:val="NormalWeb"/>
        <w:spacing w:before="0" w:beforeAutospacing="0" w:after="0" w:afterAutospacing="0" w:line="480" w:lineRule="auto"/>
        <w:rPr>
          <w:lang w:val="es-CO"/>
        </w:rPr>
      </w:pPr>
      <w:r w:rsidRPr="00462775">
        <w:rPr>
          <w:b/>
          <w:bCs/>
          <w:color w:val="000000"/>
          <w:lang w:val="es-CO"/>
        </w:rPr>
        <w:t>Caso Bayarri Vs. Argentina</w:t>
      </w:r>
      <w:r w:rsidRPr="00462775">
        <w:rPr>
          <w:color w:val="000000"/>
          <w:lang w:val="es-CO"/>
        </w:rPr>
        <w:t>, 2008</w:t>
      </w:r>
      <w:r w:rsidR="009467CD" w:rsidRPr="00462775">
        <w:rPr>
          <w:color w:val="000000"/>
          <w:lang w:val="es-CO"/>
        </w:rPr>
        <w:t>.</w:t>
      </w:r>
      <w:r w:rsidR="00BB3D99" w:rsidRPr="00462775">
        <w:rPr>
          <w:color w:val="000000"/>
          <w:lang w:val="es-CO"/>
        </w:rPr>
        <w:t xml:space="preserve"> </w:t>
      </w:r>
      <w:r w:rsidR="00662E91" w:rsidRPr="00462775">
        <w:rPr>
          <w:color w:val="000000"/>
          <w:lang w:val="es-CO"/>
        </w:rPr>
        <w:t>.........................................................................................</w:t>
      </w:r>
      <w:r w:rsidR="00BB3D99" w:rsidRPr="00462775">
        <w:rPr>
          <w:color w:val="000000"/>
          <w:lang w:val="es-CO"/>
        </w:rPr>
        <w:t>(25)</w:t>
      </w:r>
    </w:p>
    <w:p w:rsidR="006956CC" w:rsidRPr="00CB027F" w:rsidRDefault="006956CC" w:rsidP="006956CC">
      <w:pPr>
        <w:pStyle w:val="NormalWeb"/>
        <w:spacing w:before="0" w:beforeAutospacing="0" w:after="0" w:afterAutospacing="0" w:line="480" w:lineRule="auto"/>
        <w:jc w:val="both"/>
        <w:rPr>
          <w:b/>
          <w:bCs/>
          <w:color w:val="000000"/>
        </w:rPr>
      </w:pPr>
      <w:r w:rsidRPr="006977C6">
        <w:rPr>
          <w:b/>
          <w:bCs/>
          <w:color w:val="000000"/>
        </w:rPr>
        <w:t xml:space="preserve">Caso Blanco Romero e outros Vs. </w:t>
      </w:r>
      <w:r w:rsidRPr="00CB027F">
        <w:rPr>
          <w:b/>
          <w:bCs/>
          <w:color w:val="000000"/>
        </w:rPr>
        <w:t>Venezuela</w:t>
      </w:r>
      <w:r w:rsidRPr="00CB027F">
        <w:rPr>
          <w:bCs/>
          <w:color w:val="000000"/>
        </w:rPr>
        <w:t>, 2005</w:t>
      </w:r>
      <w:r w:rsidR="009467CD" w:rsidRPr="00CB027F">
        <w:rPr>
          <w:bCs/>
          <w:color w:val="000000"/>
        </w:rPr>
        <w:t>.</w:t>
      </w:r>
      <w:r w:rsidR="00BB3D99" w:rsidRPr="00CB027F">
        <w:rPr>
          <w:bCs/>
          <w:color w:val="000000"/>
        </w:rPr>
        <w:t xml:space="preserve"> </w:t>
      </w:r>
      <w:r w:rsidR="00662E91" w:rsidRPr="00CB027F">
        <w:rPr>
          <w:bCs/>
          <w:color w:val="000000"/>
        </w:rPr>
        <w:t>.............................................................</w:t>
      </w:r>
      <w:r w:rsidR="00BB3D99" w:rsidRPr="00CB027F">
        <w:rPr>
          <w:bCs/>
          <w:color w:val="000000"/>
        </w:rPr>
        <w:t>(37)</w:t>
      </w:r>
    </w:p>
    <w:p w:rsidR="006956CC" w:rsidRPr="00CB027F" w:rsidRDefault="006956CC" w:rsidP="006956CC">
      <w:pPr>
        <w:pStyle w:val="NormalWeb"/>
        <w:spacing w:before="0" w:beforeAutospacing="0" w:after="0" w:afterAutospacing="0" w:line="480" w:lineRule="auto"/>
        <w:jc w:val="both"/>
        <w:rPr>
          <w:bCs/>
          <w:color w:val="000000"/>
        </w:rPr>
      </w:pPr>
      <w:r w:rsidRPr="00CB027F">
        <w:rPr>
          <w:b/>
          <w:bCs/>
          <w:color w:val="000000"/>
        </w:rPr>
        <w:t>Caso Boyce e outros Vs. Barbados</w:t>
      </w:r>
      <w:r w:rsidR="009467CD" w:rsidRPr="00CB027F">
        <w:rPr>
          <w:bCs/>
          <w:color w:val="000000"/>
        </w:rPr>
        <w:t>, 2007.</w:t>
      </w:r>
      <w:r w:rsidR="00BB3D99" w:rsidRPr="00CB027F">
        <w:rPr>
          <w:bCs/>
          <w:color w:val="000000"/>
        </w:rPr>
        <w:t xml:space="preserve"> </w:t>
      </w:r>
      <w:r w:rsidR="00662E91" w:rsidRPr="00CB027F">
        <w:rPr>
          <w:bCs/>
          <w:color w:val="000000"/>
        </w:rPr>
        <w:t>...............................................................................</w:t>
      </w:r>
      <w:r w:rsidR="00BB3D99" w:rsidRPr="00CB027F">
        <w:rPr>
          <w:bCs/>
          <w:color w:val="000000"/>
        </w:rPr>
        <w:t>(30)</w:t>
      </w:r>
    </w:p>
    <w:p w:rsidR="006956CC" w:rsidRPr="00CB027F" w:rsidRDefault="006956CC" w:rsidP="006956CC">
      <w:pPr>
        <w:pStyle w:val="NormalWeb"/>
        <w:spacing w:before="0" w:beforeAutospacing="0" w:after="0" w:afterAutospacing="0" w:line="480" w:lineRule="auto"/>
        <w:jc w:val="both"/>
      </w:pPr>
      <w:r w:rsidRPr="00CB027F">
        <w:rPr>
          <w:b/>
          <w:bCs/>
          <w:color w:val="000000"/>
        </w:rPr>
        <w:t>Caso Bulacio Vs. Argentina</w:t>
      </w:r>
      <w:r w:rsidRPr="00CB027F">
        <w:rPr>
          <w:color w:val="000000"/>
        </w:rPr>
        <w:t>, 2003</w:t>
      </w:r>
      <w:r w:rsidR="009467CD" w:rsidRPr="00CB027F">
        <w:rPr>
          <w:color w:val="000000"/>
        </w:rPr>
        <w:t>.</w:t>
      </w:r>
      <w:r w:rsidR="007B527F" w:rsidRPr="00CB027F">
        <w:rPr>
          <w:color w:val="000000"/>
        </w:rPr>
        <w:t xml:space="preserve"> </w:t>
      </w:r>
      <w:r w:rsidR="00662E91" w:rsidRPr="00CB027F">
        <w:rPr>
          <w:color w:val="000000"/>
        </w:rPr>
        <w:t>....................................................................................</w:t>
      </w:r>
      <w:r w:rsidR="007B527F" w:rsidRPr="00CB027F">
        <w:rPr>
          <w:color w:val="000000"/>
        </w:rPr>
        <w:t>(31, 35)</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Caballero Delgado e Santana Vs. Colômbia</w:t>
      </w:r>
      <w:r w:rsidRPr="00CB027F">
        <w:rPr>
          <w:color w:val="000000"/>
        </w:rPr>
        <w:t>, 1995</w:t>
      </w:r>
      <w:r w:rsidR="009467CD" w:rsidRPr="00CB027F">
        <w:rPr>
          <w:color w:val="000000"/>
        </w:rPr>
        <w:t>.</w:t>
      </w:r>
      <w:r w:rsidR="007B527F" w:rsidRPr="00CB027F">
        <w:rPr>
          <w:color w:val="000000"/>
        </w:rPr>
        <w:t xml:space="preserve"> </w:t>
      </w:r>
      <w:r w:rsidR="00662E91" w:rsidRPr="00CB027F">
        <w:rPr>
          <w:color w:val="000000"/>
        </w:rPr>
        <w:t>......................................................</w:t>
      </w:r>
      <w:r w:rsidR="007B527F" w:rsidRPr="00CB027F">
        <w:rPr>
          <w:color w:val="000000"/>
        </w:rPr>
        <w:t>(25)</w:t>
      </w:r>
    </w:p>
    <w:p w:rsidR="006956CC" w:rsidRPr="00CB027F" w:rsidRDefault="006956CC" w:rsidP="006956CC">
      <w:pPr>
        <w:pStyle w:val="NormalWeb"/>
        <w:spacing w:before="0" w:beforeAutospacing="0" w:after="0" w:afterAutospacing="0" w:line="480" w:lineRule="auto"/>
        <w:jc w:val="both"/>
      </w:pPr>
      <w:r w:rsidRPr="00CB027F">
        <w:rPr>
          <w:b/>
          <w:bCs/>
          <w:color w:val="000000"/>
        </w:rPr>
        <w:t>Caso Cabrera García e Montiel Flores vs. México</w:t>
      </w:r>
      <w:r w:rsidRPr="00CB027F">
        <w:rPr>
          <w:color w:val="000000"/>
        </w:rPr>
        <w:t>, 2010</w:t>
      </w:r>
      <w:r w:rsidR="009467CD" w:rsidRPr="00CB027F">
        <w:rPr>
          <w:color w:val="000000"/>
        </w:rPr>
        <w:t>.</w:t>
      </w:r>
      <w:r w:rsidR="007B527F" w:rsidRPr="00CB027F">
        <w:rPr>
          <w:color w:val="000000"/>
        </w:rPr>
        <w:t xml:space="preserve"> </w:t>
      </w:r>
      <w:r w:rsidR="00662E91" w:rsidRPr="00CB027F">
        <w:rPr>
          <w:color w:val="000000"/>
        </w:rPr>
        <w:t>..............................................</w:t>
      </w:r>
      <w:r w:rsidR="007B527F" w:rsidRPr="00CB027F">
        <w:rPr>
          <w:color w:val="000000"/>
        </w:rPr>
        <w:t>(28, 35)</w:t>
      </w:r>
    </w:p>
    <w:p w:rsidR="006956CC" w:rsidRPr="00CB027F" w:rsidRDefault="006956CC" w:rsidP="006956CC">
      <w:pPr>
        <w:pStyle w:val="NormalWeb"/>
        <w:spacing w:before="0" w:beforeAutospacing="0" w:after="0" w:afterAutospacing="0" w:line="480" w:lineRule="auto"/>
        <w:rPr>
          <w:b/>
          <w:color w:val="000000"/>
        </w:rPr>
      </w:pPr>
      <w:r w:rsidRPr="00CB027F">
        <w:rPr>
          <w:b/>
          <w:color w:val="000000"/>
        </w:rPr>
        <w:t>Caso Cantoral Benavides Vs. Peru</w:t>
      </w:r>
      <w:r w:rsidRPr="00CB027F">
        <w:rPr>
          <w:color w:val="000000"/>
        </w:rPr>
        <w:t>, 2001</w:t>
      </w:r>
      <w:r w:rsidR="009467CD" w:rsidRPr="00CB027F">
        <w:rPr>
          <w:color w:val="000000"/>
        </w:rPr>
        <w:t>.</w:t>
      </w:r>
      <w:r w:rsidR="007B527F" w:rsidRPr="00CB027F">
        <w:rPr>
          <w:color w:val="000000"/>
        </w:rPr>
        <w:t xml:space="preserve"> </w:t>
      </w:r>
      <w:r w:rsidR="00662E91" w:rsidRPr="00CB027F">
        <w:rPr>
          <w:color w:val="000000"/>
        </w:rPr>
        <w:t>........................................................................</w:t>
      </w:r>
      <w:r w:rsidR="007B527F" w:rsidRPr="00CB027F">
        <w:rPr>
          <w:color w:val="000000"/>
        </w:rPr>
        <w:t>(37, 38)</w:t>
      </w:r>
    </w:p>
    <w:p w:rsidR="006956CC" w:rsidRPr="00CB027F" w:rsidRDefault="006956CC" w:rsidP="006956CC">
      <w:pPr>
        <w:pStyle w:val="NormalWeb"/>
        <w:spacing w:before="0" w:beforeAutospacing="0" w:after="0" w:afterAutospacing="0" w:line="480" w:lineRule="auto"/>
        <w:rPr>
          <w:b/>
          <w:color w:val="000000"/>
        </w:rPr>
      </w:pPr>
      <w:r w:rsidRPr="00CB027F">
        <w:rPr>
          <w:b/>
          <w:color w:val="000000"/>
        </w:rPr>
        <w:lastRenderedPageBreak/>
        <w:t>Caso Cantoral Huamaní e García Santa Cruz Vs. Peru</w:t>
      </w:r>
      <w:r w:rsidRPr="00CB027F">
        <w:rPr>
          <w:color w:val="000000"/>
        </w:rPr>
        <w:t>, 2007</w:t>
      </w:r>
      <w:r w:rsidR="009467CD" w:rsidRPr="00CB027F">
        <w:rPr>
          <w:color w:val="000000"/>
        </w:rPr>
        <w:t>.</w:t>
      </w:r>
      <w:r w:rsidR="007B527F" w:rsidRPr="00CB027F">
        <w:rPr>
          <w:color w:val="000000"/>
        </w:rPr>
        <w:t xml:space="preserve"> </w:t>
      </w:r>
      <w:r w:rsidR="00662E91" w:rsidRPr="00CB027F">
        <w:rPr>
          <w:color w:val="000000"/>
        </w:rPr>
        <w:t>...........................................</w:t>
      </w:r>
      <w:r w:rsidR="007B527F" w:rsidRPr="00CB027F">
        <w:rPr>
          <w:color w:val="000000"/>
        </w:rPr>
        <w:t>(30)</w:t>
      </w:r>
    </w:p>
    <w:p w:rsidR="006956CC" w:rsidRPr="00CB027F" w:rsidRDefault="006956CC" w:rsidP="006956CC">
      <w:pPr>
        <w:pStyle w:val="NormalWeb"/>
        <w:spacing w:before="0" w:beforeAutospacing="0" w:after="0" w:afterAutospacing="0" w:line="480" w:lineRule="auto"/>
      </w:pPr>
      <w:r w:rsidRPr="00CB027F">
        <w:rPr>
          <w:b/>
          <w:color w:val="000000"/>
        </w:rPr>
        <w:t xml:space="preserve">Caso </w:t>
      </w:r>
      <w:r w:rsidRPr="00CB027F">
        <w:rPr>
          <w:b/>
          <w:bCs/>
          <w:color w:val="000000"/>
        </w:rPr>
        <w:t>Carpio Nicolle e outros</w:t>
      </w:r>
      <w:r w:rsidRPr="00CB027F">
        <w:rPr>
          <w:b/>
          <w:color w:val="000000"/>
        </w:rPr>
        <w:t xml:space="preserve"> Vs. Guatemala</w:t>
      </w:r>
      <w:r w:rsidRPr="00CB027F">
        <w:rPr>
          <w:color w:val="000000"/>
        </w:rPr>
        <w:t>, 2004</w:t>
      </w:r>
      <w:r w:rsidR="009467CD" w:rsidRPr="00CB027F">
        <w:rPr>
          <w:color w:val="000000"/>
        </w:rPr>
        <w:t>.</w:t>
      </w:r>
      <w:r w:rsidR="007B527F" w:rsidRPr="00CB027F">
        <w:rPr>
          <w:color w:val="000000"/>
        </w:rPr>
        <w:t xml:space="preserve"> </w:t>
      </w:r>
      <w:r w:rsidR="00662E91" w:rsidRPr="00CB027F">
        <w:rPr>
          <w:color w:val="000000"/>
        </w:rPr>
        <w:t>..............................................................</w:t>
      </w:r>
      <w:r w:rsidR="007B527F" w:rsidRPr="00CB027F">
        <w:rPr>
          <w:color w:val="000000"/>
        </w:rPr>
        <w:t>(40)</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 xml:space="preserve">Caso Castillo Petruzzi e outros Vs. Peru, </w:t>
      </w:r>
      <w:r w:rsidR="009467CD" w:rsidRPr="00CB027F">
        <w:rPr>
          <w:color w:val="000000"/>
        </w:rPr>
        <w:t>1998.</w:t>
      </w:r>
      <w:r w:rsidRPr="00CB027F">
        <w:rPr>
          <w:color w:val="000000"/>
        </w:rPr>
        <w:t xml:space="preserve"> </w:t>
      </w:r>
      <w:r w:rsidR="00662E91" w:rsidRPr="00CB027F">
        <w:rPr>
          <w:color w:val="000000"/>
        </w:rPr>
        <w:t>...............................................................</w:t>
      </w:r>
      <w:r w:rsidR="007B527F" w:rsidRPr="00CB027F">
        <w:rPr>
          <w:color w:val="000000"/>
        </w:rPr>
        <w:t>(12, 27)</w:t>
      </w:r>
    </w:p>
    <w:p w:rsidR="006956CC" w:rsidRPr="00CB027F" w:rsidRDefault="006956CC" w:rsidP="006956CC">
      <w:pPr>
        <w:pStyle w:val="NormalWeb"/>
        <w:spacing w:before="0" w:beforeAutospacing="0" w:after="0" w:afterAutospacing="0" w:line="480" w:lineRule="auto"/>
        <w:rPr>
          <w:b/>
          <w:bCs/>
          <w:color w:val="000000"/>
        </w:rPr>
      </w:pPr>
      <w:r w:rsidRPr="00CB027F">
        <w:rPr>
          <w:b/>
          <w:bCs/>
          <w:color w:val="000000"/>
        </w:rPr>
        <w:t>Caso Cinco Pensionistas</w:t>
      </w:r>
      <w:r w:rsidRPr="00CB027F">
        <w:rPr>
          <w:color w:val="000000"/>
        </w:rPr>
        <w:t xml:space="preserve"> </w:t>
      </w:r>
      <w:r w:rsidRPr="00CB027F">
        <w:rPr>
          <w:b/>
          <w:color w:val="000000"/>
        </w:rPr>
        <w:t>Vs. Peru</w:t>
      </w:r>
      <w:r w:rsidRPr="00CB027F">
        <w:rPr>
          <w:color w:val="000000"/>
        </w:rPr>
        <w:t>, 2003</w:t>
      </w:r>
      <w:r w:rsidR="009467CD" w:rsidRPr="00CB027F">
        <w:rPr>
          <w:color w:val="000000"/>
        </w:rPr>
        <w:t>.</w:t>
      </w:r>
      <w:r w:rsidR="006073BD" w:rsidRPr="00CB027F">
        <w:rPr>
          <w:color w:val="000000"/>
        </w:rPr>
        <w:t xml:space="preserve"> </w:t>
      </w:r>
      <w:r w:rsidR="00662E91" w:rsidRPr="00CB027F">
        <w:rPr>
          <w:color w:val="000000"/>
        </w:rPr>
        <w:t>..........................................................................</w:t>
      </w:r>
      <w:r w:rsidR="006073BD" w:rsidRPr="00CB027F">
        <w:rPr>
          <w:color w:val="000000"/>
        </w:rPr>
        <w:t>(30, 34)</w:t>
      </w:r>
    </w:p>
    <w:p w:rsidR="006956CC" w:rsidRPr="00CB027F" w:rsidRDefault="006956CC" w:rsidP="006956CC">
      <w:pPr>
        <w:pStyle w:val="NormalWeb"/>
        <w:spacing w:before="0" w:beforeAutospacing="0" w:after="0" w:afterAutospacing="0" w:line="480" w:lineRule="auto"/>
      </w:pPr>
      <w:r w:rsidRPr="00CB027F">
        <w:rPr>
          <w:b/>
          <w:bCs/>
          <w:color w:val="000000"/>
        </w:rPr>
        <w:t>Caso Chaparro Álvarez e Lapo Íñiguez Vs. Equador</w:t>
      </w:r>
      <w:r w:rsidRPr="00CB027F">
        <w:rPr>
          <w:color w:val="000000"/>
        </w:rPr>
        <w:t>, 2007</w:t>
      </w:r>
      <w:r w:rsidR="009467CD" w:rsidRPr="00CB027F">
        <w:rPr>
          <w:color w:val="000000"/>
        </w:rPr>
        <w:t>.</w:t>
      </w:r>
      <w:r w:rsidR="006073BD" w:rsidRPr="00CB027F">
        <w:rPr>
          <w:color w:val="000000"/>
        </w:rPr>
        <w:t xml:space="preserve"> </w:t>
      </w:r>
      <w:r w:rsidR="00662E91" w:rsidRPr="00CB027F">
        <w:rPr>
          <w:color w:val="000000"/>
        </w:rPr>
        <w:t>.........................................</w:t>
      </w:r>
      <w:r w:rsidR="006073BD" w:rsidRPr="00CB027F">
        <w:rPr>
          <w:color w:val="000000"/>
        </w:rPr>
        <w:t>(23, 26)</w:t>
      </w:r>
    </w:p>
    <w:p w:rsidR="006956CC" w:rsidRPr="00CB027F" w:rsidRDefault="006956CC" w:rsidP="006956CC">
      <w:pPr>
        <w:pStyle w:val="NormalWeb"/>
        <w:spacing w:before="0" w:beforeAutospacing="0" w:after="0" w:afterAutospacing="0" w:line="480" w:lineRule="auto"/>
        <w:jc w:val="both"/>
      </w:pPr>
      <w:r w:rsidRPr="00CB027F">
        <w:rPr>
          <w:b/>
          <w:bCs/>
          <w:color w:val="000000"/>
        </w:rPr>
        <w:t>Caso Chitay Nech e outros Vs. Guatemala</w:t>
      </w:r>
      <w:r w:rsidRPr="00CB027F">
        <w:rPr>
          <w:color w:val="000000"/>
        </w:rPr>
        <w:t>, 2010</w:t>
      </w:r>
      <w:r w:rsidR="009467CD" w:rsidRPr="00CB027F">
        <w:rPr>
          <w:color w:val="000000"/>
        </w:rPr>
        <w:t>.</w:t>
      </w:r>
      <w:r w:rsidR="006073BD" w:rsidRPr="00CB027F">
        <w:rPr>
          <w:color w:val="000000"/>
        </w:rPr>
        <w:t xml:space="preserve"> </w:t>
      </w:r>
      <w:r w:rsidR="00662E91" w:rsidRPr="00CB027F">
        <w:rPr>
          <w:color w:val="000000"/>
        </w:rPr>
        <w:t>.........................................</w:t>
      </w:r>
      <w:r w:rsidR="006073BD" w:rsidRPr="00CB027F">
        <w:rPr>
          <w:color w:val="000000"/>
        </w:rPr>
        <w:t>(21, 22, 28, 35, 38)</w:t>
      </w:r>
    </w:p>
    <w:p w:rsidR="006956CC" w:rsidRPr="00CB027F" w:rsidRDefault="006956CC" w:rsidP="006956CC">
      <w:pPr>
        <w:pStyle w:val="NormalWeb"/>
        <w:spacing w:before="0" w:beforeAutospacing="0" w:after="0" w:afterAutospacing="0" w:line="480" w:lineRule="auto"/>
        <w:rPr>
          <w:b/>
          <w:bCs/>
          <w:color w:val="000000"/>
        </w:rPr>
      </w:pPr>
      <w:r w:rsidRPr="00CB027F">
        <w:rPr>
          <w:b/>
          <w:bCs/>
          <w:color w:val="000000"/>
        </w:rPr>
        <w:t>Caso Comunidade Indígena Sawhoyamaxa Vs. Paraguai</w:t>
      </w:r>
      <w:r w:rsidRPr="00CB027F">
        <w:rPr>
          <w:bCs/>
          <w:color w:val="000000"/>
        </w:rPr>
        <w:t>, 2006</w:t>
      </w:r>
      <w:r w:rsidR="009467CD" w:rsidRPr="00CB027F">
        <w:rPr>
          <w:bCs/>
          <w:color w:val="000000"/>
        </w:rPr>
        <w:t>.</w:t>
      </w:r>
      <w:r w:rsidR="006073BD" w:rsidRPr="00CB027F">
        <w:rPr>
          <w:bCs/>
          <w:color w:val="000000"/>
        </w:rPr>
        <w:t xml:space="preserve"> </w:t>
      </w:r>
      <w:r w:rsidR="00662E91" w:rsidRPr="00CB027F">
        <w:rPr>
          <w:bCs/>
          <w:color w:val="000000"/>
        </w:rPr>
        <w:t>.........................................</w:t>
      </w:r>
      <w:r w:rsidR="006073BD" w:rsidRPr="00CB027F">
        <w:rPr>
          <w:bCs/>
          <w:color w:val="000000"/>
        </w:rPr>
        <w:t>(24)</w:t>
      </w:r>
    </w:p>
    <w:p w:rsidR="006956CC" w:rsidRPr="00CB027F" w:rsidRDefault="006956CC" w:rsidP="006956CC">
      <w:pPr>
        <w:pStyle w:val="NormalWeb"/>
        <w:spacing w:before="0" w:beforeAutospacing="0" w:after="0" w:afterAutospacing="0" w:line="480" w:lineRule="auto"/>
      </w:pPr>
      <w:r w:rsidRPr="00CB027F">
        <w:rPr>
          <w:b/>
          <w:bCs/>
          <w:color w:val="000000"/>
        </w:rPr>
        <w:t>Caso Contreras e outros Vs. El Salvador</w:t>
      </w:r>
      <w:r w:rsidRPr="00CB027F">
        <w:rPr>
          <w:iCs/>
          <w:color w:val="000000"/>
        </w:rPr>
        <w:t>, 2011</w:t>
      </w:r>
      <w:r w:rsidR="009467CD" w:rsidRPr="00CB027F">
        <w:rPr>
          <w:iCs/>
          <w:color w:val="000000"/>
        </w:rPr>
        <w:t>.</w:t>
      </w:r>
      <w:r w:rsidR="006073BD" w:rsidRPr="00CB027F">
        <w:rPr>
          <w:iCs/>
          <w:color w:val="000000"/>
        </w:rPr>
        <w:t xml:space="preserve"> </w:t>
      </w:r>
      <w:r w:rsidR="00662E91" w:rsidRPr="00CB027F">
        <w:rPr>
          <w:iCs/>
          <w:color w:val="000000"/>
        </w:rPr>
        <w:t>..............................................................</w:t>
      </w:r>
      <w:r w:rsidR="006073BD" w:rsidRPr="00CB027F">
        <w:rPr>
          <w:iCs/>
          <w:color w:val="000000"/>
        </w:rPr>
        <w:t>(19, 29)</w:t>
      </w:r>
    </w:p>
    <w:p w:rsidR="006956CC" w:rsidRPr="00CB027F" w:rsidRDefault="006956CC" w:rsidP="006956CC">
      <w:pPr>
        <w:pStyle w:val="NormalWeb"/>
        <w:spacing w:before="0" w:beforeAutospacing="0" w:after="0" w:afterAutospacing="0" w:line="480" w:lineRule="auto"/>
        <w:jc w:val="both"/>
        <w:rPr>
          <w:b/>
          <w:bCs/>
          <w:color w:val="000000"/>
        </w:rPr>
      </w:pPr>
      <w:r w:rsidRPr="00CB027F">
        <w:rPr>
          <w:b/>
          <w:bCs/>
          <w:color w:val="000000"/>
        </w:rPr>
        <w:t>Caso Durand e Ugarte Vs. Peru</w:t>
      </w:r>
      <w:r w:rsidRPr="00CB027F">
        <w:rPr>
          <w:bCs/>
          <w:color w:val="000000"/>
        </w:rPr>
        <w:t>, 2000</w:t>
      </w:r>
      <w:r w:rsidR="009467CD" w:rsidRPr="00CB027F">
        <w:rPr>
          <w:bCs/>
          <w:color w:val="000000"/>
        </w:rPr>
        <w:t>.</w:t>
      </w:r>
      <w:r w:rsidR="006073BD" w:rsidRPr="00CB027F">
        <w:rPr>
          <w:bCs/>
          <w:color w:val="000000"/>
        </w:rPr>
        <w:t xml:space="preserve"> </w:t>
      </w:r>
      <w:r w:rsidR="00662E91" w:rsidRPr="00CB027F">
        <w:rPr>
          <w:bCs/>
          <w:color w:val="000000"/>
        </w:rPr>
        <w:t>.......................................................................</w:t>
      </w:r>
      <w:r w:rsidR="006073BD" w:rsidRPr="00CB027F">
        <w:rPr>
          <w:bCs/>
          <w:color w:val="000000"/>
        </w:rPr>
        <w:t>(27, 32, 35)</w:t>
      </w:r>
    </w:p>
    <w:p w:rsidR="006956CC" w:rsidRPr="00CB027F" w:rsidRDefault="006956CC" w:rsidP="006956CC">
      <w:pPr>
        <w:pStyle w:val="NormalWeb"/>
        <w:spacing w:before="0" w:beforeAutospacing="0" w:after="0" w:afterAutospacing="0" w:line="480" w:lineRule="auto"/>
        <w:jc w:val="both"/>
        <w:rPr>
          <w:b/>
          <w:bCs/>
          <w:color w:val="000000"/>
        </w:rPr>
      </w:pPr>
      <w:r w:rsidRPr="00CB027F">
        <w:rPr>
          <w:b/>
          <w:bCs/>
          <w:color w:val="000000"/>
        </w:rPr>
        <w:t>Caso Escué Zapata Vs. Colômbia</w:t>
      </w:r>
      <w:r w:rsidRPr="00CB027F">
        <w:rPr>
          <w:bCs/>
          <w:color w:val="000000"/>
        </w:rPr>
        <w:t>, 2007</w:t>
      </w:r>
      <w:r w:rsidR="009467CD" w:rsidRPr="00CB027F">
        <w:rPr>
          <w:bCs/>
          <w:color w:val="000000"/>
        </w:rPr>
        <w:t>.</w:t>
      </w:r>
      <w:r w:rsidR="006073BD" w:rsidRPr="00CB027F">
        <w:rPr>
          <w:bCs/>
          <w:color w:val="000000"/>
        </w:rPr>
        <w:t xml:space="preserve"> </w:t>
      </w:r>
      <w:r w:rsidR="00662E91" w:rsidRPr="00CB027F">
        <w:rPr>
          <w:bCs/>
          <w:color w:val="000000"/>
        </w:rPr>
        <w:t>................................................................................</w:t>
      </w:r>
      <w:r w:rsidR="006073BD" w:rsidRPr="00CB027F">
        <w:rPr>
          <w:bCs/>
          <w:color w:val="000000"/>
        </w:rPr>
        <w:t>(30)</w:t>
      </w:r>
    </w:p>
    <w:p w:rsidR="006956CC" w:rsidRPr="00CB027F" w:rsidRDefault="006956CC" w:rsidP="006956CC">
      <w:pPr>
        <w:pStyle w:val="NormalWeb"/>
        <w:spacing w:before="0" w:beforeAutospacing="0" w:after="0" w:afterAutospacing="0" w:line="480" w:lineRule="auto"/>
        <w:jc w:val="both"/>
        <w:rPr>
          <w:color w:val="000000"/>
        </w:rPr>
      </w:pPr>
      <w:r w:rsidRPr="00CB027F">
        <w:rPr>
          <w:b/>
          <w:color w:val="000000"/>
        </w:rPr>
        <w:t>Caso Família Barrios Vs. Venezuela</w:t>
      </w:r>
      <w:r w:rsidRPr="00CB027F">
        <w:rPr>
          <w:color w:val="000000"/>
        </w:rPr>
        <w:t>, 2011</w:t>
      </w:r>
      <w:r w:rsidR="009467CD" w:rsidRPr="00CB027F">
        <w:rPr>
          <w:color w:val="000000"/>
        </w:rPr>
        <w:t>.</w:t>
      </w:r>
      <w:r w:rsidR="008A187E" w:rsidRPr="00CB027F">
        <w:rPr>
          <w:color w:val="000000"/>
        </w:rPr>
        <w:t xml:space="preserve"> </w:t>
      </w:r>
      <w:r w:rsidR="00662E91" w:rsidRPr="00CB027F">
        <w:rPr>
          <w:color w:val="000000"/>
        </w:rPr>
        <w:t>.....................................................................</w:t>
      </w:r>
      <w:r w:rsidR="008A187E" w:rsidRPr="00CB027F">
        <w:rPr>
          <w:color w:val="000000"/>
        </w:rPr>
        <w:t>(27, 33)</w:t>
      </w:r>
    </w:p>
    <w:p w:rsidR="006956CC" w:rsidRPr="00CB027F" w:rsidRDefault="006956CC" w:rsidP="006956CC">
      <w:pPr>
        <w:pStyle w:val="NormalWeb"/>
        <w:spacing w:before="0" w:beforeAutospacing="0" w:after="0" w:afterAutospacing="0" w:line="480" w:lineRule="auto"/>
        <w:jc w:val="both"/>
        <w:rPr>
          <w:color w:val="000000"/>
        </w:rPr>
      </w:pPr>
      <w:r w:rsidRPr="00CB027F">
        <w:rPr>
          <w:b/>
          <w:color w:val="000000"/>
        </w:rPr>
        <w:t>Caso Fleury e outros Vs. Haiti</w:t>
      </w:r>
      <w:r w:rsidRPr="00CB027F">
        <w:rPr>
          <w:color w:val="000000"/>
        </w:rPr>
        <w:t>, 2011</w:t>
      </w:r>
      <w:r w:rsidR="009467CD" w:rsidRPr="00CB027F">
        <w:rPr>
          <w:color w:val="000000"/>
        </w:rPr>
        <w:t>.</w:t>
      </w:r>
      <w:r w:rsidR="008A187E" w:rsidRPr="00CB027F">
        <w:rPr>
          <w:color w:val="000000"/>
        </w:rPr>
        <w:t xml:space="preserve"> </w:t>
      </w:r>
      <w:r w:rsidR="00662E91" w:rsidRPr="00CB027F">
        <w:rPr>
          <w:color w:val="000000"/>
        </w:rPr>
        <w:t>...............................................................................</w:t>
      </w:r>
      <w:r w:rsidR="008A187E" w:rsidRPr="00CB027F">
        <w:rPr>
          <w:color w:val="000000"/>
        </w:rPr>
        <w:t>(19, 28)</w:t>
      </w:r>
    </w:p>
    <w:p w:rsidR="006956CC" w:rsidRPr="00CB027F" w:rsidRDefault="006956CC" w:rsidP="006956CC">
      <w:pPr>
        <w:pStyle w:val="NormalWeb"/>
        <w:spacing w:before="0" w:beforeAutospacing="0" w:after="0" w:afterAutospacing="0" w:line="480" w:lineRule="auto"/>
        <w:jc w:val="both"/>
      </w:pPr>
      <w:r w:rsidRPr="00CB027F">
        <w:rPr>
          <w:b/>
        </w:rPr>
        <w:t>Caso Gangaram Panday Vs. Suriname</w:t>
      </w:r>
      <w:r w:rsidRPr="00CB027F">
        <w:t>, 1994</w:t>
      </w:r>
      <w:r w:rsidR="009467CD" w:rsidRPr="00CB027F">
        <w:t>.</w:t>
      </w:r>
      <w:r w:rsidR="008A187E" w:rsidRPr="00CB027F">
        <w:t xml:space="preserve"> </w:t>
      </w:r>
      <w:r w:rsidR="00662E91" w:rsidRPr="00CB027F">
        <w:t>.......................................................................</w:t>
      </w:r>
      <w:r w:rsidR="008A187E" w:rsidRPr="00CB027F">
        <w:t>(22)</w:t>
      </w:r>
    </w:p>
    <w:p w:rsidR="006956CC" w:rsidRPr="00CB027F" w:rsidRDefault="006956CC" w:rsidP="006956CC">
      <w:pPr>
        <w:pStyle w:val="NormalWeb"/>
        <w:spacing w:before="0" w:beforeAutospacing="0" w:after="0" w:afterAutospacing="0" w:line="480" w:lineRule="auto"/>
        <w:jc w:val="both"/>
      </w:pPr>
      <w:r w:rsidRPr="00CB027F">
        <w:rPr>
          <w:b/>
        </w:rPr>
        <w:t>Caso Garibaldi Vs. Brasil</w:t>
      </w:r>
      <w:r w:rsidRPr="00CB027F">
        <w:t>, 2009</w:t>
      </w:r>
      <w:r w:rsidR="009467CD" w:rsidRPr="00CB027F">
        <w:t>.</w:t>
      </w:r>
      <w:r w:rsidR="008A187E" w:rsidRPr="00CB027F">
        <w:t xml:space="preserve"> </w:t>
      </w:r>
      <w:r w:rsidR="00662E91" w:rsidRPr="00CB027F">
        <w:t>.............................................................................................</w:t>
      </w:r>
      <w:r w:rsidR="008A187E" w:rsidRPr="00CB027F">
        <w:t>(32)</w:t>
      </w:r>
    </w:p>
    <w:p w:rsidR="006956CC" w:rsidRPr="00CB027F" w:rsidRDefault="006956CC" w:rsidP="006956CC">
      <w:pPr>
        <w:pStyle w:val="NormalWeb"/>
        <w:spacing w:before="0" w:beforeAutospacing="0" w:after="0" w:afterAutospacing="0" w:line="480" w:lineRule="auto"/>
        <w:jc w:val="both"/>
      </w:pPr>
      <w:r w:rsidRPr="00CB027F">
        <w:rPr>
          <w:b/>
        </w:rPr>
        <w:t>Caso Gelman Vs. Uruguai</w:t>
      </w:r>
      <w:r w:rsidRPr="00CB027F">
        <w:t>, 2011</w:t>
      </w:r>
      <w:r w:rsidR="009467CD" w:rsidRPr="00CB027F">
        <w:t>.</w:t>
      </w:r>
      <w:r w:rsidR="008A187E" w:rsidRPr="00CB027F">
        <w:t xml:space="preserve"> </w:t>
      </w:r>
      <w:r w:rsidR="00662E91" w:rsidRPr="00CB027F">
        <w:t>................................................................................</w:t>
      </w:r>
      <w:r w:rsidR="008A187E" w:rsidRPr="00CB027F">
        <w:t>(18, 23, 37)</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Godínez Cruz Vs. Honduras</w:t>
      </w:r>
      <w:r w:rsidRPr="00CB027F">
        <w:rPr>
          <w:color w:val="000000"/>
        </w:rPr>
        <w:t>, 1989</w:t>
      </w:r>
      <w:r w:rsidR="009467CD" w:rsidRPr="00CB027F">
        <w:rPr>
          <w:color w:val="000000"/>
        </w:rPr>
        <w:t>.</w:t>
      </w:r>
      <w:r w:rsidR="008A187E" w:rsidRPr="00CB027F">
        <w:rPr>
          <w:color w:val="000000"/>
        </w:rPr>
        <w:t xml:space="preserve"> </w:t>
      </w:r>
      <w:r w:rsidR="00662E91" w:rsidRPr="00CB027F">
        <w:rPr>
          <w:color w:val="000000"/>
        </w:rPr>
        <w:t>.........................................................................</w:t>
      </w:r>
      <w:r w:rsidR="008A187E" w:rsidRPr="00CB027F">
        <w:rPr>
          <w:color w:val="000000"/>
        </w:rPr>
        <w:t>(15, 18)</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Goiburú e outros Vs. Paraguai</w:t>
      </w:r>
      <w:r w:rsidRPr="00CB027F">
        <w:rPr>
          <w:color w:val="000000"/>
        </w:rPr>
        <w:t>, 2006</w:t>
      </w:r>
      <w:r w:rsidR="009467CD" w:rsidRPr="00CB027F">
        <w:rPr>
          <w:color w:val="000000"/>
        </w:rPr>
        <w:t>.</w:t>
      </w:r>
      <w:r w:rsidR="008A187E" w:rsidRPr="00CB027F">
        <w:rPr>
          <w:color w:val="000000"/>
        </w:rPr>
        <w:t xml:space="preserve"> </w:t>
      </w:r>
      <w:r w:rsidR="00662E91" w:rsidRPr="00CB027F">
        <w:rPr>
          <w:color w:val="000000"/>
        </w:rPr>
        <w:t>...........................................................................</w:t>
      </w:r>
      <w:r w:rsidR="008A187E" w:rsidRPr="00CB027F">
        <w:rPr>
          <w:color w:val="000000"/>
        </w:rPr>
        <w:t>(22)</w:t>
      </w:r>
    </w:p>
    <w:p w:rsidR="006956CC" w:rsidRPr="00FA5FC8" w:rsidRDefault="006956CC" w:rsidP="006956CC">
      <w:pPr>
        <w:pStyle w:val="NormalWeb"/>
        <w:spacing w:before="0" w:beforeAutospacing="0" w:after="0" w:afterAutospacing="0" w:line="480" w:lineRule="auto"/>
        <w:jc w:val="both"/>
        <w:rPr>
          <w:lang w:val="es-CO"/>
        </w:rPr>
      </w:pPr>
      <w:r w:rsidRPr="00CB027F">
        <w:rPr>
          <w:b/>
          <w:bCs/>
          <w:color w:val="000000"/>
        </w:rPr>
        <w:t xml:space="preserve">Caso Gomes Lund e outros Vs. </w:t>
      </w:r>
      <w:r w:rsidRPr="00FA5FC8">
        <w:rPr>
          <w:b/>
          <w:bCs/>
          <w:color w:val="000000"/>
          <w:lang w:val="es-CO"/>
        </w:rPr>
        <w:t>Brasil</w:t>
      </w:r>
      <w:r w:rsidRPr="00FA5FC8">
        <w:rPr>
          <w:color w:val="000000"/>
          <w:lang w:val="es-CO"/>
        </w:rPr>
        <w:t>, 2010</w:t>
      </w:r>
      <w:r w:rsidR="009467CD" w:rsidRPr="00FA5FC8">
        <w:rPr>
          <w:color w:val="000000"/>
          <w:lang w:val="es-CO"/>
        </w:rPr>
        <w:t>.</w:t>
      </w:r>
      <w:r w:rsidR="003B4F15" w:rsidRPr="00FA5FC8">
        <w:rPr>
          <w:color w:val="000000"/>
          <w:lang w:val="es-CO"/>
        </w:rPr>
        <w:t xml:space="preserve"> </w:t>
      </w:r>
      <w:r w:rsidR="00662E91" w:rsidRPr="00FA5FC8">
        <w:rPr>
          <w:color w:val="000000"/>
          <w:lang w:val="es-CO"/>
        </w:rPr>
        <w:t>.......................................................</w:t>
      </w:r>
      <w:r w:rsidR="003B4F15" w:rsidRPr="00FA5FC8">
        <w:rPr>
          <w:color w:val="000000"/>
          <w:lang w:val="es-CO"/>
        </w:rPr>
        <w:t>(16, 21, 37, 38)</w:t>
      </w:r>
    </w:p>
    <w:p w:rsidR="006956CC" w:rsidRPr="00462775" w:rsidRDefault="006956CC" w:rsidP="006956CC">
      <w:pPr>
        <w:pStyle w:val="NormalWeb"/>
        <w:spacing w:before="0" w:beforeAutospacing="0" w:after="0" w:afterAutospacing="0" w:line="480" w:lineRule="auto"/>
        <w:rPr>
          <w:lang w:val="es-CO"/>
        </w:rPr>
      </w:pPr>
      <w:r w:rsidRPr="00FA5FC8">
        <w:rPr>
          <w:b/>
          <w:bCs/>
          <w:color w:val="000000"/>
          <w:lang w:val="es-CO"/>
        </w:rPr>
        <w:t xml:space="preserve">Caso González Medina Vs. </w:t>
      </w:r>
      <w:r w:rsidRPr="00462775">
        <w:rPr>
          <w:b/>
          <w:bCs/>
          <w:color w:val="000000"/>
          <w:lang w:val="es-CO"/>
        </w:rPr>
        <w:t>República Dominicana</w:t>
      </w:r>
      <w:r w:rsidRPr="00462775">
        <w:rPr>
          <w:color w:val="000000"/>
          <w:lang w:val="es-CO"/>
        </w:rPr>
        <w:t>, 2012</w:t>
      </w:r>
      <w:r w:rsidR="009467CD" w:rsidRPr="00462775">
        <w:rPr>
          <w:color w:val="000000"/>
          <w:lang w:val="es-CO"/>
        </w:rPr>
        <w:t>.</w:t>
      </w:r>
      <w:r w:rsidR="003B4F15" w:rsidRPr="00462775">
        <w:rPr>
          <w:color w:val="000000"/>
          <w:lang w:val="es-CO"/>
        </w:rPr>
        <w:t xml:space="preserve"> </w:t>
      </w:r>
      <w:r w:rsidR="00662E91" w:rsidRPr="00462775">
        <w:rPr>
          <w:color w:val="000000"/>
          <w:lang w:val="es-CO"/>
        </w:rPr>
        <w:t>...........................</w:t>
      </w:r>
      <w:r w:rsidR="003B4F15" w:rsidRPr="00462775">
        <w:rPr>
          <w:color w:val="000000"/>
          <w:lang w:val="es-CO"/>
        </w:rPr>
        <w:t>(17, 19, 28, 33, 37)</w:t>
      </w:r>
    </w:p>
    <w:p w:rsidR="006956CC" w:rsidRPr="00CB027F" w:rsidRDefault="006956CC" w:rsidP="006956CC">
      <w:pPr>
        <w:pStyle w:val="NormalWeb"/>
        <w:spacing w:before="0" w:beforeAutospacing="0" w:after="0" w:afterAutospacing="0" w:line="480" w:lineRule="auto"/>
        <w:rPr>
          <w:color w:val="000000"/>
        </w:rPr>
      </w:pPr>
      <w:r w:rsidRPr="00CB027F">
        <w:rPr>
          <w:b/>
          <w:color w:val="000000"/>
        </w:rPr>
        <w:t xml:space="preserve">Caso </w:t>
      </w:r>
      <w:r w:rsidRPr="00CB027F">
        <w:rPr>
          <w:b/>
          <w:iCs/>
          <w:color w:val="000000"/>
        </w:rPr>
        <w:t>González e outras (Campo Algodonero) Vs. México</w:t>
      </w:r>
      <w:r w:rsidRPr="00CB027F">
        <w:rPr>
          <w:color w:val="000000"/>
        </w:rPr>
        <w:t>, 2009</w:t>
      </w:r>
      <w:r w:rsidR="009467CD" w:rsidRPr="00CB027F">
        <w:rPr>
          <w:color w:val="000000"/>
        </w:rPr>
        <w:t>.</w:t>
      </w:r>
      <w:r w:rsidR="003B4F15" w:rsidRPr="00CB027F">
        <w:rPr>
          <w:color w:val="000000"/>
        </w:rPr>
        <w:t xml:space="preserve"> </w:t>
      </w:r>
      <w:r w:rsidR="00662E91" w:rsidRPr="00CB027F">
        <w:rPr>
          <w:color w:val="000000"/>
        </w:rPr>
        <w:t>........................................</w:t>
      </w:r>
      <w:r w:rsidR="003B4F15" w:rsidRPr="00CB027F">
        <w:rPr>
          <w:color w:val="000000"/>
        </w:rPr>
        <w:t>(28)</w:t>
      </w:r>
    </w:p>
    <w:p w:rsidR="006956CC" w:rsidRPr="00CB027F" w:rsidRDefault="006956CC" w:rsidP="006956CC">
      <w:pPr>
        <w:pStyle w:val="NormalWeb"/>
        <w:spacing w:before="0" w:beforeAutospacing="0" w:after="0" w:afterAutospacing="0" w:line="480" w:lineRule="auto"/>
        <w:rPr>
          <w:color w:val="000000"/>
        </w:rPr>
      </w:pPr>
      <w:r w:rsidRPr="00CB027F">
        <w:rPr>
          <w:b/>
          <w:color w:val="000000"/>
        </w:rPr>
        <w:t>Caso Gudiel Álvarez e outros Vs. Guatemala</w:t>
      </w:r>
      <w:r w:rsidRPr="00CB027F">
        <w:rPr>
          <w:color w:val="000000"/>
        </w:rPr>
        <w:t>, 2012</w:t>
      </w:r>
      <w:r w:rsidR="009467CD" w:rsidRPr="00CB027F">
        <w:rPr>
          <w:color w:val="000000"/>
        </w:rPr>
        <w:t>.</w:t>
      </w:r>
      <w:r w:rsidR="003B4F15" w:rsidRPr="00CB027F">
        <w:rPr>
          <w:color w:val="000000"/>
        </w:rPr>
        <w:t xml:space="preserve"> </w:t>
      </w:r>
      <w:r w:rsidR="00662E91" w:rsidRPr="00CB027F">
        <w:rPr>
          <w:color w:val="000000"/>
        </w:rPr>
        <w:t>.............................................................</w:t>
      </w:r>
      <w:r w:rsidR="003B4F15" w:rsidRPr="00CB027F">
        <w:rPr>
          <w:color w:val="000000"/>
        </w:rPr>
        <w:t>(37)</w:t>
      </w:r>
    </w:p>
    <w:p w:rsidR="006956CC" w:rsidRPr="00CB027F" w:rsidRDefault="00AD76AD" w:rsidP="006956CC">
      <w:pPr>
        <w:pStyle w:val="NormalWeb"/>
        <w:spacing w:before="0" w:beforeAutospacing="0" w:after="0" w:afterAutospacing="0" w:line="480" w:lineRule="auto"/>
      </w:pPr>
      <w:r w:rsidRPr="00CB027F">
        <w:rPr>
          <w:b/>
          <w:color w:val="000000"/>
        </w:rPr>
        <w:t>Caso Gu</w:t>
      </w:r>
      <w:r w:rsidR="006956CC" w:rsidRPr="00CB027F">
        <w:rPr>
          <w:b/>
          <w:color w:val="000000"/>
        </w:rPr>
        <w:t>t</w:t>
      </w:r>
      <w:r w:rsidRPr="00CB027F">
        <w:rPr>
          <w:b/>
          <w:color w:val="000000"/>
        </w:rPr>
        <w:t>i</w:t>
      </w:r>
      <w:r w:rsidR="006956CC" w:rsidRPr="00CB027F">
        <w:rPr>
          <w:b/>
          <w:color w:val="000000"/>
        </w:rPr>
        <w:t>érrez e Família Vs. Argentina</w:t>
      </w:r>
      <w:r w:rsidR="006956CC" w:rsidRPr="00CB027F">
        <w:rPr>
          <w:color w:val="000000"/>
        </w:rPr>
        <w:t>, 2013</w:t>
      </w:r>
      <w:r w:rsidR="009467CD" w:rsidRPr="00CB027F">
        <w:rPr>
          <w:color w:val="000000"/>
        </w:rPr>
        <w:t>.</w:t>
      </w:r>
      <w:r w:rsidR="00B01782" w:rsidRPr="00CB027F">
        <w:rPr>
          <w:color w:val="000000"/>
        </w:rPr>
        <w:t xml:space="preserve"> </w:t>
      </w:r>
      <w:r w:rsidR="00662E91" w:rsidRPr="00CB027F">
        <w:rPr>
          <w:color w:val="000000"/>
        </w:rPr>
        <w:t>.....................................................................</w:t>
      </w:r>
      <w:r w:rsidR="00B01782" w:rsidRPr="00CB027F">
        <w:rPr>
          <w:color w:val="000000"/>
        </w:rPr>
        <w:t>(37)</w:t>
      </w:r>
    </w:p>
    <w:p w:rsidR="006956CC" w:rsidRPr="00CB027F" w:rsidRDefault="006956CC" w:rsidP="006956CC">
      <w:pPr>
        <w:pStyle w:val="NormalWeb"/>
        <w:spacing w:before="0" w:beforeAutospacing="0" w:after="0" w:afterAutospacing="0" w:line="480" w:lineRule="auto"/>
      </w:pPr>
      <w:r w:rsidRPr="00CB027F">
        <w:rPr>
          <w:b/>
        </w:rPr>
        <w:t>Caso Herrera Ulloa Vs. Costa Rica</w:t>
      </w:r>
      <w:r w:rsidRPr="00CB027F">
        <w:t>, 2004</w:t>
      </w:r>
      <w:r w:rsidR="009467CD" w:rsidRPr="00CB027F">
        <w:t>.</w:t>
      </w:r>
      <w:r w:rsidR="003B4F15" w:rsidRPr="00CB027F">
        <w:t xml:space="preserve"> </w:t>
      </w:r>
      <w:r w:rsidR="00662E91" w:rsidRPr="00CB027F">
        <w:t>.............................................................................</w:t>
      </w:r>
      <w:r w:rsidR="003B4F15" w:rsidRPr="00CB027F">
        <w:t>(34)</w:t>
      </w:r>
    </w:p>
    <w:p w:rsidR="006956CC" w:rsidRPr="00CB027F" w:rsidRDefault="006956CC" w:rsidP="006956CC">
      <w:pPr>
        <w:pStyle w:val="NormalWeb"/>
        <w:spacing w:before="0" w:beforeAutospacing="0" w:after="0" w:afterAutospacing="0" w:line="480" w:lineRule="auto"/>
        <w:jc w:val="both"/>
      </w:pPr>
      <w:r w:rsidRPr="00CB027F">
        <w:rPr>
          <w:b/>
        </w:rPr>
        <w:lastRenderedPageBreak/>
        <w:t>Caso Huilca Tecse Vs. Peru</w:t>
      </w:r>
      <w:r w:rsidRPr="00CB027F">
        <w:t>, 2005</w:t>
      </w:r>
      <w:r w:rsidR="009467CD" w:rsidRPr="00CB027F">
        <w:t>.</w:t>
      </w:r>
      <w:r w:rsidR="00952B5B" w:rsidRPr="00CB027F">
        <w:t xml:space="preserve"> </w:t>
      </w:r>
      <w:r w:rsidR="00662E91" w:rsidRPr="00CB027F">
        <w:t>..........................................................................................</w:t>
      </w:r>
      <w:r w:rsidR="00952B5B" w:rsidRPr="00CB027F">
        <w:t>(31)</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Ibsen Cárdenas e Ibsen Peña Vs. Bolívia</w:t>
      </w:r>
      <w:r w:rsidRPr="00CB027F">
        <w:rPr>
          <w:color w:val="000000"/>
        </w:rPr>
        <w:t>, 2010</w:t>
      </w:r>
      <w:r w:rsidR="009467CD" w:rsidRPr="00CB027F">
        <w:rPr>
          <w:color w:val="000000"/>
        </w:rPr>
        <w:t>.</w:t>
      </w:r>
      <w:r w:rsidR="00952B5B" w:rsidRPr="00CB027F">
        <w:rPr>
          <w:color w:val="000000"/>
        </w:rPr>
        <w:t xml:space="preserve"> </w:t>
      </w:r>
      <w:r w:rsidR="00662E91" w:rsidRPr="00CB027F">
        <w:rPr>
          <w:color w:val="000000"/>
        </w:rPr>
        <w:t>...............................................</w:t>
      </w:r>
      <w:r w:rsidR="00952B5B" w:rsidRPr="00CB027F">
        <w:rPr>
          <w:color w:val="000000"/>
        </w:rPr>
        <w:t>(18, 21, 37)</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Instituto de Reeducação do Menor Vs. Paraguai,</w:t>
      </w:r>
      <w:r w:rsidR="009467CD" w:rsidRPr="00CB027F">
        <w:rPr>
          <w:color w:val="000000"/>
        </w:rPr>
        <w:t xml:space="preserve"> 2004.</w:t>
      </w:r>
      <w:r w:rsidR="000D75DF" w:rsidRPr="00CB027F">
        <w:rPr>
          <w:color w:val="000000"/>
        </w:rPr>
        <w:t xml:space="preserve"> </w:t>
      </w:r>
      <w:r w:rsidR="00662E91" w:rsidRPr="00CB027F">
        <w:rPr>
          <w:color w:val="000000"/>
        </w:rPr>
        <w:t>..............................................</w:t>
      </w:r>
      <w:r w:rsidR="000D75DF" w:rsidRPr="00CB027F">
        <w:rPr>
          <w:color w:val="000000"/>
        </w:rPr>
        <w:t>(31)</w:t>
      </w:r>
    </w:p>
    <w:p w:rsidR="006956CC" w:rsidRPr="00CB027F" w:rsidRDefault="006956CC" w:rsidP="006956CC">
      <w:pPr>
        <w:pStyle w:val="NormalWeb"/>
        <w:spacing w:before="0" w:beforeAutospacing="0" w:after="0" w:afterAutospacing="0" w:line="480" w:lineRule="auto"/>
        <w:jc w:val="both"/>
        <w:rPr>
          <w:i/>
          <w:iCs/>
          <w:color w:val="000000"/>
        </w:rPr>
      </w:pPr>
      <w:r w:rsidRPr="00CB027F">
        <w:rPr>
          <w:b/>
          <w:iCs/>
          <w:color w:val="000000"/>
        </w:rPr>
        <w:t>Caso das Irmãs Serrano Cruz Vs. El Salvador</w:t>
      </w:r>
      <w:r w:rsidRPr="00CB027F">
        <w:rPr>
          <w:iCs/>
          <w:color w:val="000000"/>
        </w:rPr>
        <w:t>, 2005</w:t>
      </w:r>
      <w:r w:rsidR="009467CD" w:rsidRPr="00CB027F">
        <w:rPr>
          <w:iCs/>
          <w:color w:val="000000"/>
        </w:rPr>
        <w:t>.</w:t>
      </w:r>
      <w:r w:rsidR="00315642" w:rsidRPr="00CB027F">
        <w:rPr>
          <w:iCs/>
          <w:color w:val="000000"/>
        </w:rPr>
        <w:t xml:space="preserve"> </w:t>
      </w:r>
      <w:r w:rsidR="00662E91" w:rsidRPr="00CB027F">
        <w:rPr>
          <w:iCs/>
          <w:color w:val="000000"/>
        </w:rPr>
        <w:t>..........................................................</w:t>
      </w:r>
      <w:r w:rsidR="00315642" w:rsidRPr="00CB027F">
        <w:rPr>
          <w:iCs/>
          <w:color w:val="000000"/>
        </w:rPr>
        <w:t>(29)</w:t>
      </w:r>
      <w:r w:rsidRPr="00CB027F" w:rsidDel="00701499">
        <w:rPr>
          <w:i/>
          <w:iCs/>
          <w:color w:val="000000"/>
        </w:rPr>
        <w:t xml:space="preserve"> </w:t>
      </w:r>
    </w:p>
    <w:p w:rsidR="006956CC" w:rsidRPr="00FA5FC8" w:rsidRDefault="006956CC" w:rsidP="006956CC">
      <w:pPr>
        <w:pStyle w:val="NormalWeb"/>
        <w:spacing w:before="0" w:beforeAutospacing="0" w:after="0" w:afterAutospacing="0" w:line="480" w:lineRule="auto"/>
        <w:jc w:val="both"/>
        <w:rPr>
          <w:color w:val="000000"/>
          <w:lang w:val="es-CO"/>
        </w:rPr>
      </w:pPr>
      <w:r w:rsidRPr="00CB027F">
        <w:rPr>
          <w:b/>
          <w:bCs/>
          <w:color w:val="000000"/>
        </w:rPr>
        <w:t xml:space="preserve">Caso dos Irmãos Gómez Paquiyauri Vs. </w:t>
      </w:r>
      <w:r w:rsidRPr="00FA5FC8">
        <w:rPr>
          <w:b/>
          <w:bCs/>
          <w:color w:val="000000"/>
          <w:lang w:val="es-CO"/>
        </w:rPr>
        <w:t>Peru</w:t>
      </w:r>
      <w:r w:rsidRPr="00FA5FC8">
        <w:rPr>
          <w:color w:val="000000"/>
          <w:lang w:val="es-CO"/>
        </w:rPr>
        <w:t>, 2004</w:t>
      </w:r>
      <w:r w:rsidR="009467CD" w:rsidRPr="00FA5FC8">
        <w:rPr>
          <w:color w:val="000000"/>
          <w:lang w:val="es-CO"/>
        </w:rPr>
        <w:t>.</w:t>
      </w:r>
      <w:r w:rsidR="000D75DF" w:rsidRPr="00FA5FC8">
        <w:rPr>
          <w:color w:val="000000"/>
          <w:lang w:val="es-CO"/>
        </w:rPr>
        <w:t xml:space="preserve"> </w:t>
      </w:r>
      <w:r w:rsidR="00662E91" w:rsidRPr="00FA5FC8">
        <w:rPr>
          <w:color w:val="000000"/>
          <w:lang w:val="es-CO"/>
        </w:rPr>
        <w:t>................................................</w:t>
      </w:r>
      <w:r w:rsidR="000D75DF" w:rsidRPr="00FA5FC8">
        <w:rPr>
          <w:color w:val="000000"/>
          <w:lang w:val="es-CO"/>
        </w:rPr>
        <w:t>(31, 33, 35)</w:t>
      </w:r>
    </w:p>
    <w:p w:rsidR="006956CC" w:rsidRPr="00FA5FC8" w:rsidRDefault="006956CC" w:rsidP="006956CC">
      <w:pPr>
        <w:pStyle w:val="NormalWeb"/>
        <w:spacing w:before="0" w:beforeAutospacing="0" w:after="0" w:afterAutospacing="0" w:line="480" w:lineRule="auto"/>
        <w:jc w:val="both"/>
        <w:rPr>
          <w:lang w:val="es-CO"/>
        </w:rPr>
      </w:pPr>
      <w:r w:rsidRPr="00FA5FC8">
        <w:rPr>
          <w:b/>
          <w:bCs/>
          <w:color w:val="000000"/>
          <w:lang w:val="es-CO"/>
        </w:rPr>
        <w:t>Caso Juan Humberto Sánchez Vs. Honduras</w:t>
      </w:r>
      <w:r w:rsidRPr="00FA5FC8">
        <w:rPr>
          <w:color w:val="000000"/>
          <w:lang w:val="es-CO"/>
        </w:rPr>
        <w:t>, 2003</w:t>
      </w:r>
      <w:r w:rsidR="009467CD" w:rsidRPr="00FA5FC8">
        <w:rPr>
          <w:color w:val="000000"/>
          <w:lang w:val="es-CO"/>
        </w:rPr>
        <w:t>.</w:t>
      </w:r>
      <w:r w:rsidR="00315642" w:rsidRPr="00FA5FC8">
        <w:rPr>
          <w:color w:val="000000"/>
          <w:lang w:val="es-CO"/>
        </w:rPr>
        <w:t xml:space="preserve"> </w:t>
      </w:r>
      <w:r w:rsidR="00662E91" w:rsidRPr="00FA5FC8">
        <w:rPr>
          <w:color w:val="000000"/>
          <w:lang w:val="es-CO"/>
        </w:rPr>
        <w:t>.....................................</w:t>
      </w:r>
      <w:r w:rsidR="00315642" w:rsidRPr="00FA5FC8">
        <w:rPr>
          <w:color w:val="000000"/>
          <w:lang w:val="es-CO"/>
        </w:rPr>
        <w:t>(15, 18, 25, 31, 34)</w:t>
      </w:r>
    </w:p>
    <w:p w:rsidR="006956CC" w:rsidRPr="00FA5FC8" w:rsidRDefault="006956CC" w:rsidP="006956CC">
      <w:pPr>
        <w:pStyle w:val="NormalWeb"/>
        <w:spacing w:before="0" w:beforeAutospacing="0" w:after="0" w:afterAutospacing="0" w:line="480" w:lineRule="auto"/>
        <w:jc w:val="both"/>
        <w:rPr>
          <w:color w:val="000000"/>
          <w:lang w:val="es-CO"/>
        </w:rPr>
      </w:pPr>
      <w:r w:rsidRPr="00FA5FC8">
        <w:rPr>
          <w:b/>
          <w:iCs/>
          <w:color w:val="000000"/>
          <w:lang w:val="es-CO"/>
        </w:rPr>
        <w:t>Caso La Cantuta Vs. Perú,</w:t>
      </w:r>
      <w:r w:rsidRPr="00FA5FC8">
        <w:rPr>
          <w:color w:val="000000"/>
          <w:lang w:val="es-CO"/>
        </w:rPr>
        <w:t xml:space="preserve"> 2006</w:t>
      </w:r>
      <w:r w:rsidR="009467CD" w:rsidRPr="00FA5FC8">
        <w:rPr>
          <w:color w:val="000000"/>
          <w:lang w:val="es-CO"/>
        </w:rPr>
        <w:t>.</w:t>
      </w:r>
      <w:r w:rsidR="00315642" w:rsidRPr="00FA5FC8">
        <w:rPr>
          <w:color w:val="000000"/>
          <w:lang w:val="es-CO"/>
        </w:rPr>
        <w:t xml:space="preserve"> </w:t>
      </w:r>
      <w:r w:rsidR="00662E91" w:rsidRPr="00FA5FC8">
        <w:rPr>
          <w:color w:val="000000"/>
          <w:lang w:val="es-CO"/>
        </w:rPr>
        <w:t>......................................................................................</w:t>
      </w:r>
      <w:r w:rsidR="00315642" w:rsidRPr="00FA5FC8">
        <w:rPr>
          <w:color w:val="000000"/>
          <w:lang w:val="es-CO"/>
        </w:rPr>
        <w:t>(18, 29)</w:t>
      </w:r>
    </w:p>
    <w:p w:rsidR="006956CC" w:rsidRPr="00FA5FC8" w:rsidRDefault="006956CC" w:rsidP="006956CC">
      <w:pPr>
        <w:pStyle w:val="NormalWeb"/>
        <w:spacing w:before="0" w:beforeAutospacing="0" w:after="0" w:afterAutospacing="0" w:line="480" w:lineRule="auto"/>
        <w:jc w:val="both"/>
        <w:rPr>
          <w:color w:val="000000"/>
          <w:lang w:val="es-CO"/>
        </w:rPr>
      </w:pPr>
      <w:r w:rsidRPr="00FA5FC8">
        <w:rPr>
          <w:b/>
          <w:bCs/>
          <w:color w:val="000000"/>
          <w:lang w:val="es-CO"/>
        </w:rPr>
        <w:t>Caso Las Palmeras Vs. Colômbia</w:t>
      </w:r>
      <w:r w:rsidRPr="00FA5FC8">
        <w:rPr>
          <w:color w:val="000000"/>
          <w:lang w:val="es-CO"/>
        </w:rPr>
        <w:t>, 2001</w:t>
      </w:r>
      <w:r w:rsidR="009467CD" w:rsidRPr="00FA5FC8">
        <w:rPr>
          <w:color w:val="000000"/>
          <w:lang w:val="es-CO"/>
        </w:rPr>
        <w:t>.</w:t>
      </w:r>
      <w:r w:rsidRPr="00FA5FC8">
        <w:rPr>
          <w:color w:val="000000"/>
          <w:lang w:val="es-CO"/>
        </w:rPr>
        <w:t xml:space="preserve"> </w:t>
      </w:r>
      <w:r w:rsidR="00662E91" w:rsidRPr="00FA5FC8">
        <w:rPr>
          <w:color w:val="000000"/>
          <w:lang w:val="es-CO"/>
        </w:rPr>
        <w:t>....................................................................</w:t>
      </w:r>
      <w:r w:rsidR="00315642" w:rsidRPr="00FA5FC8">
        <w:rPr>
          <w:color w:val="000000"/>
          <w:lang w:val="es-CO"/>
        </w:rPr>
        <w:t>(27, 32, 35)</w:t>
      </w:r>
    </w:p>
    <w:p w:rsidR="006956CC" w:rsidRPr="00FA5FC8" w:rsidRDefault="006956CC" w:rsidP="006956CC">
      <w:pPr>
        <w:pStyle w:val="NormalWeb"/>
        <w:spacing w:before="0" w:beforeAutospacing="0" w:after="0" w:afterAutospacing="0" w:line="480" w:lineRule="auto"/>
        <w:jc w:val="both"/>
        <w:rPr>
          <w:color w:val="000000"/>
          <w:lang w:val="es-CO"/>
        </w:rPr>
      </w:pPr>
      <w:r w:rsidRPr="00FA5FC8">
        <w:rPr>
          <w:b/>
          <w:bCs/>
          <w:color w:val="000000"/>
          <w:lang w:val="es-CO"/>
        </w:rPr>
        <w:t>Caso Lori Berenson Mejía vs. Perú</w:t>
      </w:r>
      <w:r w:rsidR="009467CD" w:rsidRPr="00FA5FC8">
        <w:rPr>
          <w:color w:val="000000"/>
          <w:lang w:val="es-CO"/>
        </w:rPr>
        <w:t>, 2004.</w:t>
      </w:r>
      <w:r w:rsidR="00B01782" w:rsidRPr="00FA5FC8">
        <w:rPr>
          <w:color w:val="000000"/>
          <w:lang w:val="es-CO"/>
        </w:rPr>
        <w:t xml:space="preserve"> </w:t>
      </w:r>
      <w:r w:rsidR="00662E91" w:rsidRPr="00FA5FC8">
        <w:rPr>
          <w:color w:val="000000"/>
          <w:lang w:val="es-CO"/>
        </w:rPr>
        <w:t>.......................................................................</w:t>
      </w:r>
      <w:r w:rsidR="00B01782" w:rsidRPr="00FA5FC8">
        <w:rPr>
          <w:color w:val="000000"/>
          <w:lang w:val="es-CO"/>
        </w:rPr>
        <w:t>(19, 27)</w:t>
      </w:r>
    </w:p>
    <w:p w:rsidR="006956CC" w:rsidRPr="00FA5FC8" w:rsidRDefault="006956CC" w:rsidP="006956CC">
      <w:pPr>
        <w:pStyle w:val="NormalWeb"/>
        <w:spacing w:before="0" w:beforeAutospacing="0" w:after="0" w:afterAutospacing="0" w:line="480" w:lineRule="auto"/>
        <w:jc w:val="both"/>
        <w:rPr>
          <w:color w:val="000000"/>
          <w:lang w:val="es-CO"/>
        </w:rPr>
      </w:pPr>
      <w:r w:rsidRPr="00FA5FC8">
        <w:rPr>
          <w:b/>
          <w:bCs/>
          <w:color w:val="000000"/>
          <w:lang w:val="es-CO"/>
        </w:rPr>
        <w:t>Caso Loyaza Tomayo Vs. Peru</w:t>
      </w:r>
      <w:r w:rsidRPr="00FA5FC8">
        <w:rPr>
          <w:color w:val="000000"/>
          <w:lang w:val="es-CO"/>
        </w:rPr>
        <w:t>, 1996</w:t>
      </w:r>
      <w:r w:rsidR="009467CD" w:rsidRPr="00FA5FC8">
        <w:rPr>
          <w:color w:val="000000"/>
          <w:lang w:val="es-CO"/>
        </w:rPr>
        <w:t>.</w:t>
      </w:r>
      <w:r w:rsidR="00B01782" w:rsidRPr="00FA5FC8">
        <w:rPr>
          <w:color w:val="000000"/>
          <w:lang w:val="es-CO"/>
        </w:rPr>
        <w:t xml:space="preserve"> </w:t>
      </w:r>
      <w:r w:rsidR="00662E91" w:rsidRPr="00FA5FC8">
        <w:rPr>
          <w:color w:val="000000"/>
          <w:lang w:val="es-CO"/>
        </w:rPr>
        <w:t>....................................................................................</w:t>
      </w:r>
      <w:r w:rsidR="00B01782" w:rsidRPr="00FA5FC8">
        <w:rPr>
          <w:color w:val="000000"/>
          <w:lang w:val="es-CO"/>
        </w:rPr>
        <w:t>(16)</w:t>
      </w:r>
    </w:p>
    <w:p w:rsidR="006956CC" w:rsidRPr="00CB027F" w:rsidRDefault="006956CC" w:rsidP="006956CC">
      <w:pPr>
        <w:pStyle w:val="NormalWeb"/>
        <w:spacing w:before="0" w:beforeAutospacing="0" w:after="0" w:afterAutospacing="0" w:line="480" w:lineRule="auto"/>
        <w:jc w:val="both"/>
        <w:rPr>
          <w:color w:val="000000"/>
        </w:rPr>
      </w:pPr>
      <w:r w:rsidRPr="00CB027F">
        <w:rPr>
          <w:b/>
          <w:bCs/>
          <w:color w:val="000000"/>
        </w:rPr>
        <w:t>Caso Maritza Urrutia Vs. Guatemala</w:t>
      </w:r>
      <w:r w:rsidRPr="00CB027F">
        <w:rPr>
          <w:color w:val="000000"/>
        </w:rPr>
        <w:t>, 2003</w:t>
      </w:r>
      <w:r w:rsidR="009467CD" w:rsidRPr="00CB027F">
        <w:rPr>
          <w:color w:val="000000"/>
        </w:rPr>
        <w:t>.</w:t>
      </w:r>
      <w:r w:rsidR="00B01782" w:rsidRPr="00CB027F">
        <w:rPr>
          <w:color w:val="000000"/>
        </w:rPr>
        <w:t xml:space="preserve"> </w:t>
      </w:r>
      <w:r w:rsidR="00662E91" w:rsidRPr="00CB027F">
        <w:rPr>
          <w:color w:val="000000"/>
        </w:rPr>
        <w:t>.........................................................................</w:t>
      </w:r>
      <w:r w:rsidR="00B01782" w:rsidRPr="00CB027F">
        <w:rPr>
          <w:color w:val="000000"/>
        </w:rPr>
        <w:t>(25)</w:t>
      </w:r>
    </w:p>
    <w:p w:rsidR="006956CC" w:rsidRPr="00CB027F" w:rsidRDefault="006956CC" w:rsidP="006956CC">
      <w:pPr>
        <w:pStyle w:val="NormalWeb"/>
        <w:spacing w:before="0" w:beforeAutospacing="0" w:after="0" w:afterAutospacing="0" w:line="480" w:lineRule="auto"/>
        <w:rPr>
          <w:b/>
          <w:bCs/>
          <w:color w:val="000000"/>
        </w:rPr>
      </w:pPr>
      <w:r w:rsidRPr="00CB027F">
        <w:rPr>
          <w:b/>
          <w:bCs/>
          <w:color w:val="000000"/>
        </w:rPr>
        <w:t>Caso Massacre de Ituango Vs. Colômbia</w:t>
      </w:r>
      <w:r w:rsidRPr="00CB027F">
        <w:rPr>
          <w:bCs/>
          <w:color w:val="000000"/>
        </w:rPr>
        <w:t>, 2006</w:t>
      </w:r>
      <w:r w:rsidR="009467CD" w:rsidRPr="00CB027F">
        <w:rPr>
          <w:bCs/>
          <w:color w:val="000000"/>
        </w:rPr>
        <w:t>.</w:t>
      </w:r>
      <w:r w:rsidR="00B01782" w:rsidRPr="00CB027F">
        <w:rPr>
          <w:bCs/>
          <w:color w:val="000000"/>
        </w:rPr>
        <w:t xml:space="preserve"> </w:t>
      </w:r>
      <w:r w:rsidR="00662E91" w:rsidRPr="00CB027F">
        <w:rPr>
          <w:bCs/>
          <w:color w:val="000000"/>
        </w:rPr>
        <w:t>....................................................................</w:t>
      </w:r>
      <w:r w:rsidR="00B01782" w:rsidRPr="00CB027F">
        <w:rPr>
          <w:bCs/>
          <w:color w:val="000000"/>
        </w:rPr>
        <w:t>(37)</w:t>
      </w:r>
    </w:p>
    <w:p w:rsidR="006956CC" w:rsidRPr="00CB027F" w:rsidRDefault="006956CC" w:rsidP="006956CC">
      <w:pPr>
        <w:pStyle w:val="NormalWeb"/>
        <w:spacing w:before="0" w:beforeAutospacing="0" w:after="0" w:afterAutospacing="0" w:line="480" w:lineRule="auto"/>
        <w:jc w:val="both"/>
      </w:pPr>
      <w:r w:rsidRPr="00CB027F">
        <w:rPr>
          <w:b/>
          <w:bCs/>
          <w:color w:val="000000"/>
        </w:rPr>
        <w:t>Caso Massacre de Mapiripán Vs. Colômbia</w:t>
      </w:r>
      <w:r w:rsidRPr="00CB027F">
        <w:rPr>
          <w:color w:val="000000"/>
        </w:rPr>
        <w:t>, 2005</w:t>
      </w:r>
      <w:r w:rsidR="009467CD" w:rsidRPr="00CB027F">
        <w:rPr>
          <w:color w:val="000000"/>
        </w:rPr>
        <w:t>.</w:t>
      </w:r>
      <w:r w:rsidR="00B01782" w:rsidRPr="00CB027F">
        <w:rPr>
          <w:color w:val="000000"/>
        </w:rPr>
        <w:t xml:space="preserve"> </w:t>
      </w:r>
      <w:r w:rsidR="00662E91" w:rsidRPr="00CB027F">
        <w:rPr>
          <w:color w:val="000000"/>
        </w:rPr>
        <w:t>.........................................................</w:t>
      </w:r>
      <w:r w:rsidR="00B01782" w:rsidRPr="00CB027F">
        <w:rPr>
          <w:color w:val="000000"/>
        </w:rPr>
        <w:t>(27, 33)</w:t>
      </w:r>
    </w:p>
    <w:p w:rsidR="006956CC" w:rsidRPr="00CB027F" w:rsidRDefault="006956CC" w:rsidP="006956CC">
      <w:pPr>
        <w:pStyle w:val="NormalWeb"/>
        <w:spacing w:before="0" w:beforeAutospacing="0" w:after="0" w:afterAutospacing="0" w:line="480" w:lineRule="auto"/>
        <w:rPr>
          <w:b/>
          <w:bCs/>
          <w:color w:val="000000"/>
        </w:rPr>
      </w:pPr>
      <w:r w:rsidRPr="00CB027F">
        <w:rPr>
          <w:b/>
          <w:bCs/>
          <w:color w:val="000000"/>
        </w:rPr>
        <w:t>Caso Massacre Pueblo Bello Vs. Colômbia</w:t>
      </w:r>
      <w:r w:rsidRPr="00CB027F">
        <w:rPr>
          <w:bCs/>
          <w:color w:val="000000"/>
        </w:rPr>
        <w:t>, 2006</w:t>
      </w:r>
      <w:r w:rsidR="009467CD" w:rsidRPr="00CB027F">
        <w:rPr>
          <w:bCs/>
          <w:color w:val="000000"/>
        </w:rPr>
        <w:t>.</w:t>
      </w:r>
      <w:r w:rsidR="00B01782" w:rsidRPr="00CB027F">
        <w:rPr>
          <w:bCs/>
          <w:color w:val="000000"/>
        </w:rPr>
        <w:t xml:space="preserve"> </w:t>
      </w:r>
      <w:r w:rsidR="00662E91" w:rsidRPr="00CB027F">
        <w:rPr>
          <w:bCs/>
          <w:color w:val="000000"/>
        </w:rPr>
        <w:t>...........................................................</w:t>
      </w:r>
      <w:r w:rsidR="00B01782" w:rsidRPr="00CB027F">
        <w:rPr>
          <w:bCs/>
          <w:color w:val="000000"/>
        </w:rPr>
        <w:t>(33, 34)</w:t>
      </w:r>
    </w:p>
    <w:p w:rsidR="006956CC" w:rsidRPr="00CB027F" w:rsidRDefault="006956CC" w:rsidP="006956CC">
      <w:pPr>
        <w:pStyle w:val="NormalWeb"/>
        <w:spacing w:before="0" w:beforeAutospacing="0" w:after="0" w:afterAutospacing="0" w:line="480" w:lineRule="auto"/>
      </w:pPr>
      <w:r w:rsidRPr="00CB027F">
        <w:rPr>
          <w:b/>
          <w:bCs/>
          <w:color w:val="000000"/>
        </w:rPr>
        <w:t>Caso Mendoza e outros Vs. Argentina</w:t>
      </w:r>
      <w:r w:rsidRPr="00CB027F">
        <w:rPr>
          <w:color w:val="000000"/>
        </w:rPr>
        <w:t>, 2013</w:t>
      </w:r>
      <w:r w:rsidR="009467CD" w:rsidRPr="00CB027F">
        <w:rPr>
          <w:color w:val="000000"/>
        </w:rPr>
        <w:t>.</w:t>
      </w:r>
      <w:r w:rsidR="00F06903" w:rsidRPr="00CB027F">
        <w:rPr>
          <w:color w:val="000000"/>
        </w:rPr>
        <w:t xml:space="preserve"> </w:t>
      </w:r>
      <w:r w:rsidR="00662E91" w:rsidRPr="00CB027F">
        <w:rPr>
          <w:color w:val="000000"/>
        </w:rPr>
        <w:t>........................................................................</w:t>
      </w:r>
      <w:r w:rsidR="00F06903" w:rsidRPr="00CB027F">
        <w:rPr>
          <w:color w:val="000000"/>
        </w:rPr>
        <w:t>(21)</w:t>
      </w:r>
    </w:p>
    <w:p w:rsidR="006956CC" w:rsidRPr="00CB027F" w:rsidRDefault="006956CC" w:rsidP="006956CC">
      <w:pPr>
        <w:pStyle w:val="NormalWeb"/>
        <w:spacing w:before="0" w:beforeAutospacing="0" w:after="0" w:afterAutospacing="0" w:line="480" w:lineRule="auto"/>
        <w:jc w:val="both"/>
      </w:pPr>
      <w:r w:rsidRPr="00CB027F">
        <w:rPr>
          <w:b/>
          <w:bCs/>
          <w:color w:val="000000"/>
        </w:rPr>
        <w:t>Caso dos Meninos de Rua (Villagrán Morales e outros) Vs. Guatemal</w:t>
      </w:r>
      <w:r w:rsidRPr="00CB027F">
        <w:rPr>
          <w:b/>
          <w:color w:val="000000"/>
        </w:rPr>
        <w:t>a</w:t>
      </w:r>
      <w:r w:rsidRPr="00CB027F">
        <w:rPr>
          <w:color w:val="000000"/>
        </w:rPr>
        <w:t>, 1999</w:t>
      </w:r>
      <w:r w:rsidR="009467CD" w:rsidRPr="00CB027F">
        <w:rPr>
          <w:color w:val="000000"/>
        </w:rPr>
        <w:t>.</w:t>
      </w:r>
      <w:r w:rsidR="00F06903" w:rsidRPr="00CB027F">
        <w:rPr>
          <w:color w:val="000000"/>
        </w:rPr>
        <w:t xml:space="preserve"> </w:t>
      </w:r>
      <w:r w:rsidR="00662E91" w:rsidRPr="00CB027F">
        <w:rPr>
          <w:color w:val="000000"/>
        </w:rPr>
        <w:t>.......................................................................................................................</w:t>
      </w:r>
      <w:r w:rsidR="00F06903" w:rsidRPr="00CB027F">
        <w:rPr>
          <w:color w:val="000000"/>
        </w:rPr>
        <w:t>(17, 18, 27, 32, 34, 35)</w:t>
      </w:r>
    </w:p>
    <w:p w:rsidR="006956CC" w:rsidRPr="00CB027F" w:rsidRDefault="006956CC" w:rsidP="006956CC">
      <w:pPr>
        <w:pStyle w:val="NormalWeb"/>
        <w:spacing w:before="0" w:beforeAutospacing="0" w:after="0" w:afterAutospacing="0" w:line="480" w:lineRule="auto"/>
        <w:jc w:val="both"/>
      </w:pPr>
      <w:r w:rsidRPr="00CB027F">
        <w:rPr>
          <w:b/>
          <w:bCs/>
          <w:color w:val="000000"/>
        </w:rPr>
        <w:t>Caso Myrna Mack Chang</w:t>
      </w:r>
      <w:r w:rsidRPr="00CB027F">
        <w:rPr>
          <w:color w:val="000000"/>
        </w:rPr>
        <w:t>, 2003</w:t>
      </w:r>
      <w:r w:rsidR="009467CD" w:rsidRPr="00CB027F">
        <w:rPr>
          <w:color w:val="000000"/>
        </w:rPr>
        <w:t>.</w:t>
      </w:r>
      <w:r w:rsidR="00F06903" w:rsidRPr="00CB027F">
        <w:rPr>
          <w:color w:val="000000"/>
        </w:rPr>
        <w:t xml:space="preserve"> </w:t>
      </w:r>
      <w:r w:rsidR="00662E91" w:rsidRPr="00CB027F">
        <w:rPr>
          <w:color w:val="000000"/>
        </w:rPr>
        <w:t>.......................................................................................</w:t>
      </w:r>
      <w:r w:rsidR="00F06903" w:rsidRPr="00CB027F">
        <w:rPr>
          <w:color w:val="000000"/>
        </w:rPr>
        <w:t>(31, 34)</w:t>
      </w:r>
    </w:p>
    <w:p w:rsidR="006956CC" w:rsidRPr="00FA5FC8" w:rsidRDefault="006956CC" w:rsidP="006956CC">
      <w:pPr>
        <w:pStyle w:val="NormalWeb"/>
        <w:spacing w:before="0" w:beforeAutospacing="0" w:after="0" w:afterAutospacing="0" w:line="480" w:lineRule="auto"/>
        <w:rPr>
          <w:lang w:val="es-CO"/>
        </w:rPr>
      </w:pPr>
      <w:r w:rsidRPr="00CB027F">
        <w:rPr>
          <w:b/>
          <w:bCs/>
          <w:color w:val="000000"/>
        </w:rPr>
        <w:t xml:space="preserve">Caso Neira Alegría e outros Vs. </w:t>
      </w:r>
      <w:r w:rsidRPr="00FA5FC8">
        <w:rPr>
          <w:b/>
          <w:bCs/>
          <w:color w:val="000000"/>
          <w:lang w:val="es-CO"/>
        </w:rPr>
        <w:t>Peru</w:t>
      </w:r>
      <w:r w:rsidR="009467CD" w:rsidRPr="00FA5FC8">
        <w:rPr>
          <w:bCs/>
          <w:color w:val="000000"/>
          <w:lang w:val="es-CO"/>
        </w:rPr>
        <w:t>, 1995.</w:t>
      </w:r>
      <w:r w:rsidR="00F06903" w:rsidRPr="00FA5FC8">
        <w:rPr>
          <w:bCs/>
          <w:color w:val="000000"/>
          <w:lang w:val="es-CO"/>
        </w:rPr>
        <w:t xml:space="preserve"> </w:t>
      </w:r>
      <w:r w:rsidR="00662E91" w:rsidRPr="00FA5FC8">
        <w:rPr>
          <w:bCs/>
          <w:color w:val="000000"/>
          <w:lang w:val="es-CO"/>
        </w:rPr>
        <w:t>..........................................................................</w:t>
      </w:r>
      <w:r w:rsidR="00F06903" w:rsidRPr="00FA5FC8">
        <w:rPr>
          <w:bCs/>
          <w:color w:val="000000"/>
          <w:lang w:val="es-CO"/>
        </w:rPr>
        <w:t>(22)</w:t>
      </w:r>
    </w:p>
    <w:p w:rsidR="006956CC" w:rsidRPr="00FA5FC8" w:rsidRDefault="006956CC" w:rsidP="006956CC">
      <w:pPr>
        <w:pStyle w:val="NormalWeb"/>
        <w:spacing w:before="0" w:beforeAutospacing="0" w:after="0" w:afterAutospacing="0" w:line="480" w:lineRule="auto"/>
        <w:jc w:val="both"/>
        <w:rPr>
          <w:color w:val="000000"/>
          <w:lang w:val="es-CO"/>
        </w:rPr>
      </w:pPr>
      <w:r w:rsidRPr="00FA5FC8">
        <w:rPr>
          <w:b/>
          <w:bCs/>
          <w:color w:val="000000"/>
          <w:lang w:val="es-CO"/>
        </w:rPr>
        <w:t>Caso Radilla Pacheco vs. México</w:t>
      </w:r>
      <w:r w:rsidRPr="00FA5FC8">
        <w:rPr>
          <w:color w:val="000000"/>
          <w:lang w:val="es-CO"/>
        </w:rPr>
        <w:t>, 2009</w:t>
      </w:r>
      <w:r w:rsidR="009467CD" w:rsidRPr="00FA5FC8">
        <w:rPr>
          <w:color w:val="000000"/>
          <w:lang w:val="es-CO"/>
        </w:rPr>
        <w:t>.</w:t>
      </w:r>
      <w:r w:rsidR="00F06903" w:rsidRPr="00FA5FC8">
        <w:rPr>
          <w:color w:val="000000"/>
          <w:lang w:val="es-CO"/>
        </w:rPr>
        <w:t xml:space="preserve"> </w:t>
      </w:r>
      <w:r w:rsidR="00662E91" w:rsidRPr="00FA5FC8">
        <w:rPr>
          <w:color w:val="000000"/>
          <w:lang w:val="es-CO"/>
        </w:rPr>
        <w:t>...........................................................................</w:t>
      </w:r>
      <w:r w:rsidR="00F06903" w:rsidRPr="00FA5FC8">
        <w:rPr>
          <w:color w:val="000000"/>
          <w:lang w:val="es-CO"/>
        </w:rPr>
        <w:t>(16, 22)</w:t>
      </w:r>
    </w:p>
    <w:p w:rsidR="006956CC" w:rsidRPr="00CB027F" w:rsidRDefault="006956CC" w:rsidP="006956CC">
      <w:pPr>
        <w:pStyle w:val="NormalWeb"/>
        <w:spacing w:before="0" w:beforeAutospacing="0" w:after="0" w:afterAutospacing="0" w:line="480" w:lineRule="auto"/>
        <w:rPr>
          <w:color w:val="000000"/>
        </w:rPr>
      </w:pPr>
      <w:r w:rsidRPr="00CB027F">
        <w:rPr>
          <w:b/>
          <w:bCs/>
          <w:color w:val="000000"/>
        </w:rPr>
        <w:t>Caso Suárez Rosero Vs. Equador</w:t>
      </w:r>
      <w:r w:rsidRPr="00CB027F">
        <w:rPr>
          <w:color w:val="000000"/>
        </w:rPr>
        <w:t>, 1997</w:t>
      </w:r>
      <w:r w:rsidR="009467CD" w:rsidRPr="00CB027F">
        <w:rPr>
          <w:color w:val="000000"/>
        </w:rPr>
        <w:t>.</w:t>
      </w:r>
      <w:r w:rsidR="00417067" w:rsidRPr="00CB027F">
        <w:rPr>
          <w:color w:val="000000"/>
        </w:rPr>
        <w:t xml:space="preserve"> </w:t>
      </w:r>
      <w:r w:rsidR="00662E91" w:rsidRPr="00CB027F">
        <w:rPr>
          <w:color w:val="000000"/>
        </w:rPr>
        <w:t>..........................................................................</w:t>
      </w:r>
      <w:r w:rsidR="00417067" w:rsidRPr="00CB027F">
        <w:rPr>
          <w:color w:val="000000"/>
        </w:rPr>
        <w:t>(19, 25)</w:t>
      </w:r>
    </w:p>
    <w:p w:rsidR="006956CC" w:rsidRPr="00CB027F" w:rsidRDefault="006956CC" w:rsidP="006956CC">
      <w:pPr>
        <w:pStyle w:val="NormalWeb"/>
        <w:spacing w:before="0" w:beforeAutospacing="0" w:after="0" w:afterAutospacing="0" w:line="480" w:lineRule="auto"/>
      </w:pPr>
      <w:r w:rsidRPr="00CB027F">
        <w:rPr>
          <w:b/>
          <w:bCs/>
          <w:color w:val="000000"/>
        </w:rPr>
        <w:t>Caso Tibi Vs. Equador</w:t>
      </w:r>
      <w:r w:rsidRPr="00CB027F">
        <w:rPr>
          <w:color w:val="000000"/>
        </w:rPr>
        <w:t>, 2004</w:t>
      </w:r>
      <w:r w:rsidR="009467CD" w:rsidRPr="00CB027F">
        <w:rPr>
          <w:color w:val="000000"/>
        </w:rPr>
        <w:t>.</w:t>
      </w:r>
      <w:r w:rsidR="00417067" w:rsidRPr="00CB027F">
        <w:rPr>
          <w:color w:val="000000"/>
        </w:rPr>
        <w:t xml:space="preserve"> </w:t>
      </w:r>
      <w:r w:rsidR="00662E91" w:rsidRPr="00CB027F">
        <w:rPr>
          <w:color w:val="000000"/>
        </w:rPr>
        <w:t>......................................................................................</w:t>
      </w:r>
      <w:r w:rsidR="00417067" w:rsidRPr="00CB027F">
        <w:rPr>
          <w:color w:val="000000"/>
        </w:rPr>
        <w:t>(19, 25, 30)</w:t>
      </w:r>
    </w:p>
    <w:p w:rsidR="006956CC" w:rsidRPr="00CB027F" w:rsidRDefault="006956CC" w:rsidP="006956CC">
      <w:pPr>
        <w:pStyle w:val="NormalWeb"/>
        <w:spacing w:before="0" w:beforeAutospacing="0" w:after="0" w:afterAutospacing="0" w:line="480" w:lineRule="auto"/>
        <w:rPr>
          <w:b/>
          <w:bCs/>
          <w:color w:val="000000"/>
        </w:rPr>
      </w:pPr>
      <w:r w:rsidRPr="00CB027F">
        <w:rPr>
          <w:b/>
          <w:bCs/>
          <w:color w:val="000000"/>
        </w:rPr>
        <w:t>Caso Ticona Estrada e outros Vs. Bolívia</w:t>
      </w:r>
      <w:r w:rsidRPr="00CB027F">
        <w:rPr>
          <w:bCs/>
          <w:color w:val="000000"/>
        </w:rPr>
        <w:t>, 2008</w:t>
      </w:r>
      <w:r w:rsidR="009467CD" w:rsidRPr="00CB027F">
        <w:rPr>
          <w:bCs/>
          <w:color w:val="000000"/>
        </w:rPr>
        <w:t>.</w:t>
      </w:r>
      <w:r w:rsidR="00417067" w:rsidRPr="00CB027F">
        <w:rPr>
          <w:bCs/>
          <w:color w:val="000000"/>
        </w:rPr>
        <w:t xml:space="preserve"> </w:t>
      </w:r>
      <w:r w:rsidR="00662E91" w:rsidRPr="00CB027F">
        <w:rPr>
          <w:bCs/>
          <w:color w:val="000000"/>
        </w:rPr>
        <w:t>...................................................................</w:t>
      </w:r>
      <w:r w:rsidR="00417067" w:rsidRPr="00CB027F">
        <w:rPr>
          <w:bCs/>
          <w:color w:val="000000"/>
        </w:rPr>
        <w:t>(32)</w:t>
      </w:r>
    </w:p>
    <w:p w:rsidR="006956CC" w:rsidRPr="00CB027F" w:rsidRDefault="006956CC" w:rsidP="006956CC">
      <w:pPr>
        <w:pStyle w:val="NormalWeb"/>
        <w:spacing w:before="0" w:beforeAutospacing="0" w:after="0" w:afterAutospacing="0" w:line="480" w:lineRule="auto"/>
        <w:rPr>
          <w:color w:val="000000"/>
        </w:rPr>
      </w:pPr>
      <w:r w:rsidRPr="00CB027F">
        <w:rPr>
          <w:b/>
          <w:bCs/>
          <w:color w:val="000000"/>
        </w:rPr>
        <w:lastRenderedPageBreak/>
        <w:t>Caso Torres Millacura e outros Vs. Argentina</w:t>
      </w:r>
      <w:r w:rsidRPr="00CB027F">
        <w:rPr>
          <w:bCs/>
          <w:color w:val="000000"/>
        </w:rPr>
        <w:t>, 2011</w:t>
      </w:r>
      <w:r w:rsidR="009467CD" w:rsidRPr="00CB027F">
        <w:rPr>
          <w:bCs/>
          <w:color w:val="000000"/>
        </w:rPr>
        <w:t>.</w:t>
      </w:r>
      <w:r w:rsidR="00417067" w:rsidRPr="00CB027F">
        <w:rPr>
          <w:bCs/>
          <w:color w:val="000000"/>
        </w:rPr>
        <w:t xml:space="preserve"> </w:t>
      </w:r>
      <w:r w:rsidR="00662E91" w:rsidRPr="00CB027F">
        <w:rPr>
          <w:bCs/>
          <w:color w:val="000000"/>
        </w:rPr>
        <w:t>...........................................................</w:t>
      </w:r>
      <w:r w:rsidR="00417067" w:rsidRPr="00CB027F">
        <w:rPr>
          <w:bCs/>
          <w:color w:val="000000"/>
        </w:rPr>
        <w:t>(23)</w:t>
      </w:r>
    </w:p>
    <w:p w:rsidR="006956CC" w:rsidRPr="00FA5FC8" w:rsidRDefault="006956CC" w:rsidP="006956CC">
      <w:pPr>
        <w:pStyle w:val="NormalWeb"/>
        <w:spacing w:before="0" w:beforeAutospacing="0" w:after="0" w:afterAutospacing="0" w:line="480" w:lineRule="auto"/>
        <w:rPr>
          <w:lang w:val="es-CO"/>
        </w:rPr>
      </w:pPr>
      <w:r w:rsidRPr="00CB027F">
        <w:rPr>
          <w:b/>
          <w:bCs/>
          <w:color w:val="000000"/>
        </w:rPr>
        <w:t xml:space="preserve">Caso do Tribunal Constitucional (Camba Campos e outros) Vs. </w:t>
      </w:r>
      <w:r w:rsidRPr="00FA5FC8">
        <w:rPr>
          <w:b/>
          <w:bCs/>
          <w:color w:val="000000"/>
          <w:lang w:val="es-CO"/>
        </w:rPr>
        <w:t>Peru</w:t>
      </w:r>
      <w:r w:rsidRPr="00FA5FC8">
        <w:rPr>
          <w:color w:val="000000"/>
          <w:lang w:val="es-CO"/>
        </w:rPr>
        <w:t>, 2001</w:t>
      </w:r>
      <w:r w:rsidR="009467CD" w:rsidRPr="00FA5FC8">
        <w:rPr>
          <w:color w:val="000000"/>
          <w:lang w:val="es-CO"/>
        </w:rPr>
        <w:t>.</w:t>
      </w:r>
      <w:r w:rsidR="00417067" w:rsidRPr="00FA5FC8">
        <w:rPr>
          <w:color w:val="000000"/>
          <w:lang w:val="es-CO"/>
        </w:rPr>
        <w:t xml:space="preserve"> </w:t>
      </w:r>
      <w:r w:rsidR="00662E91" w:rsidRPr="00FA5FC8">
        <w:rPr>
          <w:color w:val="000000"/>
          <w:lang w:val="es-CO"/>
        </w:rPr>
        <w:t>....................</w:t>
      </w:r>
      <w:r w:rsidR="00417067" w:rsidRPr="00FA5FC8">
        <w:rPr>
          <w:color w:val="000000"/>
          <w:lang w:val="es-CO"/>
        </w:rPr>
        <w:t>(31)</w:t>
      </w:r>
    </w:p>
    <w:p w:rsidR="006956CC" w:rsidRPr="00FA5FC8" w:rsidRDefault="006956CC" w:rsidP="006956CC">
      <w:pPr>
        <w:pStyle w:val="NormalWeb"/>
        <w:spacing w:before="0" w:beforeAutospacing="0" w:after="0" w:afterAutospacing="0" w:line="480" w:lineRule="auto"/>
        <w:jc w:val="both"/>
        <w:rPr>
          <w:color w:val="000000"/>
          <w:lang w:val="es-CO"/>
        </w:rPr>
      </w:pPr>
      <w:r w:rsidRPr="00FA5FC8">
        <w:rPr>
          <w:b/>
          <w:bCs/>
          <w:color w:val="000000"/>
          <w:lang w:val="es-CO"/>
        </w:rPr>
        <w:t>Caso Trujillo Oroza Vs. Bolívia</w:t>
      </w:r>
      <w:r w:rsidRPr="00FA5FC8">
        <w:rPr>
          <w:color w:val="000000"/>
          <w:lang w:val="es-CO"/>
        </w:rPr>
        <w:t>, 2002</w:t>
      </w:r>
      <w:r w:rsidR="009467CD" w:rsidRPr="00FA5FC8">
        <w:rPr>
          <w:color w:val="000000"/>
          <w:lang w:val="es-CO"/>
        </w:rPr>
        <w:t>.</w:t>
      </w:r>
      <w:r w:rsidR="00417067" w:rsidRPr="00FA5FC8">
        <w:rPr>
          <w:color w:val="000000"/>
          <w:lang w:val="es-CO"/>
        </w:rPr>
        <w:t xml:space="preserve"> </w:t>
      </w:r>
      <w:r w:rsidR="00662E91" w:rsidRPr="00FA5FC8">
        <w:rPr>
          <w:color w:val="000000"/>
          <w:lang w:val="es-CO"/>
        </w:rPr>
        <w:t>...................................................................................</w:t>
      </w:r>
      <w:r w:rsidR="00417067" w:rsidRPr="00FA5FC8">
        <w:rPr>
          <w:color w:val="000000"/>
          <w:lang w:val="es-CO"/>
        </w:rPr>
        <w:t>(21)</w:t>
      </w:r>
    </w:p>
    <w:p w:rsidR="006956CC" w:rsidRPr="00FA5FC8" w:rsidRDefault="006956CC" w:rsidP="006956CC">
      <w:pPr>
        <w:pStyle w:val="NormalWeb"/>
        <w:spacing w:before="0" w:beforeAutospacing="0" w:after="0" w:afterAutospacing="0" w:line="480" w:lineRule="auto"/>
        <w:jc w:val="both"/>
        <w:rPr>
          <w:b/>
          <w:bCs/>
          <w:color w:val="000000"/>
          <w:lang w:val="es-CO"/>
        </w:rPr>
      </w:pPr>
      <w:r w:rsidRPr="00FA5FC8">
        <w:rPr>
          <w:b/>
          <w:bCs/>
          <w:color w:val="000000"/>
          <w:lang w:val="es-CO"/>
        </w:rPr>
        <w:t xml:space="preserve">Caso Velásquez Rodríguez Vs. Honduras, </w:t>
      </w:r>
      <w:r w:rsidRPr="00FA5FC8">
        <w:rPr>
          <w:bCs/>
          <w:color w:val="000000"/>
          <w:lang w:val="es-CO"/>
        </w:rPr>
        <w:t>1987</w:t>
      </w:r>
      <w:r w:rsidR="009467CD" w:rsidRPr="00FA5FC8">
        <w:rPr>
          <w:bCs/>
          <w:color w:val="000000"/>
          <w:lang w:val="es-CO"/>
        </w:rPr>
        <w:t>.</w:t>
      </w:r>
      <w:r w:rsidR="00417067" w:rsidRPr="00FA5FC8">
        <w:rPr>
          <w:bCs/>
          <w:color w:val="000000"/>
          <w:lang w:val="es-CO"/>
        </w:rPr>
        <w:t xml:space="preserve"> </w:t>
      </w:r>
      <w:r w:rsidR="00662E91" w:rsidRPr="00FA5FC8">
        <w:rPr>
          <w:bCs/>
          <w:color w:val="000000"/>
          <w:lang w:val="es-CO"/>
        </w:rPr>
        <w:t>...........................................</w:t>
      </w:r>
      <w:r w:rsidR="00417067" w:rsidRPr="00FA5FC8">
        <w:rPr>
          <w:bCs/>
          <w:color w:val="000000"/>
          <w:lang w:val="es-CO"/>
        </w:rPr>
        <w:t>(12, 15, 18, 19, 20)</w:t>
      </w:r>
    </w:p>
    <w:p w:rsidR="006956CC" w:rsidRPr="00CB027F" w:rsidRDefault="006956CC" w:rsidP="006956CC">
      <w:pPr>
        <w:pStyle w:val="NormalWeb"/>
        <w:spacing w:before="0" w:beforeAutospacing="0" w:after="0" w:afterAutospacing="0" w:line="480" w:lineRule="auto"/>
        <w:rPr>
          <w:color w:val="000000"/>
        </w:rPr>
      </w:pPr>
      <w:r w:rsidRPr="00CB027F">
        <w:rPr>
          <w:b/>
          <w:bCs/>
          <w:color w:val="000000"/>
        </w:rPr>
        <w:t>Caso Yatama vs. Nicaragua,</w:t>
      </w:r>
      <w:r w:rsidRPr="00CB027F">
        <w:rPr>
          <w:color w:val="000000"/>
        </w:rPr>
        <w:t xml:space="preserve"> 2005</w:t>
      </w:r>
      <w:r w:rsidR="009467CD" w:rsidRPr="00CB027F">
        <w:rPr>
          <w:color w:val="000000"/>
        </w:rPr>
        <w:t>.</w:t>
      </w:r>
      <w:r w:rsidRPr="00CB027F">
        <w:rPr>
          <w:color w:val="000000"/>
        </w:rPr>
        <w:t xml:space="preserve"> </w:t>
      </w:r>
      <w:r w:rsidR="00662E91" w:rsidRPr="00CB027F">
        <w:rPr>
          <w:color w:val="000000"/>
        </w:rPr>
        <w:t>....................................................................................</w:t>
      </w:r>
      <w:r w:rsidR="00417067" w:rsidRPr="00CB027F">
        <w:rPr>
          <w:color w:val="000000"/>
        </w:rPr>
        <w:t>(24, 30)</w:t>
      </w:r>
    </w:p>
    <w:p w:rsidR="00440850" w:rsidRPr="00CB027F" w:rsidRDefault="00440850" w:rsidP="00CA34F7">
      <w:pPr>
        <w:pStyle w:val="Heading4"/>
        <w:rPr>
          <w:rFonts w:ascii="Times New Roman" w:hAnsi="Times New Roman"/>
        </w:rPr>
      </w:pPr>
      <w:r w:rsidRPr="00CB027F">
        <w:rPr>
          <w:rFonts w:ascii="Times New Roman" w:hAnsi="Times New Roman"/>
        </w:rPr>
        <w:t>1.2.1.2 - Opiniões consultivas</w:t>
      </w:r>
    </w:p>
    <w:p w:rsidR="00A60063" w:rsidRPr="00CB027F" w:rsidRDefault="00A60063" w:rsidP="00012EB0">
      <w:pPr>
        <w:pStyle w:val="NormalWeb"/>
        <w:spacing w:before="0" w:beforeAutospacing="0" w:after="0" w:afterAutospacing="0" w:line="480" w:lineRule="auto"/>
      </w:pPr>
      <w:r w:rsidRPr="00CB027F">
        <w:rPr>
          <w:b/>
          <w:bCs/>
          <w:color w:val="000000"/>
        </w:rPr>
        <w:t>Opinião Consultiva OC-9/87</w:t>
      </w:r>
      <w:r w:rsidRPr="00CB027F">
        <w:rPr>
          <w:color w:val="000000"/>
        </w:rPr>
        <w:t xml:space="preserve">, </w:t>
      </w:r>
      <w:r w:rsidR="00AC43CB" w:rsidRPr="00CB027F">
        <w:rPr>
          <w:color w:val="000000"/>
        </w:rPr>
        <w:t xml:space="preserve">1987. </w:t>
      </w:r>
      <w:r w:rsidR="00662E91" w:rsidRPr="00CB027F">
        <w:rPr>
          <w:color w:val="000000"/>
        </w:rPr>
        <w:t>........................................................................................</w:t>
      </w:r>
      <w:r w:rsidR="00AC43CB" w:rsidRPr="00CB027F">
        <w:rPr>
          <w:color w:val="000000"/>
        </w:rPr>
        <w:t>(15)</w:t>
      </w:r>
    </w:p>
    <w:p w:rsidR="00520344" w:rsidRPr="00CB027F" w:rsidRDefault="00A60063" w:rsidP="00012EB0">
      <w:pPr>
        <w:pStyle w:val="NormalWeb"/>
        <w:spacing w:before="0" w:beforeAutospacing="0" w:after="0" w:afterAutospacing="0" w:line="480" w:lineRule="auto"/>
        <w:rPr>
          <w:color w:val="000000"/>
        </w:rPr>
      </w:pPr>
      <w:r w:rsidRPr="00CB027F">
        <w:rPr>
          <w:b/>
          <w:bCs/>
          <w:color w:val="000000"/>
        </w:rPr>
        <w:t>Opinião Consultiva OC-11/90</w:t>
      </w:r>
      <w:r w:rsidRPr="00CB027F">
        <w:rPr>
          <w:color w:val="000000"/>
        </w:rPr>
        <w:t xml:space="preserve">, </w:t>
      </w:r>
      <w:r w:rsidR="00AC43CB" w:rsidRPr="00CB027F">
        <w:rPr>
          <w:color w:val="000000"/>
        </w:rPr>
        <w:t xml:space="preserve">1990. </w:t>
      </w:r>
      <w:r w:rsidR="00662E91" w:rsidRPr="00CB027F">
        <w:rPr>
          <w:color w:val="000000"/>
        </w:rPr>
        <w:t>......................................................................................</w:t>
      </w:r>
      <w:r w:rsidR="00AC43CB" w:rsidRPr="00CB027F">
        <w:rPr>
          <w:color w:val="000000"/>
        </w:rPr>
        <w:t>(15)</w:t>
      </w:r>
    </w:p>
    <w:p w:rsidR="00A60063" w:rsidRPr="00CB027F" w:rsidRDefault="00520344" w:rsidP="00CA34F7">
      <w:pPr>
        <w:pStyle w:val="Heading3"/>
        <w:rPr>
          <w:rFonts w:ascii="Times New Roman" w:hAnsi="Times New Roman"/>
        </w:rPr>
      </w:pPr>
      <w:bookmarkStart w:id="5" w:name="_Toc414890806"/>
      <w:r w:rsidRPr="00CB027F">
        <w:rPr>
          <w:rFonts w:ascii="Times New Roman" w:hAnsi="Times New Roman"/>
        </w:rPr>
        <w:t xml:space="preserve">1.2.2 – Tribunal Europeu dos Direitos </w:t>
      </w:r>
      <w:r w:rsidR="0085461F" w:rsidRPr="00CB027F">
        <w:rPr>
          <w:rFonts w:ascii="Times New Roman" w:hAnsi="Times New Roman"/>
        </w:rPr>
        <w:t>Humanos</w:t>
      </w:r>
      <w:bookmarkEnd w:id="5"/>
    </w:p>
    <w:p w:rsidR="00417067" w:rsidRPr="00CB027F" w:rsidRDefault="00417067" w:rsidP="00012EB0">
      <w:pPr>
        <w:pStyle w:val="NormalWeb"/>
        <w:spacing w:before="0" w:beforeAutospacing="0" w:after="0" w:afterAutospacing="0" w:line="480" w:lineRule="auto"/>
      </w:pPr>
      <w:r w:rsidRPr="00CB027F">
        <w:rPr>
          <w:b/>
          <w:bCs/>
        </w:rPr>
        <w:t>Caso Artico Vs. Itália</w:t>
      </w:r>
      <w:r w:rsidRPr="00CB027F">
        <w:t>, 1980</w:t>
      </w:r>
      <w:r w:rsidR="00AC43CB" w:rsidRPr="00CB027F">
        <w:t xml:space="preserve">. </w:t>
      </w:r>
      <w:r w:rsidR="00662E91" w:rsidRPr="00CB027F">
        <w:t>....................................................................................................</w:t>
      </w:r>
      <w:r w:rsidR="00AC43CB" w:rsidRPr="00CB027F">
        <w:t>(26)</w:t>
      </w:r>
    </w:p>
    <w:p w:rsidR="00417067" w:rsidRPr="00CB027F" w:rsidRDefault="00417067" w:rsidP="00012EB0">
      <w:pPr>
        <w:pStyle w:val="NormalWeb"/>
        <w:spacing w:before="0" w:beforeAutospacing="0" w:after="0" w:afterAutospacing="0" w:line="480" w:lineRule="auto"/>
      </w:pPr>
      <w:r w:rsidRPr="00CB027F">
        <w:rPr>
          <w:b/>
          <w:bCs/>
        </w:rPr>
        <w:t>Caso Dilipak e Karakaya Vs. Turquia</w:t>
      </w:r>
      <w:r w:rsidRPr="00CB027F">
        <w:t>, 2014</w:t>
      </w:r>
      <w:r w:rsidR="00AC43CB" w:rsidRPr="00CB027F">
        <w:t>.</w:t>
      </w:r>
      <w:r w:rsidR="00713FB4" w:rsidRPr="00CB027F">
        <w:t xml:space="preserve"> ........................................................................(25)</w:t>
      </w:r>
    </w:p>
    <w:p w:rsidR="00417067" w:rsidRPr="00CB027F" w:rsidRDefault="00417067" w:rsidP="00012EB0">
      <w:pPr>
        <w:pStyle w:val="NormalWeb"/>
        <w:spacing w:before="0" w:beforeAutospacing="0" w:after="0" w:afterAutospacing="0" w:line="480" w:lineRule="auto"/>
        <w:rPr>
          <w:b/>
        </w:rPr>
      </w:pPr>
      <w:r w:rsidRPr="00CB027F">
        <w:rPr>
          <w:b/>
        </w:rPr>
        <w:t>Caso Gongadze v. Ukraine</w:t>
      </w:r>
      <w:r w:rsidR="00AC43CB" w:rsidRPr="00CB027F">
        <w:t>, 2005.</w:t>
      </w:r>
      <w:r w:rsidR="00713FB4" w:rsidRPr="00CB027F">
        <w:t xml:space="preserve"> ...........................................................................................(33)</w:t>
      </w:r>
    </w:p>
    <w:p w:rsidR="00417067" w:rsidRPr="00CB027F" w:rsidRDefault="00417067" w:rsidP="00012EB0">
      <w:pPr>
        <w:pStyle w:val="NormalWeb"/>
        <w:spacing w:before="0" w:beforeAutospacing="0" w:after="0" w:afterAutospacing="0" w:line="480" w:lineRule="auto"/>
      </w:pPr>
      <w:r w:rsidRPr="00CB027F">
        <w:rPr>
          <w:b/>
          <w:bCs/>
        </w:rPr>
        <w:t>Caso Harkins e Edwards Vs. Reino Unido</w:t>
      </w:r>
      <w:r w:rsidRPr="00CB027F">
        <w:t>,</w:t>
      </w:r>
      <w:r w:rsidRPr="00CB027F" w:rsidDel="00F72E68">
        <w:t xml:space="preserve"> </w:t>
      </w:r>
      <w:r w:rsidRPr="00CB027F">
        <w:t>2012</w:t>
      </w:r>
      <w:r w:rsidR="00AC43CB" w:rsidRPr="00CB027F">
        <w:t>.</w:t>
      </w:r>
      <w:r w:rsidR="00713FB4" w:rsidRPr="00CB027F">
        <w:t xml:space="preserve"> .................................................................(21)</w:t>
      </w:r>
    </w:p>
    <w:p w:rsidR="00417067" w:rsidRPr="00CB027F" w:rsidRDefault="00417067" w:rsidP="00012EB0">
      <w:pPr>
        <w:pStyle w:val="NormalWeb"/>
        <w:spacing w:before="0" w:beforeAutospacing="0" w:after="0" w:afterAutospacing="0" w:line="480" w:lineRule="auto"/>
      </w:pPr>
      <w:r w:rsidRPr="00CB027F">
        <w:rPr>
          <w:b/>
          <w:color w:val="000000"/>
        </w:rPr>
        <w:t>Caso Nikolova e Velichkova Vs. Bulgária</w:t>
      </w:r>
      <w:r w:rsidR="00AC43CB" w:rsidRPr="00CB027F">
        <w:rPr>
          <w:color w:val="000000"/>
        </w:rPr>
        <w:t>, 2008.</w:t>
      </w:r>
      <w:r w:rsidR="00713FB4" w:rsidRPr="00CB027F">
        <w:rPr>
          <w:color w:val="000000"/>
        </w:rPr>
        <w:t xml:space="preserve"> .............................................................(20, 32)</w:t>
      </w:r>
    </w:p>
    <w:p w:rsidR="00417067" w:rsidRPr="00CB027F" w:rsidRDefault="00417067" w:rsidP="00012EB0">
      <w:pPr>
        <w:pStyle w:val="NormalWeb"/>
        <w:spacing w:before="0" w:beforeAutospacing="0" w:after="0" w:afterAutospacing="0" w:line="480" w:lineRule="auto"/>
        <w:rPr>
          <w:b/>
          <w:color w:val="000000"/>
        </w:rPr>
      </w:pPr>
      <w:r w:rsidRPr="00CB027F">
        <w:rPr>
          <w:b/>
          <w:color w:val="000000"/>
        </w:rPr>
        <w:t>Caso Ugur Vs. Turquia</w:t>
      </w:r>
      <w:r w:rsidR="00AC43CB" w:rsidRPr="00CB027F">
        <w:rPr>
          <w:color w:val="000000"/>
        </w:rPr>
        <w:t>, 2015.</w:t>
      </w:r>
      <w:r w:rsidR="00713FB4" w:rsidRPr="00CB027F">
        <w:rPr>
          <w:color w:val="000000"/>
        </w:rPr>
        <w:t xml:space="preserve"> .................................................................................................(30)</w:t>
      </w:r>
    </w:p>
    <w:p w:rsidR="00417067" w:rsidRPr="00CB027F" w:rsidRDefault="00417067" w:rsidP="00012EB0">
      <w:pPr>
        <w:pStyle w:val="NormalWeb"/>
        <w:spacing w:before="0" w:beforeAutospacing="0" w:after="0" w:afterAutospacing="0" w:line="480" w:lineRule="auto"/>
        <w:rPr>
          <w:b/>
        </w:rPr>
      </w:pPr>
      <w:r w:rsidRPr="00CB027F">
        <w:rPr>
          <w:b/>
        </w:rPr>
        <w:t>Caso Willis Vs. Reino Unido</w:t>
      </w:r>
      <w:r w:rsidR="00AC43CB" w:rsidRPr="00CB027F">
        <w:t>, 2002.</w:t>
      </w:r>
      <w:r w:rsidR="00713FB4" w:rsidRPr="00CB027F">
        <w:t xml:space="preserve"> .........................................................................................(24)</w:t>
      </w:r>
    </w:p>
    <w:p w:rsidR="008F0582" w:rsidRPr="00CB027F" w:rsidRDefault="008F0582" w:rsidP="0017628D">
      <w:pPr>
        <w:pStyle w:val="Heading3"/>
        <w:rPr>
          <w:rFonts w:ascii="Times New Roman" w:hAnsi="Times New Roman"/>
        </w:rPr>
      </w:pPr>
      <w:bookmarkStart w:id="6" w:name="_Toc414890807"/>
      <w:r w:rsidRPr="00CB027F">
        <w:rPr>
          <w:rFonts w:ascii="Times New Roman" w:hAnsi="Times New Roman"/>
        </w:rPr>
        <w:t>1.2.3- Comissão Africana de Direitos Humanos e dos Povos</w:t>
      </w:r>
      <w:bookmarkEnd w:id="6"/>
    </w:p>
    <w:p w:rsidR="008F0582" w:rsidRPr="00CB027F" w:rsidRDefault="00662E91" w:rsidP="0017628D">
      <w:r w:rsidRPr="00CB027F">
        <w:rPr>
          <w:b/>
          <w:szCs w:val="24"/>
        </w:rPr>
        <w:t>Caso Noah Kazingachire Vs. Zimbábue</w:t>
      </w:r>
      <w:r w:rsidRPr="00CB027F">
        <w:t>, 2012</w:t>
      </w:r>
      <w:r w:rsidR="00713FB4" w:rsidRPr="00CB027F">
        <w:t>. .....................................................................(18)</w:t>
      </w:r>
    </w:p>
    <w:p w:rsidR="008F0582" w:rsidRPr="00CB027F" w:rsidRDefault="008F0582" w:rsidP="0017628D">
      <w:pPr>
        <w:pStyle w:val="Heading3"/>
        <w:rPr>
          <w:rFonts w:ascii="Times New Roman" w:hAnsi="Times New Roman"/>
        </w:rPr>
      </w:pPr>
      <w:bookmarkStart w:id="7" w:name="_Toc414890808"/>
      <w:r w:rsidRPr="00CB027F">
        <w:rPr>
          <w:rFonts w:ascii="Times New Roman" w:hAnsi="Times New Roman"/>
        </w:rPr>
        <w:t>1.2.4 Corte Africana de Direitos Humanos e dos Povos</w:t>
      </w:r>
      <w:bookmarkEnd w:id="7"/>
    </w:p>
    <w:p w:rsidR="008F0582" w:rsidRPr="00B46D95" w:rsidRDefault="008F0582" w:rsidP="0017628D">
      <w:pPr>
        <w:rPr>
          <w:lang w:val="en-US"/>
        </w:rPr>
      </w:pPr>
      <w:r w:rsidRPr="00CB027F">
        <w:rPr>
          <w:b/>
        </w:rPr>
        <w:t xml:space="preserve">Caso do Movimento Marfinense de Direitos Humanos Vs. </w:t>
      </w:r>
      <w:r w:rsidRPr="00B46D95">
        <w:rPr>
          <w:b/>
          <w:lang w:val="en-US"/>
        </w:rPr>
        <w:t>Costa do Marfim</w:t>
      </w:r>
      <w:r w:rsidR="00713FB4" w:rsidRPr="00B46D95">
        <w:rPr>
          <w:lang w:val="en-US"/>
        </w:rPr>
        <w:t>, 2008. ........(27)</w:t>
      </w:r>
    </w:p>
    <w:p w:rsidR="00520344" w:rsidRPr="00B46D95" w:rsidRDefault="00520344" w:rsidP="00CA34F7">
      <w:pPr>
        <w:pStyle w:val="Heading3"/>
        <w:rPr>
          <w:rFonts w:ascii="Times New Roman" w:hAnsi="Times New Roman"/>
          <w:lang w:val="en-US"/>
        </w:rPr>
      </w:pPr>
      <w:bookmarkStart w:id="8" w:name="_Toc414890809"/>
      <w:r w:rsidRPr="00B46D95">
        <w:rPr>
          <w:rFonts w:ascii="Times New Roman" w:hAnsi="Times New Roman"/>
          <w:lang w:val="en-US"/>
        </w:rPr>
        <w:lastRenderedPageBreak/>
        <w:t xml:space="preserve">1.2.3 – </w:t>
      </w:r>
      <w:r w:rsidR="006717A3" w:rsidRPr="00B46D95">
        <w:rPr>
          <w:rFonts w:ascii="Times New Roman" w:hAnsi="Times New Roman"/>
          <w:lang w:val="en-US"/>
        </w:rPr>
        <w:t>Documentos internacionais</w:t>
      </w:r>
      <w:bookmarkEnd w:id="8"/>
    </w:p>
    <w:p w:rsidR="005F55EF" w:rsidRPr="00CB027F" w:rsidRDefault="005F55EF" w:rsidP="0017628D">
      <w:pPr>
        <w:pStyle w:val="NormalWeb"/>
        <w:spacing w:before="0" w:beforeAutospacing="0" w:after="0" w:afterAutospacing="0" w:line="480" w:lineRule="auto"/>
        <w:jc w:val="both"/>
        <w:rPr>
          <w:lang w:val="en-US"/>
        </w:rPr>
      </w:pPr>
      <w:r w:rsidRPr="00CB027F">
        <w:rPr>
          <w:b/>
          <w:lang w:val="en-US"/>
        </w:rPr>
        <w:t xml:space="preserve"> ‘Questions of the Human Rights of all Persons subjected to any form of detention or imprisonment, in particular: torture and other Cruel, Inhuman or Degrading Treatment or Punishment’</w:t>
      </w:r>
      <w:r w:rsidR="0085461F" w:rsidRPr="00CB027F">
        <w:rPr>
          <w:lang w:val="en-US"/>
        </w:rPr>
        <w:t>, 1997.</w:t>
      </w:r>
      <w:r w:rsidRPr="00CB027F">
        <w:rPr>
          <w:lang w:val="en-US"/>
        </w:rPr>
        <w:t xml:space="preserve"> ............................</w:t>
      </w:r>
      <w:r w:rsidR="0085461F" w:rsidRPr="00CB027F">
        <w:rPr>
          <w:lang w:val="en-US"/>
        </w:rPr>
        <w:t>...............................................................</w:t>
      </w:r>
      <w:r w:rsidRPr="00CB027F">
        <w:rPr>
          <w:lang w:val="en-US"/>
        </w:rPr>
        <w:t>...................(20)</w:t>
      </w:r>
    </w:p>
    <w:p w:rsidR="008F0582" w:rsidRPr="00CB027F" w:rsidRDefault="008F0582" w:rsidP="0017628D">
      <w:pPr>
        <w:pStyle w:val="NormalWeb"/>
        <w:spacing w:before="0" w:beforeAutospacing="0" w:after="0" w:afterAutospacing="0" w:line="480" w:lineRule="auto"/>
        <w:jc w:val="both"/>
      </w:pPr>
      <w:r w:rsidRPr="00CB027F">
        <w:rPr>
          <w:lang w:val="en-US"/>
        </w:rPr>
        <w:t xml:space="preserve">CmIDH. </w:t>
      </w:r>
      <w:r w:rsidRPr="00CB027F">
        <w:rPr>
          <w:b/>
          <w:lang w:val="en-US"/>
        </w:rPr>
        <w:t>“Principal guidelines for a comprehensive reparations policy”.</w:t>
      </w:r>
      <w:r w:rsidR="005F55EF" w:rsidRPr="00CB027F">
        <w:rPr>
          <w:lang w:val="en-US"/>
        </w:rPr>
        <w:t xml:space="preserve"> </w:t>
      </w:r>
      <w:r w:rsidR="005F55EF" w:rsidRPr="00CB027F">
        <w:t>2008. ..........(38, 39)</w:t>
      </w:r>
    </w:p>
    <w:p w:rsidR="006B1930" w:rsidRPr="00CB027F" w:rsidRDefault="00A627AC" w:rsidP="00CA34F7">
      <w:pPr>
        <w:pStyle w:val="Heading1"/>
        <w:rPr>
          <w:rFonts w:ascii="Times New Roman" w:hAnsi="Times New Roman"/>
        </w:rPr>
      </w:pPr>
      <w:bookmarkStart w:id="9" w:name="_Toc414890810"/>
      <w:r w:rsidRPr="00CB027F">
        <w:rPr>
          <w:rFonts w:ascii="Times New Roman" w:hAnsi="Times New Roman"/>
        </w:rPr>
        <w:t>LISTA DE SIGLAS</w:t>
      </w:r>
      <w:bookmarkEnd w:id="9"/>
    </w:p>
    <w:p w:rsidR="009C6B2D" w:rsidRPr="00CB027F" w:rsidRDefault="009C6B2D" w:rsidP="009C6B2D">
      <w:pPr>
        <w:rPr>
          <w:b/>
          <w:szCs w:val="24"/>
        </w:rPr>
      </w:pPr>
      <w:r w:rsidRPr="00CB027F">
        <w:rPr>
          <w:b/>
          <w:szCs w:val="24"/>
        </w:rPr>
        <w:t>§(§§) – Parágrafo (s)</w:t>
      </w:r>
    </w:p>
    <w:p w:rsidR="00194C29" w:rsidRPr="00CB027F" w:rsidRDefault="00194C29" w:rsidP="009C6B2D">
      <w:pPr>
        <w:rPr>
          <w:b/>
          <w:szCs w:val="24"/>
        </w:rPr>
      </w:pPr>
      <w:r w:rsidRPr="00CB027F">
        <w:rPr>
          <w:b/>
          <w:szCs w:val="24"/>
        </w:rPr>
        <w:t>CADH – Convenção Americana de Direitos Humanos</w:t>
      </w:r>
    </w:p>
    <w:p w:rsidR="00194C29" w:rsidRPr="00CB027F" w:rsidRDefault="00194C29" w:rsidP="009C6B2D">
      <w:pPr>
        <w:rPr>
          <w:b/>
          <w:szCs w:val="24"/>
        </w:rPr>
      </w:pPr>
      <w:r w:rsidRPr="00CB027F">
        <w:rPr>
          <w:b/>
          <w:szCs w:val="24"/>
        </w:rPr>
        <w:t>CmIDH – Comissão Interamericana de Direitos Humanos</w:t>
      </w:r>
    </w:p>
    <w:p w:rsidR="00194C29" w:rsidRPr="00CB027F" w:rsidRDefault="00194C29" w:rsidP="009C6B2D">
      <w:pPr>
        <w:rPr>
          <w:b/>
          <w:szCs w:val="24"/>
        </w:rPr>
      </w:pPr>
      <w:r w:rsidRPr="00CB027F">
        <w:rPr>
          <w:b/>
          <w:szCs w:val="24"/>
        </w:rPr>
        <w:t>CrIDH – Corte Interamericana de Direitos Humanos</w:t>
      </w:r>
    </w:p>
    <w:p w:rsidR="00063196" w:rsidRPr="00CB027F" w:rsidRDefault="00063196" w:rsidP="009C6B2D">
      <w:pPr>
        <w:rPr>
          <w:b/>
          <w:szCs w:val="24"/>
        </w:rPr>
      </w:pPr>
      <w:r w:rsidRPr="00CB027F">
        <w:rPr>
          <w:b/>
          <w:szCs w:val="24"/>
        </w:rPr>
        <w:t>CmADHP – Comissão Africana de Direitos Humanos e dos Povos</w:t>
      </w:r>
    </w:p>
    <w:p w:rsidR="00063196" w:rsidRPr="00CB027F" w:rsidRDefault="00063196" w:rsidP="009C6B2D">
      <w:pPr>
        <w:rPr>
          <w:b/>
          <w:szCs w:val="24"/>
        </w:rPr>
      </w:pPr>
      <w:r w:rsidRPr="00CB027F">
        <w:rPr>
          <w:b/>
          <w:szCs w:val="24"/>
        </w:rPr>
        <w:t>CrADHP – Corte Africana de Direitos Humanos e dos Povos</w:t>
      </w:r>
    </w:p>
    <w:p w:rsidR="00194C29" w:rsidRPr="00CB027F" w:rsidRDefault="00194C29" w:rsidP="009C6B2D">
      <w:pPr>
        <w:rPr>
          <w:b/>
          <w:szCs w:val="24"/>
        </w:rPr>
      </w:pPr>
      <w:r w:rsidRPr="00CB027F">
        <w:rPr>
          <w:b/>
          <w:szCs w:val="24"/>
        </w:rPr>
        <w:t>CVDT – Convenção de Viena sobre o Direito dos Tratados</w:t>
      </w:r>
    </w:p>
    <w:p w:rsidR="00194C29" w:rsidRPr="00CB027F" w:rsidRDefault="00194C29" w:rsidP="009C6B2D">
      <w:pPr>
        <w:rPr>
          <w:b/>
          <w:szCs w:val="24"/>
        </w:rPr>
      </w:pPr>
      <w:r w:rsidRPr="00CB027F">
        <w:rPr>
          <w:b/>
          <w:szCs w:val="24"/>
        </w:rPr>
        <w:t>DUDH – Declaração Universal de Direitos Humanos</w:t>
      </w:r>
    </w:p>
    <w:p w:rsidR="00194C29" w:rsidRPr="00CB027F" w:rsidRDefault="00194C29" w:rsidP="009C6B2D">
      <w:pPr>
        <w:rPr>
          <w:b/>
          <w:szCs w:val="24"/>
        </w:rPr>
      </w:pPr>
      <w:r w:rsidRPr="00CB027F">
        <w:rPr>
          <w:b/>
          <w:szCs w:val="24"/>
        </w:rPr>
        <w:t>MP – Ministério Público de Cardenal</w:t>
      </w:r>
    </w:p>
    <w:p w:rsidR="00194C29" w:rsidRPr="00CB027F" w:rsidRDefault="00194C29" w:rsidP="009C6B2D">
      <w:pPr>
        <w:rPr>
          <w:b/>
          <w:szCs w:val="24"/>
        </w:rPr>
      </w:pPr>
      <w:r w:rsidRPr="00CB027F">
        <w:rPr>
          <w:b/>
          <w:szCs w:val="24"/>
        </w:rPr>
        <w:t>MRLB – Movimento Revolucionário Liberdade Boneca</w:t>
      </w:r>
    </w:p>
    <w:p w:rsidR="00194C29" w:rsidRPr="00CB027F" w:rsidRDefault="00194C29" w:rsidP="009C6B2D">
      <w:pPr>
        <w:rPr>
          <w:b/>
          <w:szCs w:val="24"/>
        </w:rPr>
      </w:pPr>
      <w:r w:rsidRPr="00CB027F">
        <w:rPr>
          <w:b/>
          <w:szCs w:val="24"/>
        </w:rPr>
        <w:t>PIDCP – Pacto Internacional de Direitos Civis e Políticos</w:t>
      </w:r>
    </w:p>
    <w:p w:rsidR="00194C29" w:rsidRPr="00CB027F" w:rsidRDefault="00194C29" w:rsidP="009C6B2D">
      <w:pPr>
        <w:rPr>
          <w:b/>
          <w:szCs w:val="24"/>
        </w:rPr>
      </w:pPr>
      <w:r w:rsidRPr="00CB027F">
        <w:rPr>
          <w:b/>
          <w:szCs w:val="24"/>
        </w:rPr>
        <w:t>SIDH – Sistema Interamericano de Direitos Humanos</w:t>
      </w:r>
    </w:p>
    <w:p w:rsidR="00194C29" w:rsidRPr="00CB027F" w:rsidRDefault="00194C29" w:rsidP="009C6B2D">
      <w:pPr>
        <w:rPr>
          <w:b/>
          <w:szCs w:val="24"/>
        </w:rPr>
      </w:pPr>
      <w:r w:rsidRPr="00CB027F">
        <w:rPr>
          <w:b/>
          <w:szCs w:val="24"/>
        </w:rPr>
        <w:t>TEDH – Tribunal Europeu de Direitos Humanos</w:t>
      </w:r>
    </w:p>
    <w:p w:rsidR="00194C29" w:rsidRPr="00CB027F" w:rsidRDefault="00194C29" w:rsidP="009C6B2D">
      <w:pPr>
        <w:rPr>
          <w:b/>
          <w:szCs w:val="24"/>
        </w:rPr>
      </w:pPr>
      <w:r w:rsidRPr="00CB027F">
        <w:rPr>
          <w:b/>
          <w:szCs w:val="24"/>
        </w:rPr>
        <w:t>TPI – Tribunal Penal Internacional</w:t>
      </w:r>
    </w:p>
    <w:p w:rsidR="00194C29" w:rsidRPr="00CB027F" w:rsidRDefault="00194C29" w:rsidP="00A627AC">
      <w:pPr>
        <w:rPr>
          <w:b/>
          <w:szCs w:val="24"/>
        </w:rPr>
      </w:pPr>
      <w:r w:rsidRPr="00CB027F">
        <w:rPr>
          <w:b/>
          <w:szCs w:val="24"/>
        </w:rPr>
        <w:t>TTE – Tribunal Transicional Especializado de Cardenal</w:t>
      </w:r>
    </w:p>
    <w:p w:rsidR="005A443D" w:rsidRDefault="005A443D">
      <w:pPr>
        <w:spacing w:line="240" w:lineRule="auto"/>
        <w:rPr>
          <w:b/>
          <w:szCs w:val="24"/>
        </w:rPr>
      </w:pPr>
      <w:r>
        <w:rPr>
          <w:b/>
          <w:szCs w:val="24"/>
        </w:rPr>
        <w:br w:type="page"/>
      </w:r>
    </w:p>
    <w:p w:rsidR="00CC6FBB" w:rsidRPr="00CB027F" w:rsidRDefault="00CC6FBB" w:rsidP="00012EB0">
      <w:pPr>
        <w:jc w:val="center"/>
        <w:rPr>
          <w:szCs w:val="24"/>
        </w:rPr>
      </w:pPr>
      <w:r w:rsidRPr="00CB027F">
        <w:rPr>
          <w:b/>
          <w:szCs w:val="24"/>
        </w:rPr>
        <w:lastRenderedPageBreak/>
        <w:t>EXCELENTÍSSIMO SENHOR JUIZ PRESIDENTE DA HONORÁVEL CORTE INTERAMERICANA DE DIREITOS HUMANOS</w:t>
      </w:r>
    </w:p>
    <w:p w:rsidR="00CC6FBB" w:rsidRPr="00CB027F" w:rsidRDefault="00CC6FBB" w:rsidP="00CC6FBB">
      <w:pPr>
        <w:jc w:val="both"/>
        <w:rPr>
          <w:b/>
          <w:szCs w:val="24"/>
        </w:rPr>
      </w:pPr>
      <w:r w:rsidRPr="00CB027F">
        <w:rPr>
          <w:szCs w:val="24"/>
        </w:rPr>
        <w:t>Em razão da convocação para audiência entre as partes dos casos Ricardo Bolt, Aníbal Lopez e Lucrécia Rossi vs. República Cardenal, os representante</w:t>
      </w:r>
      <w:r w:rsidR="004F5C20" w:rsidRPr="00CB027F">
        <w:rPr>
          <w:szCs w:val="24"/>
        </w:rPr>
        <w:t>s</w:t>
      </w:r>
      <w:r w:rsidRPr="00CB027F">
        <w:rPr>
          <w:szCs w:val="24"/>
        </w:rPr>
        <w:t xml:space="preserve"> das vítimas vêm, respeitosamente, submeter à apreciação desta Honorável Corte o presente memorial, contendo a síntese dos fatos objeto de controvérsia, as questões de admissibilidade e </w:t>
      </w:r>
      <w:r w:rsidR="00A90FEC" w:rsidRPr="00CB027F">
        <w:rPr>
          <w:szCs w:val="24"/>
        </w:rPr>
        <w:t xml:space="preserve">o </w:t>
      </w:r>
      <w:r w:rsidRPr="00CB027F">
        <w:rPr>
          <w:szCs w:val="24"/>
        </w:rPr>
        <w:t xml:space="preserve">mérito da demanda, </w:t>
      </w:r>
      <w:r w:rsidR="00A90FEC" w:rsidRPr="00CB027F">
        <w:rPr>
          <w:szCs w:val="24"/>
        </w:rPr>
        <w:t>com</w:t>
      </w:r>
      <w:r w:rsidRPr="00CB027F">
        <w:rPr>
          <w:szCs w:val="24"/>
        </w:rPr>
        <w:t xml:space="preserve"> seus consequentes pedidos de reparação. </w:t>
      </w:r>
    </w:p>
    <w:p w:rsidR="00455C33" w:rsidRPr="00CB027F" w:rsidRDefault="00455C33" w:rsidP="00012EB0">
      <w:pPr>
        <w:pStyle w:val="Heading1"/>
        <w:rPr>
          <w:rFonts w:ascii="Times New Roman" w:hAnsi="Times New Roman"/>
        </w:rPr>
      </w:pPr>
      <w:bookmarkStart w:id="10" w:name="_Toc414890811"/>
      <w:r w:rsidRPr="00CB027F">
        <w:rPr>
          <w:rFonts w:ascii="Times New Roman" w:hAnsi="Times New Roman"/>
          <w:b w:val="0"/>
          <w:bCs w:val="0"/>
        </w:rPr>
        <w:t>1.</w:t>
      </w:r>
      <w:r w:rsidRPr="00CB027F">
        <w:rPr>
          <w:rFonts w:ascii="Times New Roman" w:hAnsi="Times New Roman"/>
        </w:rPr>
        <w:t xml:space="preserve"> DOS FATOS</w:t>
      </w:r>
      <w:bookmarkEnd w:id="10"/>
    </w:p>
    <w:p w:rsidR="00D87CB6" w:rsidRPr="00CB027F" w:rsidRDefault="00D87CB6" w:rsidP="00D87CB6">
      <w:pPr>
        <w:jc w:val="both"/>
        <w:rPr>
          <w:szCs w:val="24"/>
        </w:rPr>
      </w:pPr>
      <w:r w:rsidRPr="00CB027F">
        <w:rPr>
          <w:szCs w:val="24"/>
        </w:rPr>
        <w:t xml:space="preserve">A República Cardenal é hoje um Estado independente e democrático, com população de 100 milhões de habitantes, dos quais pouco mais de 4 milhões se autodeclaram pertencentes ao povo indígena boneca. A ditadura de enfoque integracionista instalada na década de 1960, responsável por deflagrar um conflito armado entre forças públicas e a comunidade boneca, deixou centenas de milhares de mortos e desaparecidos. </w:t>
      </w:r>
    </w:p>
    <w:p w:rsidR="00D87CB6" w:rsidRPr="00CB027F" w:rsidRDefault="00D87CB6" w:rsidP="00D87CB6">
      <w:pPr>
        <w:jc w:val="both"/>
        <w:rPr>
          <w:szCs w:val="24"/>
        </w:rPr>
      </w:pPr>
      <w:r w:rsidRPr="00CB027F">
        <w:rPr>
          <w:szCs w:val="24"/>
        </w:rPr>
        <w:t>Cardenal é membro da OEA desde a sua fundação</w:t>
      </w:r>
      <w:r w:rsidR="001D3AC1" w:rsidRPr="00CB027F">
        <w:rPr>
          <w:szCs w:val="24"/>
        </w:rPr>
        <w:t>,</w:t>
      </w:r>
      <w:r w:rsidRPr="00CB027F">
        <w:rPr>
          <w:szCs w:val="24"/>
        </w:rPr>
        <w:t xml:space="preserve"> </w:t>
      </w:r>
      <w:r w:rsidR="00247BBE" w:rsidRPr="00CB027F">
        <w:rPr>
          <w:szCs w:val="24"/>
        </w:rPr>
        <w:t xml:space="preserve">e </w:t>
      </w:r>
      <w:r w:rsidR="00470FA3" w:rsidRPr="00CB027F">
        <w:rPr>
          <w:szCs w:val="24"/>
        </w:rPr>
        <w:t>r</w:t>
      </w:r>
      <w:r w:rsidRPr="00CB027F">
        <w:rPr>
          <w:szCs w:val="24"/>
        </w:rPr>
        <w:t>atificou a CADH em 1990</w:t>
      </w:r>
      <w:r w:rsidR="00247BBE" w:rsidRPr="00CB027F">
        <w:rPr>
          <w:szCs w:val="24"/>
        </w:rPr>
        <w:t>, quando também</w:t>
      </w:r>
      <w:r w:rsidRPr="00CB027F">
        <w:rPr>
          <w:szCs w:val="24"/>
        </w:rPr>
        <w:t xml:space="preserve"> aceitou a competência contenciosa d</w:t>
      </w:r>
      <w:r w:rsidR="00247BBE" w:rsidRPr="00CB027F">
        <w:rPr>
          <w:szCs w:val="24"/>
        </w:rPr>
        <w:t>est</w:t>
      </w:r>
      <w:r w:rsidRPr="00CB027F">
        <w:rPr>
          <w:szCs w:val="24"/>
        </w:rPr>
        <w:t xml:space="preserve">a Corte. É signatária de todos os tratados de direitos humanos da organização, </w:t>
      </w:r>
      <w:r w:rsidR="00470FA3" w:rsidRPr="00CB027F">
        <w:rPr>
          <w:szCs w:val="24"/>
        </w:rPr>
        <w:t xml:space="preserve">tendo ratificado </w:t>
      </w:r>
      <w:r w:rsidRPr="00CB027F">
        <w:rPr>
          <w:szCs w:val="24"/>
        </w:rPr>
        <w:t xml:space="preserve">o Estatuto de Roma </w:t>
      </w:r>
      <w:r w:rsidR="00470FA3" w:rsidRPr="00CB027F">
        <w:rPr>
          <w:szCs w:val="24"/>
        </w:rPr>
        <w:t>em 2001</w:t>
      </w:r>
      <w:r w:rsidRPr="00CB027F">
        <w:rPr>
          <w:szCs w:val="24"/>
        </w:rPr>
        <w:t>.</w:t>
      </w:r>
    </w:p>
    <w:p w:rsidR="00D87CB6" w:rsidRPr="00CB027F" w:rsidRDefault="00D87CB6" w:rsidP="00D87CB6">
      <w:pPr>
        <w:jc w:val="both"/>
        <w:rPr>
          <w:szCs w:val="24"/>
        </w:rPr>
      </w:pPr>
      <w:r w:rsidRPr="00CB027F">
        <w:rPr>
          <w:szCs w:val="24"/>
        </w:rPr>
        <w:t>O histórico de massacres e perseguições impostos à comunidade boneca fez surgir um grupo armado de cunho comunista e separatista, conhecido como</w:t>
      </w:r>
      <w:r w:rsidR="00455C33" w:rsidRPr="00CB027F">
        <w:rPr>
          <w:szCs w:val="24"/>
        </w:rPr>
        <w:t xml:space="preserve"> </w:t>
      </w:r>
      <w:r w:rsidRPr="00CB027F">
        <w:rPr>
          <w:szCs w:val="24"/>
        </w:rPr>
        <w:t xml:space="preserve">MRLB. Buscando o reconhecimento de seus direitos e sua liberdade, o grupo acendeu acirrado enfrentamento contra as forças armadas nacionais, com reflexos especialmente violentos na região boneca, que resultou na morte, desaparecimento e violações dos direitos de mais de 300 mil pessoas. </w:t>
      </w:r>
    </w:p>
    <w:p w:rsidR="00D87CB6" w:rsidRPr="00CB027F" w:rsidRDefault="00D87CB6" w:rsidP="00D87CB6">
      <w:pPr>
        <w:jc w:val="both"/>
        <w:rPr>
          <w:szCs w:val="24"/>
        </w:rPr>
      </w:pPr>
      <w:r w:rsidRPr="00CB027F">
        <w:rPr>
          <w:szCs w:val="24"/>
        </w:rPr>
        <w:t>Após anos de ditadura, no fim da década de 1990</w:t>
      </w:r>
      <w:r w:rsidR="00455C33" w:rsidRPr="00CB027F">
        <w:rPr>
          <w:szCs w:val="24"/>
        </w:rPr>
        <w:t>,</w:t>
      </w:r>
      <w:r w:rsidRPr="00CB027F">
        <w:rPr>
          <w:szCs w:val="24"/>
        </w:rPr>
        <w:t xml:space="preserve"> foram realizadas eleições presidenciais democráticas</w:t>
      </w:r>
      <w:r w:rsidR="00470FA3" w:rsidRPr="00CB027F">
        <w:rPr>
          <w:szCs w:val="24"/>
        </w:rPr>
        <w:t xml:space="preserve">, elegendo Armando Ferreira, </w:t>
      </w:r>
      <w:r w:rsidRPr="00CB027F">
        <w:rPr>
          <w:szCs w:val="24"/>
        </w:rPr>
        <w:t xml:space="preserve">cuja bandeira era o combate armado ao movimento </w:t>
      </w:r>
      <w:r w:rsidRPr="00CB027F">
        <w:rPr>
          <w:szCs w:val="24"/>
        </w:rPr>
        <w:lastRenderedPageBreak/>
        <w:t xml:space="preserve">boneca. Ferreira implementou um programa de fortalecimento </w:t>
      </w:r>
      <w:r w:rsidR="00A90FEC" w:rsidRPr="00CB027F">
        <w:rPr>
          <w:szCs w:val="24"/>
        </w:rPr>
        <w:t>d</w:t>
      </w:r>
      <w:r w:rsidRPr="00CB027F">
        <w:rPr>
          <w:szCs w:val="24"/>
        </w:rPr>
        <w:t>as forças militares, atribuindo-lhes</w:t>
      </w:r>
      <w:r w:rsidR="00247BBE" w:rsidRPr="00CB027F">
        <w:rPr>
          <w:szCs w:val="24"/>
        </w:rPr>
        <w:t xml:space="preserve"> amplas</w:t>
      </w:r>
      <w:r w:rsidRPr="00CB027F">
        <w:rPr>
          <w:szCs w:val="24"/>
        </w:rPr>
        <w:t xml:space="preserve"> competências judiciais e administrativas</w:t>
      </w:r>
      <w:r w:rsidR="00455C33" w:rsidRPr="00CB027F">
        <w:rPr>
          <w:szCs w:val="24"/>
        </w:rPr>
        <w:t>.</w:t>
      </w:r>
      <w:r w:rsidRPr="00CB027F">
        <w:rPr>
          <w:szCs w:val="24"/>
        </w:rPr>
        <w:t xml:space="preserve"> Anos depois</w:t>
      </w:r>
      <w:r w:rsidR="00455C33" w:rsidRPr="00CB027F">
        <w:rPr>
          <w:szCs w:val="24"/>
        </w:rPr>
        <w:t>,</w:t>
      </w:r>
      <w:r w:rsidRPr="00CB027F">
        <w:rPr>
          <w:szCs w:val="24"/>
        </w:rPr>
        <w:t xml:space="preserve"> proclamou um autogolpe de Estado, promove</w:t>
      </w:r>
      <w:r w:rsidR="00247BBE" w:rsidRPr="00CB027F">
        <w:rPr>
          <w:szCs w:val="24"/>
        </w:rPr>
        <w:t>ndo</w:t>
      </w:r>
      <w:r w:rsidRPr="00CB027F">
        <w:rPr>
          <w:szCs w:val="24"/>
        </w:rPr>
        <w:t xml:space="preserve"> a dissolução do Congresso e o recrudescimento do conflito armado. </w:t>
      </w:r>
    </w:p>
    <w:p w:rsidR="00D87CB6" w:rsidRPr="00CB027F" w:rsidRDefault="00D87CB6" w:rsidP="00D87CB6">
      <w:pPr>
        <w:jc w:val="both"/>
        <w:rPr>
          <w:szCs w:val="24"/>
        </w:rPr>
      </w:pPr>
      <w:r w:rsidRPr="00CB027F">
        <w:rPr>
          <w:szCs w:val="24"/>
        </w:rPr>
        <w:t>Nesse cenário, com aumento na repressão e na perseguição aos líderes oposicionistas, ocorreu o Sequestro dos Anjinhos, em que uma coluna do MRLB sequestrou um ônibus escolar com 23 crianças. O acontecimento gerou enorme tensão social</w:t>
      </w:r>
      <w:r w:rsidR="00247BBE" w:rsidRPr="00CB027F">
        <w:rPr>
          <w:szCs w:val="24"/>
        </w:rPr>
        <w:t>,</w:t>
      </w:r>
      <w:r w:rsidRPr="00CB027F">
        <w:rPr>
          <w:szCs w:val="24"/>
        </w:rPr>
        <w:t xml:space="preserve"> pois o cárcere se estendeu por 90 dias com exigências que o </w:t>
      </w:r>
      <w:r w:rsidR="00247BBE" w:rsidRPr="00CB027F">
        <w:rPr>
          <w:szCs w:val="24"/>
        </w:rPr>
        <w:t>g</w:t>
      </w:r>
      <w:r w:rsidRPr="00CB027F">
        <w:rPr>
          <w:szCs w:val="24"/>
        </w:rPr>
        <w:t xml:space="preserve">overno se recusava a aceitar. </w:t>
      </w:r>
      <w:r w:rsidR="00470FA3" w:rsidRPr="00CB027F">
        <w:rPr>
          <w:szCs w:val="24"/>
        </w:rPr>
        <w:t xml:space="preserve">Foram então adotadas </w:t>
      </w:r>
      <w:r w:rsidRPr="00CB027F">
        <w:rPr>
          <w:szCs w:val="24"/>
        </w:rPr>
        <w:t>operações militares para recuperar as crianças</w:t>
      </w:r>
      <w:r w:rsidR="00247BBE" w:rsidRPr="00CB027F">
        <w:rPr>
          <w:szCs w:val="24"/>
        </w:rPr>
        <w:t>,</w:t>
      </w:r>
      <w:r w:rsidRPr="00CB027F">
        <w:rPr>
          <w:szCs w:val="24"/>
        </w:rPr>
        <w:t xml:space="preserve"> </w:t>
      </w:r>
      <w:r w:rsidR="00455C33" w:rsidRPr="00CB027F">
        <w:rPr>
          <w:szCs w:val="24"/>
        </w:rPr>
        <w:t>caracterizadas</w:t>
      </w:r>
      <w:r w:rsidRPr="00CB027F">
        <w:rPr>
          <w:szCs w:val="24"/>
        </w:rPr>
        <w:t xml:space="preserve"> por invasões abusivas, detenções arbitrárias e torturas.</w:t>
      </w:r>
    </w:p>
    <w:p w:rsidR="00D87CB6" w:rsidRPr="00CB027F" w:rsidRDefault="00D87CB6" w:rsidP="00D87CB6">
      <w:pPr>
        <w:jc w:val="both"/>
        <w:rPr>
          <w:szCs w:val="24"/>
        </w:rPr>
      </w:pPr>
      <w:r w:rsidRPr="00CB027F">
        <w:rPr>
          <w:szCs w:val="24"/>
        </w:rPr>
        <w:t xml:space="preserve">Em 28/03/2000, forças de inteligência obtiveram informações </w:t>
      </w:r>
      <w:r w:rsidR="00D228CA" w:rsidRPr="00CB027F">
        <w:rPr>
          <w:szCs w:val="24"/>
        </w:rPr>
        <w:t>que</w:t>
      </w:r>
      <w:r w:rsidRPr="00CB027F">
        <w:rPr>
          <w:szCs w:val="24"/>
        </w:rPr>
        <w:t xml:space="preserve"> revelaram possível local de cárcere das crianças, além da participação de sete sequestradores, dentre eles três supostos militantes do MRLB: Paulo Mukundi, Ricardo Bolt e Lucrécia Rossi.</w:t>
      </w:r>
    </w:p>
    <w:p w:rsidR="00D87CB6" w:rsidRPr="00CB027F" w:rsidRDefault="00D87CB6" w:rsidP="00D87CB6">
      <w:pPr>
        <w:jc w:val="both"/>
        <w:rPr>
          <w:szCs w:val="24"/>
        </w:rPr>
      </w:pPr>
      <w:r w:rsidRPr="00CB027F">
        <w:rPr>
          <w:szCs w:val="24"/>
        </w:rPr>
        <w:t>Na operação de resgate das crianças, um</w:t>
      </w:r>
      <w:r w:rsidR="00455C33" w:rsidRPr="00CB027F">
        <w:rPr>
          <w:szCs w:val="24"/>
        </w:rPr>
        <w:t xml:space="preserve"> barulho de</w:t>
      </w:r>
      <w:r w:rsidRPr="00CB027F">
        <w:rPr>
          <w:szCs w:val="24"/>
        </w:rPr>
        <w:t xml:space="preserve"> explosão </w:t>
      </w:r>
      <w:r w:rsidR="00455C33" w:rsidRPr="00CB027F">
        <w:rPr>
          <w:szCs w:val="24"/>
        </w:rPr>
        <w:t>n</w:t>
      </w:r>
      <w:r w:rsidRPr="00CB027F">
        <w:rPr>
          <w:szCs w:val="24"/>
        </w:rPr>
        <w:t>o interior da casa utilizada como cárcere motivou o início do enfrentamento com os sequestradores e a invasão pelas forças públicas de Cardenal, que receberam ordens diretas do Presidente Ferreira</w:t>
      </w:r>
      <w:r w:rsidR="00470FA3" w:rsidRPr="00CB027F">
        <w:rPr>
          <w:szCs w:val="24"/>
        </w:rPr>
        <w:t xml:space="preserve"> em sua atuação</w:t>
      </w:r>
      <w:r w:rsidRPr="00CB027F">
        <w:rPr>
          <w:szCs w:val="24"/>
        </w:rPr>
        <w:t xml:space="preserve">. Após o confronto armado, foram encontrados na casa os corpos de dois militantes do MRLB e os de </w:t>
      </w:r>
      <w:r w:rsidR="00247BBE" w:rsidRPr="00CB027F">
        <w:rPr>
          <w:szCs w:val="24"/>
        </w:rPr>
        <w:t>4</w:t>
      </w:r>
      <w:r w:rsidRPr="00CB027F">
        <w:rPr>
          <w:szCs w:val="24"/>
        </w:rPr>
        <w:t xml:space="preserve"> crianças</w:t>
      </w:r>
      <w:r w:rsidR="00D228CA" w:rsidRPr="00CB027F">
        <w:rPr>
          <w:szCs w:val="24"/>
        </w:rPr>
        <w:t>,</w:t>
      </w:r>
      <w:r w:rsidRPr="00CB027F">
        <w:rPr>
          <w:szCs w:val="24"/>
        </w:rPr>
        <w:t xml:space="preserve"> dentre as quais Aníbal López. Não havia sinais da presença de Bolt, Mukundi ou Rossi. </w:t>
      </w:r>
    </w:p>
    <w:p w:rsidR="00D87CB6" w:rsidRPr="00CB027F" w:rsidRDefault="00D87CB6" w:rsidP="00D87CB6">
      <w:pPr>
        <w:jc w:val="both"/>
        <w:rPr>
          <w:szCs w:val="24"/>
        </w:rPr>
      </w:pPr>
      <w:r w:rsidRPr="00CB027F">
        <w:rPr>
          <w:szCs w:val="24"/>
        </w:rPr>
        <w:t xml:space="preserve"> A morte das crianças e as circunstâncias envolvidas no sequestro lev</w:t>
      </w:r>
      <w:r w:rsidR="004F5C20" w:rsidRPr="00CB027F">
        <w:rPr>
          <w:szCs w:val="24"/>
        </w:rPr>
        <w:t>aram</w:t>
      </w:r>
      <w:r w:rsidRPr="00CB027F">
        <w:rPr>
          <w:szCs w:val="24"/>
        </w:rPr>
        <w:t xml:space="preserve"> o Presidente a assumir publicamente uma postura de vingança contra os </w:t>
      </w:r>
      <w:r w:rsidR="00455C33" w:rsidRPr="00CB027F">
        <w:rPr>
          <w:szCs w:val="24"/>
        </w:rPr>
        <w:t>suspeitos</w:t>
      </w:r>
      <w:r w:rsidRPr="00CB027F">
        <w:rPr>
          <w:szCs w:val="24"/>
        </w:rPr>
        <w:t xml:space="preserve"> </w:t>
      </w:r>
      <w:r w:rsidR="00455C33" w:rsidRPr="00CB027F">
        <w:rPr>
          <w:szCs w:val="24"/>
        </w:rPr>
        <w:t>d</w:t>
      </w:r>
      <w:r w:rsidR="00247BBE" w:rsidRPr="00CB027F">
        <w:rPr>
          <w:szCs w:val="24"/>
        </w:rPr>
        <w:t>o crime</w:t>
      </w:r>
      <w:r w:rsidRPr="00CB027F">
        <w:rPr>
          <w:szCs w:val="24"/>
        </w:rPr>
        <w:t xml:space="preserve">. Já o MRLB atribuiu as mortes à atitude negligente e despreparada da polícia. A partir daí, o Presidente ordenou uma busca </w:t>
      </w:r>
      <w:r w:rsidR="004F5C20" w:rsidRPr="00CB027F">
        <w:rPr>
          <w:szCs w:val="24"/>
        </w:rPr>
        <w:t>desenfreada</w:t>
      </w:r>
      <w:r w:rsidRPr="00CB027F">
        <w:rPr>
          <w:szCs w:val="24"/>
        </w:rPr>
        <w:t xml:space="preserve"> dos </w:t>
      </w:r>
      <w:r w:rsidR="00455C33" w:rsidRPr="00CB027F">
        <w:rPr>
          <w:szCs w:val="24"/>
        </w:rPr>
        <w:t>supostos envolvidos</w:t>
      </w:r>
      <w:r w:rsidRPr="00CB027F">
        <w:rPr>
          <w:szCs w:val="24"/>
        </w:rPr>
        <w:t xml:space="preserve"> no sequestro.</w:t>
      </w:r>
      <w:r w:rsidR="0087591B" w:rsidRPr="00CB027F">
        <w:rPr>
          <w:rStyle w:val="FootnoteReference"/>
          <w:szCs w:val="24"/>
        </w:rPr>
        <w:footnoteReference w:id="1"/>
      </w:r>
      <w:r w:rsidRPr="00CB027F">
        <w:rPr>
          <w:szCs w:val="24"/>
        </w:rPr>
        <w:t xml:space="preserve"> Foram registrados abusos, assédios, torturas e invasões à comunidade boneca de que Bolt fazia parte.</w:t>
      </w:r>
    </w:p>
    <w:p w:rsidR="00D87CB6" w:rsidRPr="00CB027F" w:rsidRDefault="00D87CB6" w:rsidP="00D87CB6">
      <w:pPr>
        <w:jc w:val="both"/>
        <w:rPr>
          <w:szCs w:val="24"/>
        </w:rPr>
      </w:pPr>
      <w:r w:rsidRPr="00CB027F">
        <w:rPr>
          <w:szCs w:val="24"/>
        </w:rPr>
        <w:t xml:space="preserve">As investigações do Estado resultaram em mais manifestações do povo boneca, combatidas com uso indiscriminado do aparato repressor militar. Meses depois, Lucrécia Rossi foi encontrada </w:t>
      </w:r>
      <w:r w:rsidRPr="00CB027F">
        <w:rPr>
          <w:szCs w:val="24"/>
        </w:rPr>
        <w:lastRenderedPageBreak/>
        <w:t>esquartejada e com sinais de violência sexual em uma praça da capital. Já em abril de 2002, Paulo Mukundi, condenado à revelia à prisão perpétua</w:t>
      </w:r>
      <w:r w:rsidR="00D228CA" w:rsidRPr="00CB027F">
        <w:rPr>
          <w:szCs w:val="24"/>
        </w:rPr>
        <w:t xml:space="preserve"> por participação no sequestro</w:t>
      </w:r>
      <w:r w:rsidRPr="00CB027F">
        <w:rPr>
          <w:szCs w:val="24"/>
        </w:rPr>
        <w:t xml:space="preserve">, foi apresentado como recém capturado pela polícia. Entretanto, Mukundi denunciou ter sido vítima de detenção ilegal e tortura em uma prisão clandestina. Alegou ainda ter estado na presença de Bolt, também alvo de tais violações, alegações refutadas pela polícia. </w:t>
      </w:r>
      <w:r w:rsidR="007C1B3A" w:rsidRPr="00CB027F">
        <w:rPr>
          <w:szCs w:val="24"/>
        </w:rPr>
        <w:t xml:space="preserve">Bolt </w:t>
      </w:r>
      <w:r w:rsidR="00835695" w:rsidRPr="00CB027F">
        <w:rPr>
          <w:szCs w:val="24"/>
        </w:rPr>
        <w:t xml:space="preserve">também fora </w:t>
      </w:r>
      <w:r w:rsidR="007C1B3A" w:rsidRPr="00CB027F">
        <w:rPr>
          <w:szCs w:val="24"/>
        </w:rPr>
        <w:t xml:space="preserve">julgado à revelia e condenado à prisão perpétua. Não obstante, </w:t>
      </w:r>
      <w:r w:rsidR="00835695" w:rsidRPr="00CB027F">
        <w:rPr>
          <w:szCs w:val="24"/>
        </w:rPr>
        <w:t>seu corpo</w:t>
      </w:r>
      <w:r w:rsidR="007C1B3A" w:rsidRPr="00CB027F">
        <w:rPr>
          <w:szCs w:val="24"/>
        </w:rPr>
        <w:t xml:space="preserve"> nunca foi encontrado.</w:t>
      </w:r>
    </w:p>
    <w:p w:rsidR="00D87CB6" w:rsidRPr="00CB027F" w:rsidRDefault="00D87CB6" w:rsidP="00D87CB6">
      <w:pPr>
        <w:jc w:val="both"/>
        <w:rPr>
          <w:szCs w:val="24"/>
        </w:rPr>
      </w:pPr>
      <w:r w:rsidRPr="00CB027F">
        <w:rPr>
          <w:szCs w:val="24"/>
        </w:rPr>
        <w:t>Em 2006, foram convocadas novas eleições presidenciais</w:t>
      </w:r>
      <w:r w:rsidR="00470FA3" w:rsidRPr="00CB027F">
        <w:rPr>
          <w:szCs w:val="24"/>
        </w:rPr>
        <w:t xml:space="preserve">, sendo eleita </w:t>
      </w:r>
      <w:r w:rsidRPr="00CB027F">
        <w:rPr>
          <w:szCs w:val="24"/>
        </w:rPr>
        <w:t xml:space="preserve">Gabriela Nunes, cuja bandeira principal era a negociação da política de paz. Em dois anos, chegou-se a um acordo para a desmobilização das forças públicas e do MRLB, além de um complexo sistema de justiça transicional. Foram criados a Comissão da Verdade e Esclarecimento Histórico e o Ministério das Vítimas e da Reconciliação, responsável pela implementação das políticas de compensação e indenização às vítimas. </w:t>
      </w:r>
      <w:r w:rsidR="00024D61" w:rsidRPr="00CB027F">
        <w:rPr>
          <w:szCs w:val="24"/>
        </w:rPr>
        <w:t>Um dos casos analisados pela Comissão foi, exatamente, o do Sequestro</w:t>
      </w:r>
      <w:r w:rsidR="00A90FEC" w:rsidRPr="00CB027F">
        <w:rPr>
          <w:szCs w:val="24"/>
        </w:rPr>
        <w:t>.</w:t>
      </w:r>
    </w:p>
    <w:p w:rsidR="00D87CB6" w:rsidRPr="00CB027F" w:rsidRDefault="00D87CB6" w:rsidP="00D87CB6">
      <w:pPr>
        <w:jc w:val="both"/>
        <w:rPr>
          <w:szCs w:val="24"/>
        </w:rPr>
      </w:pPr>
      <w:r w:rsidRPr="00CB027F">
        <w:rPr>
          <w:szCs w:val="24"/>
        </w:rPr>
        <w:t xml:space="preserve">Após sua aprovação, </w:t>
      </w:r>
      <w:r w:rsidR="00024D61" w:rsidRPr="00CB027F">
        <w:rPr>
          <w:szCs w:val="24"/>
        </w:rPr>
        <w:t xml:space="preserve">no entanto, </w:t>
      </w:r>
      <w:r w:rsidRPr="00CB027F">
        <w:rPr>
          <w:szCs w:val="24"/>
        </w:rPr>
        <w:t xml:space="preserve">o sistema de justiça transicional sofreu muitas críticas, com objeções aos trabalhos da Comissão da Verdade e </w:t>
      </w:r>
      <w:r w:rsidR="00A90FEC" w:rsidRPr="00CB027F">
        <w:rPr>
          <w:szCs w:val="24"/>
        </w:rPr>
        <w:t>à</w:t>
      </w:r>
      <w:r w:rsidRPr="00CB027F">
        <w:rPr>
          <w:szCs w:val="24"/>
        </w:rPr>
        <w:t xml:space="preserve"> política punitiva </w:t>
      </w:r>
      <w:r w:rsidR="00A90FEC" w:rsidRPr="00CB027F">
        <w:rPr>
          <w:szCs w:val="24"/>
        </w:rPr>
        <w:t>d</w:t>
      </w:r>
      <w:r w:rsidRPr="00CB027F">
        <w:rPr>
          <w:szCs w:val="24"/>
        </w:rPr>
        <w:t>e desmobiliza</w:t>
      </w:r>
      <w:r w:rsidR="00A90FEC" w:rsidRPr="00CB027F">
        <w:rPr>
          <w:szCs w:val="24"/>
        </w:rPr>
        <w:t>ção</w:t>
      </w:r>
      <w:r w:rsidRPr="00CB027F">
        <w:rPr>
          <w:szCs w:val="24"/>
        </w:rPr>
        <w:t xml:space="preserve"> </w:t>
      </w:r>
      <w:r w:rsidR="00A90FEC" w:rsidRPr="00CB027F">
        <w:rPr>
          <w:szCs w:val="24"/>
        </w:rPr>
        <w:t>d</w:t>
      </w:r>
      <w:r w:rsidRPr="00CB027F">
        <w:rPr>
          <w:szCs w:val="24"/>
        </w:rPr>
        <w:t>os combatentes, pois a redução das sentenças e a renúncia à ação penal</w:t>
      </w:r>
      <w:r w:rsidR="00835695" w:rsidRPr="00CB027F">
        <w:rPr>
          <w:szCs w:val="24"/>
        </w:rPr>
        <w:t xml:space="preserve"> de diversos casos</w:t>
      </w:r>
      <w:r w:rsidRPr="00CB027F">
        <w:rPr>
          <w:szCs w:val="24"/>
        </w:rPr>
        <w:t xml:space="preserve"> seriam uma forma de anistiar os responsáveis. Questionaram-se ainda os valores das indenizações oferecidas às vítimas, insuficientes para reparar os danos ocorridos. </w:t>
      </w:r>
    </w:p>
    <w:p w:rsidR="00D87CB6" w:rsidRPr="00CB027F" w:rsidRDefault="00F95E87" w:rsidP="00D87CB6">
      <w:pPr>
        <w:jc w:val="both"/>
        <w:rPr>
          <w:szCs w:val="24"/>
        </w:rPr>
      </w:pPr>
      <w:r w:rsidRPr="00CB027F">
        <w:rPr>
          <w:szCs w:val="24"/>
        </w:rPr>
        <w:t>Neste cenário, t</w:t>
      </w:r>
      <w:r w:rsidR="00D87CB6" w:rsidRPr="00CB027F">
        <w:rPr>
          <w:szCs w:val="24"/>
        </w:rPr>
        <w:t>endo em vista os acontecimentos relacionados ao episódio do Sequestro dos Anjinhos, Annika Bolt, esposa de Ricardo Bolt, apresentou</w:t>
      </w:r>
      <w:r w:rsidR="00496362" w:rsidRPr="00CB027F">
        <w:rPr>
          <w:szCs w:val="24"/>
        </w:rPr>
        <w:t xml:space="preserve"> </w:t>
      </w:r>
      <w:r w:rsidR="00D87CB6" w:rsidRPr="00CB027F">
        <w:rPr>
          <w:szCs w:val="24"/>
        </w:rPr>
        <w:t>uma denúncia contra o Estado perante a CmIDH, alegando inúmeras violações</w:t>
      </w:r>
      <w:r w:rsidR="0087591B" w:rsidRPr="00CB027F">
        <w:rPr>
          <w:szCs w:val="24"/>
        </w:rPr>
        <w:t xml:space="preserve"> à CADH</w:t>
      </w:r>
      <w:r w:rsidR="00D87CB6" w:rsidRPr="00CB027F">
        <w:rPr>
          <w:szCs w:val="24"/>
        </w:rPr>
        <w:t xml:space="preserve"> contra seu cônjuge</w:t>
      </w:r>
      <w:r w:rsidR="00835695" w:rsidRPr="00CB027F">
        <w:rPr>
          <w:szCs w:val="24"/>
        </w:rPr>
        <w:t>, desaparecido</w:t>
      </w:r>
      <w:r w:rsidR="00D87CB6" w:rsidRPr="00CB027F">
        <w:rPr>
          <w:szCs w:val="24"/>
        </w:rPr>
        <w:t>. Lupita López também acionou o SIDH contra o Estado, por conta de violações perpetradas contra seu filho, Aníbal López</w:t>
      </w:r>
      <w:r w:rsidR="00835695" w:rsidRPr="00CB027F">
        <w:rPr>
          <w:szCs w:val="24"/>
        </w:rPr>
        <w:t>, morto no sequestro</w:t>
      </w:r>
      <w:r w:rsidR="00D87CB6" w:rsidRPr="00CB027F">
        <w:rPr>
          <w:szCs w:val="24"/>
        </w:rPr>
        <w:t xml:space="preserve">. Logo após, Emily e Maximiliano Rossi, </w:t>
      </w:r>
      <w:r w:rsidR="00E84552" w:rsidRPr="00CB027F">
        <w:rPr>
          <w:szCs w:val="24"/>
        </w:rPr>
        <w:t>familiares</w:t>
      </w:r>
      <w:r w:rsidR="00A90FEC" w:rsidRPr="00CB027F">
        <w:rPr>
          <w:szCs w:val="24"/>
        </w:rPr>
        <w:t xml:space="preserve"> </w:t>
      </w:r>
      <w:r w:rsidR="00D87CB6" w:rsidRPr="00CB027F">
        <w:rPr>
          <w:szCs w:val="24"/>
        </w:rPr>
        <w:t>de Lucrécia Rossi</w:t>
      </w:r>
      <w:r w:rsidR="0087591B" w:rsidRPr="00CB027F">
        <w:rPr>
          <w:szCs w:val="24"/>
        </w:rPr>
        <w:t xml:space="preserve">, </w:t>
      </w:r>
      <w:r w:rsidR="00D87CB6" w:rsidRPr="00CB027F">
        <w:rPr>
          <w:szCs w:val="24"/>
        </w:rPr>
        <w:t xml:space="preserve">peticionaram frente a CmIDH alegando responsabilidade do Estado </w:t>
      </w:r>
      <w:r w:rsidR="00D87CB6" w:rsidRPr="00CB027F">
        <w:rPr>
          <w:szCs w:val="24"/>
        </w:rPr>
        <w:lastRenderedPageBreak/>
        <w:t xml:space="preserve">pelas </w:t>
      </w:r>
      <w:r w:rsidR="007110E3" w:rsidRPr="00CB027F">
        <w:rPr>
          <w:szCs w:val="24"/>
        </w:rPr>
        <w:t xml:space="preserve">diversas </w:t>
      </w:r>
      <w:r w:rsidR="00D87CB6" w:rsidRPr="00CB027F">
        <w:rPr>
          <w:szCs w:val="24"/>
        </w:rPr>
        <w:t>violações</w:t>
      </w:r>
      <w:r w:rsidRPr="00CB027F">
        <w:rPr>
          <w:szCs w:val="24"/>
        </w:rPr>
        <w:t xml:space="preserve"> </w:t>
      </w:r>
      <w:r w:rsidR="00E84552" w:rsidRPr="00CB027F">
        <w:rPr>
          <w:szCs w:val="24"/>
        </w:rPr>
        <w:t xml:space="preserve">contra ela </w:t>
      </w:r>
      <w:r w:rsidR="00D87CB6" w:rsidRPr="00CB027F">
        <w:rPr>
          <w:szCs w:val="24"/>
        </w:rPr>
        <w:t xml:space="preserve">cometidas. O Estado </w:t>
      </w:r>
      <w:r w:rsidRPr="00CB027F">
        <w:rPr>
          <w:szCs w:val="24"/>
        </w:rPr>
        <w:t xml:space="preserve">negou a ocorrência de tais </w:t>
      </w:r>
      <w:r w:rsidR="007110E3" w:rsidRPr="00CB027F">
        <w:rPr>
          <w:szCs w:val="24"/>
        </w:rPr>
        <w:t>atos</w:t>
      </w:r>
      <w:r w:rsidRPr="00CB027F">
        <w:rPr>
          <w:szCs w:val="24"/>
        </w:rPr>
        <w:t xml:space="preserve"> e levou </w:t>
      </w:r>
      <w:r w:rsidR="00D87CB6" w:rsidRPr="00CB027F">
        <w:rPr>
          <w:szCs w:val="24"/>
        </w:rPr>
        <w:t>a demanda p</w:t>
      </w:r>
      <w:r w:rsidRPr="00CB027F">
        <w:rPr>
          <w:szCs w:val="24"/>
        </w:rPr>
        <w:t>ara est</w:t>
      </w:r>
      <w:r w:rsidR="00D87CB6" w:rsidRPr="00CB027F">
        <w:rPr>
          <w:szCs w:val="24"/>
        </w:rPr>
        <w:t>a Corte</w:t>
      </w:r>
      <w:r w:rsidRPr="00CB027F">
        <w:rPr>
          <w:szCs w:val="24"/>
        </w:rPr>
        <w:t xml:space="preserve">. </w:t>
      </w:r>
      <w:r w:rsidR="00A90FEC" w:rsidRPr="00CB027F">
        <w:rPr>
          <w:szCs w:val="24"/>
        </w:rPr>
        <w:t>São</w:t>
      </w:r>
      <w:r w:rsidRPr="00CB027F">
        <w:rPr>
          <w:szCs w:val="24"/>
        </w:rPr>
        <w:t xml:space="preserve"> este</w:t>
      </w:r>
      <w:r w:rsidR="00A90FEC" w:rsidRPr="00CB027F">
        <w:rPr>
          <w:szCs w:val="24"/>
        </w:rPr>
        <w:t>s</w:t>
      </w:r>
      <w:r w:rsidRPr="00CB027F">
        <w:rPr>
          <w:szCs w:val="24"/>
        </w:rPr>
        <w:t xml:space="preserve"> o</w:t>
      </w:r>
      <w:r w:rsidR="00A90FEC" w:rsidRPr="00CB027F">
        <w:rPr>
          <w:szCs w:val="24"/>
        </w:rPr>
        <w:t>s</w:t>
      </w:r>
      <w:r w:rsidRPr="00CB027F">
        <w:rPr>
          <w:szCs w:val="24"/>
        </w:rPr>
        <w:t xml:space="preserve"> caso</w:t>
      </w:r>
      <w:r w:rsidR="00A90FEC" w:rsidRPr="00CB027F">
        <w:rPr>
          <w:szCs w:val="24"/>
        </w:rPr>
        <w:t>s</w:t>
      </w:r>
      <w:r w:rsidRPr="00CB027F">
        <w:rPr>
          <w:szCs w:val="24"/>
        </w:rPr>
        <w:t xml:space="preserve"> em tela.</w:t>
      </w:r>
    </w:p>
    <w:p w:rsidR="005A443D" w:rsidRDefault="005A443D" w:rsidP="00482263">
      <w:pPr>
        <w:pStyle w:val="Heading1"/>
        <w:rPr>
          <w:rFonts w:ascii="Times New Roman" w:hAnsi="Times New Roman"/>
        </w:rPr>
      </w:pPr>
      <w:bookmarkStart w:id="11" w:name="_Toc414890812"/>
      <w:r>
        <w:rPr>
          <w:rFonts w:ascii="Times New Roman" w:hAnsi="Times New Roman"/>
        </w:rPr>
        <w:t>2.ANÁLISE LEGAL</w:t>
      </w:r>
      <w:bookmarkEnd w:id="11"/>
    </w:p>
    <w:p w:rsidR="00D87CB6" w:rsidRPr="00CB027F" w:rsidRDefault="00482263" w:rsidP="005A443D">
      <w:pPr>
        <w:pStyle w:val="Heading2"/>
        <w:rPr>
          <w:rFonts w:ascii="Times New Roman" w:hAnsi="Times New Roman"/>
        </w:rPr>
      </w:pPr>
      <w:bookmarkStart w:id="12" w:name="_Toc414890813"/>
      <w:r w:rsidRPr="00CB027F">
        <w:rPr>
          <w:rFonts w:ascii="Times New Roman" w:hAnsi="Times New Roman"/>
        </w:rPr>
        <w:t>2</w:t>
      </w:r>
      <w:r w:rsidR="005A443D">
        <w:rPr>
          <w:rFonts w:ascii="Times New Roman" w:hAnsi="Times New Roman"/>
        </w:rPr>
        <w:t>.1</w:t>
      </w:r>
      <w:r w:rsidRPr="00CB027F">
        <w:rPr>
          <w:rFonts w:ascii="Times New Roman" w:hAnsi="Times New Roman"/>
        </w:rPr>
        <w:t>. DA ADMISSIBILIDADE DO</w:t>
      </w:r>
      <w:r w:rsidR="00EA2B82" w:rsidRPr="00CB027F">
        <w:rPr>
          <w:rFonts w:ascii="Times New Roman" w:hAnsi="Times New Roman"/>
        </w:rPr>
        <w:t>S</w:t>
      </w:r>
      <w:r w:rsidRPr="00CB027F">
        <w:rPr>
          <w:rFonts w:ascii="Times New Roman" w:hAnsi="Times New Roman"/>
        </w:rPr>
        <w:t xml:space="preserve"> CASO</w:t>
      </w:r>
      <w:r w:rsidR="00EA2B82" w:rsidRPr="00CB027F">
        <w:rPr>
          <w:rFonts w:ascii="Times New Roman" w:hAnsi="Times New Roman"/>
        </w:rPr>
        <w:t>S</w:t>
      </w:r>
      <w:bookmarkEnd w:id="12"/>
      <w:r w:rsidRPr="00CB027F">
        <w:rPr>
          <w:rFonts w:ascii="Times New Roman" w:hAnsi="Times New Roman"/>
        </w:rPr>
        <w:t xml:space="preserve"> </w:t>
      </w:r>
    </w:p>
    <w:p w:rsidR="00D87CB6" w:rsidRPr="00CB027F" w:rsidRDefault="00D87CB6" w:rsidP="0087591B">
      <w:pPr>
        <w:jc w:val="both"/>
        <w:rPr>
          <w:szCs w:val="24"/>
        </w:rPr>
      </w:pPr>
      <w:r w:rsidRPr="00CB027F">
        <w:rPr>
          <w:szCs w:val="24"/>
        </w:rPr>
        <w:t>Inegavelmente</w:t>
      </w:r>
      <w:r w:rsidR="00650018" w:rsidRPr="00CB027F">
        <w:rPr>
          <w:szCs w:val="24"/>
        </w:rPr>
        <w:t xml:space="preserve"> </w:t>
      </w:r>
      <w:r w:rsidRPr="00CB027F">
        <w:rPr>
          <w:szCs w:val="24"/>
        </w:rPr>
        <w:t xml:space="preserve">esta Egrégia Corte detém competência em razão do tempo, do lugar, das pessoas e da matéria </w:t>
      </w:r>
      <w:r w:rsidR="00A90FEC" w:rsidRPr="00CB027F">
        <w:rPr>
          <w:szCs w:val="24"/>
        </w:rPr>
        <w:t>nos</w:t>
      </w:r>
      <w:r w:rsidRPr="00CB027F">
        <w:rPr>
          <w:szCs w:val="24"/>
        </w:rPr>
        <w:t xml:space="preserve"> caso</w:t>
      </w:r>
      <w:r w:rsidR="001D3AC1" w:rsidRPr="00CB027F">
        <w:rPr>
          <w:szCs w:val="24"/>
        </w:rPr>
        <w:t>s</w:t>
      </w:r>
      <w:r w:rsidRPr="00CB027F">
        <w:rPr>
          <w:szCs w:val="24"/>
        </w:rPr>
        <w:t xml:space="preserve"> trazido</w:t>
      </w:r>
      <w:r w:rsidR="001D3AC1" w:rsidRPr="00CB027F">
        <w:rPr>
          <w:szCs w:val="24"/>
        </w:rPr>
        <w:t>s</w:t>
      </w:r>
      <w:r w:rsidRPr="00CB027F">
        <w:rPr>
          <w:szCs w:val="24"/>
        </w:rPr>
        <w:t xml:space="preserve"> à sua análise. Em primeiro lugar, encontra-se satisfeita a exigência de competência </w:t>
      </w:r>
      <w:r w:rsidRPr="00CB027F">
        <w:rPr>
          <w:i/>
          <w:szCs w:val="24"/>
        </w:rPr>
        <w:t>ratione personae</w:t>
      </w:r>
      <w:r w:rsidRPr="00CB027F">
        <w:rPr>
          <w:szCs w:val="24"/>
        </w:rPr>
        <w:t>, pois o próprio Estado</w:t>
      </w:r>
      <w:r w:rsidR="00F95E87" w:rsidRPr="00CB027F">
        <w:rPr>
          <w:szCs w:val="24"/>
        </w:rPr>
        <w:t>, já tendo reconhecido a competência da Corte no passado,</w:t>
      </w:r>
      <w:r w:rsidRPr="00CB027F">
        <w:rPr>
          <w:szCs w:val="24"/>
        </w:rPr>
        <w:t xml:space="preserve"> submeteu o caso à </w:t>
      </w:r>
      <w:r w:rsidR="00E84552" w:rsidRPr="00CB027F">
        <w:rPr>
          <w:szCs w:val="24"/>
        </w:rPr>
        <w:t xml:space="preserve">sua </w:t>
      </w:r>
      <w:r w:rsidRPr="00CB027F">
        <w:rPr>
          <w:szCs w:val="24"/>
        </w:rPr>
        <w:t>apreciação</w:t>
      </w:r>
      <w:r w:rsidRPr="00CB027F">
        <w:rPr>
          <w:rStyle w:val="FootnoteReference"/>
          <w:szCs w:val="24"/>
        </w:rPr>
        <w:footnoteReference w:id="2"/>
      </w:r>
      <w:r w:rsidRPr="00CB027F">
        <w:rPr>
          <w:szCs w:val="24"/>
        </w:rPr>
        <w:t xml:space="preserve">, após o esgotamento dos processos perante a </w:t>
      </w:r>
      <w:r w:rsidR="0087591B" w:rsidRPr="00CB027F">
        <w:rPr>
          <w:szCs w:val="24"/>
        </w:rPr>
        <w:t>C</w:t>
      </w:r>
      <w:r w:rsidR="00650018" w:rsidRPr="00CB027F">
        <w:rPr>
          <w:szCs w:val="24"/>
        </w:rPr>
        <w:t>omissão</w:t>
      </w:r>
      <w:r w:rsidR="0087591B" w:rsidRPr="00CB027F">
        <w:rPr>
          <w:szCs w:val="24"/>
        </w:rPr>
        <w:t>,</w:t>
      </w:r>
      <w:r w:rsidRPr="00CB027F">
        <w:rPr>
          <w:szCs w:val="24"/>
        </w:rPr>
        <w:t xml:space="preserve"> em conformidade com o artigo 61</w:t>
      </w:r>
      <w:r w:rsidR="007110E3" w:rsidRPr="00CB027F">
        <w:rPr>
          <w:szCs w:val="24"/>
        </w:rPr>
        <w:t xml:space="preserve">, pontos </w:t>
      </w:r>
      <w:r w:rsidR="00835695" w:rsidRPr="00CB027F">
        <w:rPr>
          <w:szCs w:val="24"/>
        </w:rPr>
        <w:t>1 e 2</w:t>
      </w:r>
      <w:r w:rsidR="007110E3" w:rsidRPr="00CB027F">
        <w:rPr>
          <w:szCs w:val="24"/>
        </w:rPr>
        <w:t>,</w:t>
      </w:r>
      <w:r w:rsidR="00835695" w:rsidRPr="00CB027F">
        <w:rPr>
          <w:szCs w:val="24"/>
        </w:rPr>
        <w:t xml:space="preserve"> </w:t>
      </w:r>
      <w:r w:rsidRPr="00CB027F">
        <w:rPr>
          <w:szCs w:val="24"/>
        </w:rPr>
        <w:t>da C</w:t>
      </w:r>
      <w:r w:rsidR="0087591B" w:rsidRPr="00CB027F">
        <w:rPr>
          <w:szCs w:val="24"/>
        </w:rPr>
        <w:t>ADH.</w:t>
      </w:r>
      <w:r w:rsidR="00F95E87" w:rsidRPr="00CB027F">
        <w:rPr>
          <w:szCs w:val="24"/>
        </w:rPr>
        <w:t xml:space="preserve"> </w:t>
      </w:r>
    </w:p>
    <w:p w:rsidR="00D87CB6" w:rsidRPr="00CB027F" w:rsidRDefault="00D87CB6" w:rsidP="00012EB0">
      <w:pPr>
        <w:jc w:val="both"/>
      </w:pPr>
      <w:r w:rsidRPr="00CB027F">
        <w:rPr>
          <w:szCs w:val="24"/>
        </w:rPr>
        <w:t xml:space="preserve">Há competência </w:t>
      </w:r>
      <w:r w:rsidRPr="00CB027F">
        <w:rPr>
          <w:i/>
          <w:szCs w:val="24"/>
        </w:rPr>
        <w:t>ratione temporis</w:t>
      </w:r>
      <w:r w:rsidRPr="00CB027F">
        <w:rPr>
          <w:szCs w:val="24"/>
        </w:rPr>
        <w:t xml:space="preserve"> porque a demanda diz respeito a fatos ocorridos posteriormente à ratificação</w:t>
      </w:r>
      <w:r w:rsidR="00835695" w:rsidRPr="00CB027F">
        <w:rPr>
          <w:szCs w:val="24"/>
        </w:rPr>
        <w:t xml:space="preserve"> </w:t>
      </w:r>
      <w:r w:rsidRPr="00CB027F">
        <w:rPr>
          <w:szCs w:val="24"/>
        </w:rPr>
        <w:t>da C</w:t>
      </w:r>
      <w:r w:rsidR="0087591B" w:rsidRPr="00CB027F">
        <w:rPr>
          <w:szCs w:val="24"/>
        </w:rPr>
        <w:t>ADH</w:t>
      </w:r>
      <w:r w:rsidR="00F95E87" w:rsidRPr="00CB027F">
        <w:rPr>
          <w:szCs w:val="24"/>
        </w:rPr>
        <w:t xml:space="preserve"> e seu </w:t>
      </w:r>
      <w:r w:rsidRPr="00CB027F">
        <w:rPr>
          <w:szCs w:val="24"/>
        </w:rPr>
        <w:t xml:space="preserve">reconhecimento de jurisdição contenciosa </w:t>
      </w:r>
      <w:r w:rsidR="00F95E87" w:rsidRPr="00CB027F">
        <w:rPr>
          <w:szCs w:val="24"/>
        </w:rPr>
        <w:t xml:space="preserve">da Corte </w:t>
      </w:r>
      <w:r w:rsidRPr="00CB027F">
        <w:rPr>
          <w:szCs w:val="24"/>
        </w:rPr>
        <w:t>(artigo 62</w:t>
      </w:r>
      <w:r w:rsidR="00835695" w:rsidRPr="00CB027F">
        <w:rPr>
          <w:szCs w:val="24"/>
        </w:rPr>
        <w:t xml:space="preserve">.1 e 62.3 </w:t>
      </w:r>
      <w:r w:rsidRPr="00CB027F">
        <w:rPr>
          <w:szCs w:val="24"/>
        </w:rPr>
        <w:t>da C</w:t>
      </w:r>
      <w:r w:rsidR="00835695" w:rsidRPr="00CB027F">
        <w:rPr>
          <w:szCs w:val="24"/>
        </w:rPr>
        <w:t>ADH</w:t>
      </w:r>
      <w:r w:rsidRPr="00CB027F">
        <w:rPr>
          <w:szCs w:val="24"/>
        </w:rPr>
        <w:t xml:space="preserve">). Há também competência </w:t>
      </w:r>
      <w:r w:rsidRPr="00CB027F">
        <w:rPr>
          <w:i/>
          <w:szCs w:val="24"/>
        </w:rPr>
        <w:t>ratione loci</w:t>
      </w:r>
      <w:r w:rsidRPr="00CB027F">
        <w:rPr>
          <w:szCs w:val="24"/>
        </w:rPr>
        <w:t xml:space="preserve"> por se tratar de fatos havidos no território de Cardenal, em consonância com o dispos</w:t>
      </w:r>
      <w:r w:rsidR="0087591B" w:rsidRPr="00CB027F">
        <w:rPr>
          <w:szCs w:val="24"/>
        </w:rPr>
        <w:t>to no artigo 29 da C</w:t>
      </w:r>
      <w:r w:rsidRPr="00CB027F">
        <w:rPr>
          <w:szCs w:val="24"/>
        </w:rPr>
        <w:t>VDT. As vítimas envolvidas no caso permaneceram, durante todos os momentos</w:t>
      </w:r>
      <w:r w:rsidR="00650018" w:rsidRPr="00CB027F">
        <w:rPr>
          <w:szCs w:val="24"/>
        </w:rPr>
        <w:t>,</w:t>
      </w:r>
      <w:r w:rsidRPr="00CB027F">
        <w:rPr>
          <w:szCs w:val="24"/>
        </w:rPr>
        <w:t xml:space="preserve"> sob a jurisdição d</w:t>
      </w:r>
      <w:r w:rsidR="00835695" w:rsidRPr="00CB027F">
        <w:rPr>
          <w:szCs w:val="24"/>
        </w:rPr>
        <w:t xml:space="preserve">e </w:t>
      </w:r>
      <w:r w:rsidRPr="00CB027F">
        <w:rPr>
          <w:szCs w:val="24"/>
        </w:rPr>
        <w:t>Cardenal.</w:t>
      </w:r>
      <w:r w:rsidR="007110E3" w:rsidRPr="00CB027F">
        <w:t xml:space="preserve"> </w:t>
      </w:r>
      <w:r w:rsidRPr="00CB027F">
        <w:t xml:space="preserve">Por fim, há competência </w:t>
      </w:r>
      <w:r w:rsidRPr="00CB027F">
        <w:rPr>
          <w:i/>
        </w:rPr>
        <w:t>ratione materiae</w:t>
      </w:r>
      <w:r w:rsidRPr="00CB027F">
        <w:t xml:space="preserve"> pela simples razão de que os fatos em apreço configurarem</w:t>
      </w:r>
      <w:r w:rsidR="0087591B" w:rsidRPr="00CB027F">
        <w:t xml:space="preserve"> </w:t>
      </w:r>
      <w:r w:rsidRPr="00CB027F">
        <w:t>violações a direitos tutelados pela C</w:t>
      </w:r>
      <w:r w:rsidR="0087591B" w:rsidRPr="00CB027F">
        <w:t>ADH</w:t>
      </w:r>
      <w:r w:rsidRPr="00CB027F">
        <w:t xml:space="preserve">, conforme dispõe o seu artigo 63.2. </w:t>
      </w:r>
    </w:p>
    <w:p w:rsidR="00D87CB6" w:rsidRPr="00CB027F" w:rsidRDefault="00D87CB6">
      <w:pPr>
        <w:jc w:val="both"/>
        <w:rPr>
          <w:szCs w:val="24"/>
        </w:rPr>
      </w:pPr>
      <w:r w:rsidRPr="00CB027F">
        <w:rPr>
          <w:szCs w:val="24"/>
        </w:rPr>
        <w:t>Outrossim, não está configurada litispendência, uma vez que nenhuma das demandas foi submetida a qualquer outro órgão ou mecanismo supranacional de proteção dos Direitos Humanos</w:t>
      </w:r>
      <w:r w:rsidR="0052688C" w:rsidRPr="00CB027F">
        <w:rPr>
          <w:szCs w:val="24"/>
        </w:rPr>
        <w:t xml:space="preserve">, conforme </w:t>
      </w:r>
      <w:r w:rsidRPr="00CB027F">
        <w:rPr>
          <w:szCs w:val="24"/>
        </w:rPr>
        <w:t>a</w:t>
      </w:r>
      <w:r w:rsidR="0087591B" w:rsidRPr="00CB027F">
        <w:rPr>
          <w:szCs w:val="24"/>
        </w:rPr>
        <w:t>rtigo 46, alínea c, da CADH</w:t>
      </w:r>
      <w:r w:rsidRPr="00CB027F">
        <w:rPr>
          <w:szCs w:val="24"/>
        </w:rPr>
        <w:t xml:space="preserve">. </w:t>
      </w:r>
      <w:r w:rsidR="0052688C" w:rsidRPr="00CB027F">
        <w:rPr>
          <w:szCs w:val="24"/>
        </w:rPr>
        <w:t xml:space="preserve">Em caso de eventual </w:t>
      </w:r>
      <w:r w:rsidRPr="00CB027F">
        <w:rPr>
          <w:szCs w:val="24"/>
        </w:rPr>
        <w:t>alegação do Estado acerca do exame do caso pela Promotoria da Corte Penal Internacional,</w:t>
      </w:r>
      <w:r w:rsidR="0052688C" w:rsidRPr="00CB027F">
        <w:rPr>
          <w:szCs w:val="24"/>
        </w:rPr>
        <w:t xml:space="preserve"> é importante ressaltar que</w:t>
      </w:r>
      <w:r w:rsidRPr="00CB027F">
        <w:rPr>
          <w:szCs w:val="24"/>
        </w:rPr>
        <w:t xml:space="preserve"> não há pendência de julgamento</w:t>
      </w:r>
      <w:r w:rsidR="00D7040D" w:rsidRPr="00CB027F">
        <w:rPr>
          <w:szCs w:val="24"/>
        </w:rPr>
        <w:t>.</w:t>
      </w:r>
      <w:r w:rsidRPr="00CB027F">
        <w:rPr>
          <w:szCs w:val="24"/>
        </w:rPr>
        <w:t xml:space="preserve"> A investigação realizada pela Promotoria dizia respeito ao arcabouço de justiça transicional de forma geral e ao tratamento dado por ele a crimes contra a humanidade</w:t>
      </w:r>
      <w:r w:rsidR="00816C34" w:rsidRPr="00CB027F">
        <w:rPr>
          <w:szCs w:val="24"/>
        </w:rPr>
        <w:t xml:space="preserve"> </w:t>
      </w:r>
      <w:r w:rsidRPr="00CB027F">
        <w:rPr>
          <w:szCs w:val="24"/>
        </w:rPr>
        <w:t xml:space="preserve">cometidos durante o governo autoritário de Cardenal, objetos de competência do </w:t>
      </w:r>
      <w:r w:rsidRPr="00CB027F">
        <w:rPr>
          <w:szCs w:val="24"/>
        </w:rPr>
        <w:lastRenderedPageBreak/>
        <w:t>citado tribunal</w:t>
      </w:r>
      <w:r w:rsidR="007110E3" w:rsidRPr="00CB027F">
        <w:rPr>
          <w:szCs w:val="24"/>
        </w:rPr>
        <w:t xml:space="preserve"> e</w:t>
      </w:r>
      <w:r w:rsidR="0052688C" w:rsidRPr="00CB027F">
        <w:rPr>
          <w:szCs w:val="24"/>
        </w:rPr>
        <w:t xml:space="preserve"> diferentes dos aqui tratados, ao abordar a situação de vítimas específicas que tiveram seus direitos violados por atuação do Estado.</w:t>
      </w:r>
      <w:r w:rsidRPr="00CB027F">
        <w:rPr>
          <w:szCs w:val="24"/>
        </w:rPr>
        <w:t xml:space="preserve"> </w:t>
      </w:r>
    </w:p>
    <w:p w:rsidR="00D87CB6" w:rsidRPr="00CB027F" w:rsidRDefault="00D87CB6" w:rsidP="00FD14B4">
      <w:pPr>
        <w:jc w:val="both"/>
        <w:rPr>
          <w:szCs w:val="24"/>
        </w:rPr>
      </w:pPr>
      <w:r w:rsidRPr="00CB027F">
        <w:rPr>
          <w:szCs w:val="24"/>
        </w:rPr>
        <w:t xml:space="preserve">Por isso, não se configura a </w:t>
      </w:r>
      <w:r w:rsidRPr="00CB027F">
        <w:rPr>
          <w:i/>
          <w:szCs w:val="24"/>
        </w:rPr>
        <w:t>res judicata</w:t>
      </w:r>
      <w:r w:rsidRPr="00CB027F">
        <w:rPr>
          <w:szCs w:val="24"/>
        </w:rPr>
        <w:t>, isto é, a repetição de uma petição ou comunicação substancialmente igual a uma anteriormente já examinada (artigo 47, alínea d, da C</w:t>
      </w:r>
      <w:r w:rsidR="00650018" w:rsidRPr="00CB027F">
        <w:rPr>
          <w:szCs w:val="24"/>
        </w:rPr>
        <w:t>ADH</w:t>
      </w:r>
      <w:r w:rsidRPr="00CB027F">
        <w:rPr>
          <w:szCs w:val="24"/>
        </w:rPr>
        <w:t>), hipótese que, consoa</w:t>
      </w:r>
      <w:r w:rsidR="00754BAA" w:rsidRPr="00CB027F">
        <w:rPr>
          <w:szCs w:val="24"/>
        </w:rPr>
        <w:t>nte entendimento d</w:t>
      </w:r>
      <w:r w:rsidRPr="00CB027F">
        <w:rPr>
          <w:szCs w:val="24"/>
        </w:rPr>
        <w:t>esta C</w:t>
      </w:r>
      <w:r w:rsidR="00B30B07" w:rsidRPr="00CB027F">
        <w:rPr>
          <w:szCs w:val="24"/>
        </w:rPr>
        <w:t>orte</w:t>
      </w:r>
      <w:r w:rsidR="00754BAA" w:rsidRPr="00CB027F">
        <w:rPr>
          <w:szCs w:val="24"/>
        </w:rPr>
        <w:t xml:space="preserve"> em Baena Ricardo e outros Vs. Panamá</w:t>
      </w:r>
      <w:r w:rsidRPr="00CB027F">
        <w:rPr>
          <w:szCs w:val="24"/>
        </w:rPr>
        <w:t>, exige identidade de partes, de objeto (fatos) e de fundamento legal (direito)</w:t>
      </w:r>
      <w:r w:rsidRPr="00CB027F">
        <w:rPr>
          <w:rStyle w:val="FootnoteReference"/>
          <w:szCs w:val="24"/>
        </w:rPr>
        <w:footnoteReference w:id="3"/>
      </w:r>
      <w:r w:rsidRPr="00CB027F">
        <w:rPr>
          <w:szCs w:val="24"/>
        </w:rPr>
        <w:t xml:space="preserve">. No trâmite perante a Promotoria do TPI, não se contava com vítimas individualizadas, nem se tratava dos mesmos fatos, já que as alegações das vítimas </w:t>
      </w:r>
      <w:r w:rsidR="006C7218" w:rsidRPr="00CB027F">
        <w:rPr>
          <w:szCs w:val="24"/>
        </w:rPr>
        <w:t>na presente demanda</w:t>
      </w:r>
      <w:r w:rsidRPr="00CB027F">
        <w:rPr>
          <w:szCs w:val="24"/>
        </w:rPr>
        <w:t xml:space="preserve"> também abordam violações posteriores às analisadas pel</w:t>
      </w:r>
      <w:r w:rsidR="006C7218" w:rsidRPr="00CB027F">
        <w:rPr>
          <w:szCs w:val="24"/>
        </w:rPr>
        <w:t xml:space="preserve">o TPI.  </w:t>
      </w:r>
    </w:p>
    <w:p w:rsidR="00D87CB6" w:rsidRPr="00CB027F" w:rsidRDefault="00D87CB6" w:rsidP="00FD14B4">
      <w:pPr>
        <w:jc w:val="both"/>
        <w:rPr>
          <w:szCs w:val="24"/>
        </w:rPr>
      </w:pPr>
      <w:r w:rsidRPr="00CB027F">
        <w:rPr>
          <w:szCs w:val="24"/>
        </w:rPr>
        <w:t xml:space="preserve">Do mesmo modo, não </w:t>
      </w:r>
      <w:r w:rsidR="007110E3" w:rsidRPr="00CB027F">
        <w:rPr>
          <w:szCs w:val="24"/>
        </w:rPr>
        <w:t xml:space="preserve">deve </w:t>
      </w:r>
      <w:r w:rsidR="00B30B07" w:rsidRPr="00CB027F">
        <w:rPr>
          <w:szCs w:val="24"/>
        </w:rPr>
        <w:t xml:space="preserve">prosperar eventual alegação de falta de </w:t>
      </w:r>
      <w:r w:rsidRPr="00CB027F">
        <w:rPr>
          <w:szCs w:val="24"/>
        </w:rPr>
        <w:t>esgotamento dos recursos intern</w:t>
      </w:r>
      <w:r w:rsidR="00B30B07" w:rsidRPr="00CB027F">
        <w:rPr>
          <w:szCs w:val="24"/>
        </w:rPr>
        <w:t>os</w:t>
      </w:r>
      <w:r w:rsidRPr="00CB027F">
        <w:rPr>
          <w:szCs w:val="24"/>
        </w:rPr>
        <w:t xml:space="preserve"> (artigo 46, alínea a, da </w:t>
      </w:r>
      <w:r w:rsidR="00650018" w:rsidRPr="00CB027F">
        <w:rPr>
          <w:szCs w:val="24"/>
        </w:rPr>
        <w:t>CADH</w:t>
      </w:r>
      <w:r w:rsidRPr="00CB027F">
        <w:rPr>
          <w:szCs w:val="24"/>
        </w:rPr>
        <w:t xml:space="preserve">). Tal </w:t>
      </w:r>
      <w:r w:rsidR="007110E3" w:rsidRPr="00CB027F">
        <w:rPr>
          <w:szCs w:val="24"/>
        </w:rPr>
        <w:t>exceção preliminar</w:t>
      </w:r>
      <w:r w:rsidRPr="00CB027F">
        <w:rPr>
          <w:szCs w:val="24"/>
        </w:rPr>
        <w:t xml:space="preserve"> não foi apresentad</w:t>
      </w:r>
      <w:r w:rsidR="007110E3" w:rsidRPr="00CB027F">
        <w:rPr>
          <w:szCs w:val="24"/>
        </w:rPr>
        <w:t>a</w:t>
      </w:r>
      <w:r w:rsidRPr="00CB027F">
        <w:rPr>
          <w:szCs w:val="24"/>
        </w:rPr>
        <w:t xml:space="preserve"> pelo Estad</w:t>
      </w:r>
      <w:r w:rsidR="00B30B07" w:rsidRPr="00CB027F">
        <w:rPr>
          <w:szCs w:val="24"/>
        </w:rPr>
        <w:t>o</w:t>
      </w:r>
      <w:r w:rsidRPr="00CB027F">
        <w:rPr>
          <w:szCs w:val="24"/>
        </w:rPr>
        <w:t xml:space="preserve"> perante a </w:t>
      </w:r>
      <w:r w:rsidR="0087591B" w:rsidRPr="00CB027F">
        <w:rPr>
          <w:szCs w:val="24"/>
        </w:rPr>
        <w:t>CmIDH</w:t>
      </w:r>
      <w:r w:rsidR="007110E3" w:rsidRPr="00CB027F">
        <w:rPr>
          <w:szCs w:val="24"/>
        </w:rPr>
        <w:t>,</w:t>
      </w:r>
      <w:r w:rsidRPr="00CB027F">
        <w:rPr>
          <w:szCs w:val="24"/>
        </w:rPr>
        <w:t xml:space="preserve"> nem tampouco perante a C</w:t>
      </w:r>
      <w:r w:rsidR="007110E3" w:rsidRPr="00CB027F">
        <w:rPr>
          <w:szCs w:val="24"/>
        </w:rPr>
        <w:t>rIDH</w:t>
      </w:r>
      <w:r w:rsidRPr="00CB027F">
        <w:rPr>
          <w:szCs w:val="24"/>
        </w:rPr>
        <w:t xml:space="preserve">. </w:t>
      </w:r>
      <w:r w:rsidR="0052688C" w:rsidRPr="00CB027F">
        <w:rPr>
          <w:szCs w:val="24"/>
        </w:rPr>
        <w:t>Ao</w:t>
      </w:r>
      <w:r w:rsidRPr="00CB027F">
        <w:rPr>
          <w:szCs w:val="24"/>
        </w:rPr>
        <w:t xml:space="preserve"> levar o caso à Corte sem maiores questionamentos a esse respeito, o Estado </w:t>
      </w:r>
      <w:r w:rsidR="00AC69AA" w:rsidRPr="00CB027F">
        <w:rPr>
          <w:szCs w:val="24"/>
        </w:rPr>
        <w:t xml:space="preserve">tacitamente </w:t>
      </w:r>
      <w:r w:rsidRPr="00CB027F">
        <w:rPr>
          <w:szCs w:val="24"/>
        </w:rPr>
        <w:t>abriu mão</w:t>
      </w:r>
      <w:r w:rsidR="00AC69AA" w:rsidRPr="00CB027F">
        <w:rPr>
          <w:szCs w:val="24"/>
        </w:rPr>
        <w:t xml:space="preserve"> de tal argumento</w:t>
      </w:r>
      <w:r w:rsidR="001529DA" w:rsidRPr="00CB027F">
        <w:rPr>
          <w:rStyle w:val="FootnoteReference"/>
          <w:szCs w:val="24"/>
        </w:rPr>
        <w:footnoteReference w:id="4"/>
      </w:r>
      <w:r w:rsidR="00AC69AA" w:rsidRPr="00CB027F">
        <w:rPr>
          <w:szCs w:val="24"/>
        </w:rPr>
        <w:t>, aceitando a competência desta Corte</w:t>
      </w:r>
      <w:r w:rsidR="006C7218" w:rsidRPr="00CB027F">
        <w:rPr>
          <w:szCs w:val="24"/>
        </w:rPr>
        <w:t>, como</w:t>
      </w:r>
      <w:r w:rsidR="00815C0F" w:rsidRPr="00CB027F">
        <w:rPr>
          <w:szCs w:val="24"/>
        </w:rPr>
        <w:t xml:space="preserve"> estabelecido no caso Cast</w:t>
      </w:r>
      <w:r w:rsidR="00FD14B4" w:rsidRPr="00CB027F">
        <w:rPr>
          <w:szCs w:val="24"/>
        </w:rPr>
        <w:t>illo Petruzzi e outros Vs. Peru</w:t>
      </w:r>
      <w:r w:rsidR="00815C0F" w:rsidRPr="00CB027F">
        <w:rPr>
          <w:rStyle w:val="FootnoteReference"/>
          <w:szCs w:val="24"/>
        </w:rPr>
        <w:footnoteReference w:id="5"/>
      </w:r>
      <w:r w:rsidR="00AC69AA" w:rsidRPr="00CB027F">
        <w:rPr>
          <w:szCs w:val="24"/>
        </w:rPr>
        <w:t xml:space="preserve"> </w:t>
      </w:r>
      <w:r w:rsidRPr="00CB027F">
        <w:rPr>
          <w:szCs w:val="24"/>
        </w:rPr>
        <w:t xml:space="preserve"> </w:t>
      </w:r>
    </w:p>
    <w:p w:rsidR="00D87CB6" w:rsidRPr="00CB027F" w:rsidRDefault="00815C0F" w:rsidP="00FD14B4">
      <w:pPr>
        <w:jc w:val="both"/>
        <w:rPr>
          <w:szCs w:val="24"/>
        </w:rPr>
      </w:pPr>
      <w:r w:rsidRPr="00CB027F">
        <w:rPr>
          <w:szCs w:val="24"/>
        </w:rPr>
        <w:t>Ainda assim, conforme</w:t>
      </w:r>
      <w:r w:rsidR="00816C34" w:rsidRPr="00CB027F">
        <w:rPr>
          <w:szCs w:val="24"/>
        </w:rPr>
        <w:t xml:space="preserve"> abordar</w:t>
      </w:r>
      <w:r w:rsidRPr="00CB027F">
        <w:rPr>
          <w:szCs w:val="24"/>
        </w:rPr>
        <w:t>-se-</w:t>
      </w:r>
      <w:r w:rsidR="00816C34" w:rsidRPr="00CB027F">
        <w:rPr>
          <w:szCs w:val="24"/>
        </w:rPr>
        <w:t>á em mais detalhe</w:t>
      </w:r>
      <w:r w:rsidR="007110E3" w:rsidRPr="00CB027F">
        <w:rPr>
          <w:szCs w:val="24"/>
        </w:rPr>
        <w:t>s</w:t>
      </w:r>
      <w:r w:rsidR="00816C34" w:rsidRPr="00CB027F">
        <w:rPr>
          <w:szCs w:val="24"/>
        </w:rPr>
        <w:t xml:space="preserve">, </w:t>
      </w:r>
      <w:r w:rsidR="00D87CB6" w:rsidRPr="00CB027F">
        <w:rPr>
          <w:szCs w:val="24"/>
        </w:rPr>
        <w:t>as vítimas utilizaram de todas as possibilidades de recursos oferecidas em âmbito interno</w:t>
      </w:r>
      <w:r w:rsidRPr="00CB027F">
        <w:rPr>
          <w:szCs w:val="24"/>
        </w:rPr>
        <w:t>. Além disso</w:t>
      </w:r>
      <w:r w:rsidR="00D87CB6" w:rsidRPr="00CB027F">
        <w:rPr>
          <w:szCs w:val="24"/>
        </w:rPr>
        <w:t>, em consonância com o artigo 46</w:t>
      </w:r>
      <w:r w:rsidR="00650018" w:rsidRPr="00CB027F">
        <w:rPr>
          <w:szCs w:val="24"/>
        </w:rPr>
        <w:t>.1</w:t>
      </w:r>
      <w:r w:rsidR="00D87CB6" w:rsidRPr="00CB027F">
        <w:rPr>
          <w:szCs w:val="24"/>
        </w:rPr>
        <w:t>, b, da CADH, todas as petições foram tempestivamente levadas à C</w:t>
      </w:r>
      <w:r w:rsidR="007110E3" w:rsidRPr="00CB027F">
        <w:rPr>
          <w:szCs w:val="24"/>
        </w:rPr>
        <w:t>mIDH</w:t>
      </w:r>
      <w:r w:rsidR="00D87CB6" w:rsidRPr="00CB027F">
        <w:rPr>
          <w:szCs w:val="24"/>
        </w:rPr>
        <w:t>, em respeito ao prazo de 6 meses estipulado entre a ocorrência da</w:t>
      </w:r>
      <w:r w:rsidR="00671FBE" w:rsidRPr="00CB027F">
        <w:rPr>
          <w:szCs w:val="24"/>
        </w:rPr>
        <w:t>s</w:t>
      </w:r>
      <w:r w:rsidR="00D87CB6" w:rsidRPr="00CB027F">
        <w:rPr>
          <w:szCs w:val="24"/>
        </w:rPr>
        <w:t xml:space="preserve"> </w:t>
      </w:r>
      <w:r w:rsidR="00671FBE" w:rsidRPr="00CB027F">
        <w:rPr>
          <w:szCs w:val="24"/>
        </w:rPr>
        <w:t xml:space="preserve">últimas </w:t>
      </w:r>
      <w:r w:rsidR="00D87CB6" w:rsidRPr="00CB027F">
        <w:rPr>
          <w:szCs w:val="24"/>
        </w:rPr>
        <w:t>violaç</w:t>
      </w:r>
      <w:r w:rsidR="00671FBE" w:rsidRPr="00CB027F">
        <w:rPr>
          <w:szCs w:val="24"/>
        </w:rPr>
        <w:t xml:space="preserve">ões, com as decisões da Comissão da Verdade em 2009, </w:t>
      </w:r>
      <w:r w:rsidR="00D87CB6" w:rsidRPr="00CB027F">
        <w:rPr>
          <w:szCs w:val="24"/>
        </w:rPr>
        <w:t xml:space="preserve">e a solicitação de amparo perante o SIDH. Por fim, cumpre </w:t>
      </w:r>
      <w:r w:rsidR="00D87CB6" w:rsidRPr="00CB027F">
        <w:rPr>
          <w:szCs w:val="24"/>
        </w:rPr>
        <w:lastRenderedPageBreak/>
        <w:t>destacar o pronunciamento definitivo da C</w:t>
      </w:r>
      <w:r w:rsidR="007110E3" w:rsidRPr="00CB027F">
        <w:rPr>
          <w:szCs w:val="24"/>
        </w:rPr>
        <w:t>mIDH</w:t>
      </w:r>
      <w:r w:rsidR="00D87CB6" w:rsidRPr="00CB027F">
        <w:rPr>
          <w:szCs w:val="24"/>
        </w:rPr>
        <w:t xml:space="preserve"> por ocasião do relatório de admissibilidade do caso, que reforça o estrito preenchimento de todos os requisitos procedimentais p</w:t>
      </w:r>
      <w:r w:rsidR="00B30B07" w:rsidRPr="00CB027F">
        <w:rPr>
          <w:szCs w:val="24"/>
        </w:rPr>
        <w:t xml:space="preserve">elas </w:t>
      </w:r>
      <w:r w:rsidR="00D87CB6" w:rsidRPr="00CB027F">
        <w:rPr>
          <w:szCs w:val="24"/>
        </w:rPr>
        <w:t>vítimas.</w:t>
      </w:r>
    </w:p>
    <w:p w:rsidR="00D87CB6" w:rsidRPr="00CB027F" w:rsidRDefault="005A443D" w:rsidP="005A443D">
      <w:pPr>
        <w:pStyle w:val="Heading2"/>
        <w:rPr>
          <w:rFonts w:ascii="Times New Roman" w:hAnsi="Times New Roman"/>
        </w:rPr>
      </w:pPr>
      <w:bookmarkStart w:id="13" w:name="_Toc414890814"/>
      <w:r>
        <w:rPr>
          <w:rFonts w:ascii="Times New Roman" w:hAnsi="Times New Roman"/>
        </w:rPr>
        <w:t>2.2</w:t>
      </w:r>
      <w:r w:rsidR="00482263" w:rsidRPr="00CB027F">
        <w:rPr>
          <w:rFonts w:ascii="Times New Roman" w:hAnsi="Times New Roman"/>
        </w:rPr>
        <w:t>. DO MÉRITO</w:t>
      </w:r>
      <w:bookmarkEnd w:id="13"/>
      <w:r w:rsidR="00482263" w:rsidRPr="00CB027F">
        <w:rPr>
          <w:rFonts w:ascii="Times New Roman" w:hAnsi="Times New Roman"/>
        </w:rPr>
        <w:t xml:space="preserve"> </w:t>
      </w:r>
    </w:p>
    <w:p w:rsidR="004F3001" w:rsidRPr="00CB027F" w:rsidRDefault="004F3001" w:rsidP="005A443D">
      <w:pPr>
        <w:jc w:val="both"/>
        <w:rPr>
          <w:szCs w:val="24"/>
        </w:rPr>
      </w:pPr>
      <w:r w:rsidRPr="00CB027F">
        <w:rPr>
          <w:szCs w:val="24"/>
        </w:rPr>
        <w:t xml:space="preserve">Cardenal </w:t>
      </w:r>
      <w:r w:rsidR="00DE5AAD" w:rsidRPr="00CB027F">
        <w:rPr>
          <w:szCs w:val="24"/>
        </w:rPr>
        <w:t>enfrentou</w:t>
      </w:r>
      <w:r w:rsidR="007110E3" w:rsidRPr="00CB027F">
        <w:rPr>
          <w:szCs w:val="24"/>
        </w:rPr>
        <w:t xml:space="preserve"> </w:t>
      </w:r>
      <w:r w:rsidR="00CC6FBB" w:rsidRPr="00CB027F">
        <w:rPr>
          <w:szCs w:val="24"/>
        </w:rPr>
        <w:t>intensos conflitos internos</w:t>
      </w:r>
      <w:r w:rsidR="007110E3" w:rsidRPr="00CB027F">
        <w:rPr>
          <w:szCs w:val="24"/>
        </w:rPr>
        <w:t xml:space="preserve"> recentes</w:t>
      </w:r>
      <w:r w:rsidR="00CC6FBB" w:rsidRPr="00CB027F">
        <w:rPr>
          <w:szCs w:val="24"/>
        </w:rPr>
        <w:t>. Com a eleição de Nunes, houve claro esforço estatal para reestabelecer a paz, organizar um sistema transicional para a democracia, e investigar os casos mais graves de violações a direitos humanos, permitindo que o país seguisse em frente. São admiráveis os esforços neste sentido</w:t>
      </w:r>
      <w:r w:rsidR="00D21E9D" w:rsidRPr="00CB027F">
        <w:rPr>
          <w:szCs w:val="24"/>
        </w:rPr>
        <w:t xml:space="preserve"> e</w:t>
      </w:r>
      <w:r w:rsidR="00CC6FBB" w:rsidRPr="00CB027F">
        <w:rPr>
          <w:szCs w:val="24"/>
        </w:rPr>
        <w:t xml:space="preserve">, </w:t>
      </w:r>
      <w:r w:rsidR="00D21E9D" w:rsidRPr="00CB027F">
        <w:rPr>
          <w:szCs w:val="24"/>
        </w:rPr>
        <w:t xml:space="preserve">sem dúvida, </w:t>
      </w:r>
      <w:r w:rsidR="00CC6FBB" w:rsidRPr="00CB027F">
        <w:rPr>
          <w:szCs w:val="24"/>
        </w:rPr>
        <w:t>devem ser incentivados.</w:t>
      </w:r>
    </w:p>
    <w:p w:rsidR="00CC6FBB" w:rsidRPr="00CB027F" w:rsidRDefault="00CC6FBB" w:rsidP="005A443D">
      <w:pPr>
        <w:jc w:val="both"/>
        <w:rPr>
          <w:szCs w:val="24"/>
        </w:rPr>
      </w:pPr>
      <w:r w:rsidRPr="00CB027F">
        <w:rPr>
          <w:szCs w:val="24"/>
        </w:rPr>
        <w:t xml:space="preserve">Não obstante, não é este o principal foco desta demanda. Aqui, trata-se de casos </w:t>
      </w:r>
      <w:r w:rsidR="0039679F" w:rsidRPr="00CB027F">
        <w:rPr>
          <w:szCs w:val="24"/>
        </w:rPr>
        <w:t>específicos</w:t>
      </w:r>
      <w:r w:rsidR="00D21E9D" w:rsidRPr="00CB027F">
        <w:rPr>
          <w:szCs w:val="24"/>
        </w:rPr>
        <w:t>, referentes</w:t>
      </w:r>
      <w:r w:rsidRPr="00CB027F">
        <w:rPr>
          <w:szCs w:val="24"/>
        </w:rPr>
        <w:t xml:space="preserve"> </w:t>
      </w:r>
      <w:r w:rsidR="00D21E9D" w:rsidRPr="00CB027F">
        <w:rPr>
          <w:szCs w:val="24"/>
        </w:rPr>
        <w:t>a</w:t>
      </w:r>
      <w:r w:rsidR="0039679F" w:rsidRPr="00CB027F">
        <w:rPr>
          <w:szCs w:val="24"/>
        </w:rPr>
        <w:t xml:space="preserve"> </w:t>
      </w:r>
      <w:r w:rsidRPr="00CB027F">
        <w:rPr>
          <w:szCs w:val="24"/>
        </w:rPr>
        <w:t xml:space="preserve">Ricardo Bolt, Lucrécia Rossi e Aníbal Lopez. </w:t>
      </w:r>
      <w:r w:rsidR="00671FBE" w:rsidRPr="00CB027F">
        <w:rPr>
          <w:szCs w:val="24"/>
        </w:rPr>
        <w:t>C</w:t>
      </w:r>
      <w:r w:rsidRPr="00CB027F">
        <w:rPr>
          <w:szCs w:val="24"/>
        </w:rPr>
        <w:t xml:space="preserve">asos em que foram cometidas graves </w:t>
      </w:r>
      <w:r w:rsidR="00D21E9D" w:rsidRPr="00CB027F">
        <w:rPr>
          <w:szCs w:val="24"/>
        </w:rPr>
        <w:t xml:space="preserve">e intoleráveis </w:t>
      </w:r>
      <w:r w:rsidRPr="00CB027F">
        <w:rPr>
          <w:szCs w:val="24"/>
        </w:rPr>
        <w:t>violações de direitos humanos por Carde</w:t>
      </w:r>
      <w:r w:rsidR="00D21E9D" w:rsidRPr="00CB027F">
        <w:rPr>
          <w:szCs w:val="24"/>
        </w:rPr>
        <w:t>nal</w:t>
      </w:r>
      <w:r w:rsidRPr="00CB027F">
        <w:rPr>
          <w:szCs w:val="24"/>
        </w:rPr>
        <w:t>.</w:t>
      </w:r>
      <w:r w:rsidR="0039679F" w:rsidRPr="00CB027F">
        <w:rPr>
          <w:szCs w:val="24"/>
        </w:rPr>
        <w:t xml:space="preserve"> </w:t>
      </w:r>
      <w:r w:rsidR="00D21E9D" w:rsidRPr="00CB027F">
        <w:rPr>
          <w:szCs w:val="24"/>
        </w:rPr>
        <w:t>Nes</w:t>
      </w:r>
      <w:r w:rsidR="007110E3" w:rsidRPr="00CB027F">
        <w:rPr>
          <w:szCs w:val="24"/>
        </w:rPr>
        <w:t>s</w:t>
      </w:r>
      <w:r w:rsidR="00D21E9D" w:rsidRPr="00CB027F">
        <w:rPr>
          <w:szCs w:val="24"/>
        </w:rPr>
        <w:t>as situações,</w:t>
      </w:r>
      <w:r w:rsidR="0039679F" w:rsidRPr="00CB027F">
        <w:rPr>
          <w:szCs w:val="24"/>
        </w:rPr>
        <w:t xml:space="preserve"> o Estado, embora buscando reestabelecer a paz no país, des</w:t>
      </w:r>
      <w:r w:rsidR="00D21E9D" w:rsidRPr="00CB027F">
        <w:rPr>
          <w:szCs w:val="24"/>
        </w:rPr>
        <w:t>cumpriu su</w:t>
      </w:r>
      <w:r w:rsidR="0039679F" w:rsidRPr="00CB027F">
        <w:rPr>
          <w:szCs w:val="24"/>
        </w:rPr>
        <w:t>as obrigações previstas nos artigos 1.1 e 2 da C</w:t>
      </w:r>
      <w:r w:rsidR="006C7218" w:rsidRPr="00CB027F">
        <w:rPr>
          <w:szCs w:val="24"/>
        </w:rPr>
        <w:t>ADH</w:t>
      </w:r>
      <w:r w:rsidR="0039679F" w:rsidRPr="00CB027F">
        <w:rPr>
          <w:szCs w:val="24"/>
        </w:rPr>
        <w:t>, ao desrespeitar front</w:t>
      </w:r>
      <w:r w:rsidR="00D21E9D" w:rsidRPr="00CB027F">
        <w:rPr>
          <w:szCs w:val="24"/>
        </w:rPr>
        <w:t xml:space="preserve">almente direitos nela previstos </w:t>
      </w:r>
      <w:r w:rsidR="0039679F" w:rsidRPr="00CB027F">
        <w:rPr>
          <w:szCs w:val="24"/>
        </w:rPr>
        <w:t xml:space="preserve">e adotar medidas contrárias à promoção de tais direitos. É esta a discussão </w:t>
      </w:r>
      <w:r w:rsidR="00D21E9D" w:rsidRPr="00CB027F">
        <w:rPr>
          <w:szCs w:val="24"/>
        </w:rPr>
        <w:t xml:space="preserve">fundamental </w:t>
      </w:r>
      <w:r w:rsidR="0039679F" w:rsidRPr="00CB027F">
        <w:rPr>
          <w:szCs w:val="24"/>
        </w:rPr>
        <w:t>dos casos ora apresen</w:t>
      </w:r>
      <w:r w:rsidR="00D21E9D" w:rsidRPr="00CB027F">
        <w:rPr>
          <w:szCs w:val="24"/>
        </w:rPr>
        <w:t>tados</w:t>
      </w:r>
      <w:r w:rsidR="006B1930" w:rsidRPr="00CB027F">
        <w:rPr>
          <w:szCs w:val="24"/>
        </w:rPr>
        <w:t xml:space="preserve">. </w:t>
      </w:r>
      <w:r w:rsidR="006B1930" w:rsidRPr="00CB027F">
        <w:rPr>
          <w:szCs w:val="24"/>
        </w:rPr>
        <w:tab/>
      </w:r>
    </w:p>
    <w:p w:rsidR="00816C34" w:rsidRPr="00CB027F" w:rsidRDefault="005A443D" w:rsidP="005A443D">
      <w:pPr>
        <w:pStyle w:val="Heading3"/>
        <w:rPr>
          <w:rFonts w:ascii="Times New Roman" w:hAnsi="Times New Roman"/>
        </w:rPr>
      </w:pPr>
      <w:bookmarkStart w:id="14" w:name="_Toc414890815"/>
      <w:r>
        <w:rPr>
          <w:rFonts w:ascii="Times New Roman" w:hAnsi="Times New Roman"/>
        </w:rPr>
        <w:t>2</w:t>
      </w:r>
      <w:r w:rsidR="006C7218" w:rsidRPr="00CB027F">
        <w:rPr>
          <w:rFonts w:ascii="Times New Roman" w:hAnsi="Times New Roman"/>
        </w:rPr>
        <w:t>.</w:t>
      </w:r>
      <w:r>
        <w:rPr>
          <w:rFonts w:ascii="Times New Roman" w:hAnsi="Times New Roman"/>
        </w:rPr>
        <w:t>2.</w:t>
      </w:r>
      <w:r w:rsidR="006C7218" w:rsidRPr="00CB027F">
        <w:rPr>
          <w:rFonts w:ascii="Times New Roman" w:hAnsi="Times New Roman"/>
        </w:rPr>
        <w:t xml:space="preserve">1 </w:t>
      </w:r>
      <w:r w:rsidR="00AC69AA" w:rsidRPr="00CB027F">
        <w:rPr>
          <w:rFonts w:ascii="Times New Roman" w:hAnsi="Times New Roman"/>
        </w:rPr>
        <w:t>Caso Ricardo Bolt</w:t>
      </w:r>
      <w:r w:rsidR="0039679F" w:rsidRPr="00CB027F">
        <w:rPr>
          <w:rFonts w:ascii="Times New Roman" w:hAnsi="Times New Roman"/>
        </w:rPr>
        <w:t xml:space="preserve"> vs. República de Cardenal</w:t>
      </w:r>
      <w:bookmarkEnd w:id="14"/>
    </w:p>
    <w:p w:rsidR="007C1B3A" w:rsidRPr="00CB027F" w:rsidRDefault="007C1B3A" w:rsidP="005A443D">
      <w:pPr>
        <w:jc w:val="both"/>
        <w:rPr>
          <w:szCs w:val="24"/>
        </w:rPr>
      </w:pPr>
      <w:r w:rsidRPr="00CB027F">
        <w:rPr>
          <w:szCs w:val="24"/>
        </w:rPr>
        <w:t xml:space="preserve">A situação vivenciada por Ricardo Bolt, </w:t>
      </w:r>
      <w:r w:rsidR="00E15FA9" w:rsidRPr="00CB027F">
        <w:rPr>
          <w:szCs w:val="24"/>
        </w:rPr>
        <w:t>suspeito</w:t>
      </w:r>
      <w:r w:rsidRPr="00CB027F">
        <w:rPr>
          <w:szCs w:val="24"/>
        </w:rPr>
        <w:t xml:space="preserve"> no caso do Sequestro dos Anjinhos, revela violações sistemáticas à CADH pelo aparato estatal de Cardenal. Bolt foi acusado sem provas de responsabilidade pelo caso, julgado à revelia e condenado à prisão perpétua. Ao mesmo tempo, foi detido ilegalmente, torturado e morto por agentes estatais, sem que seu corpo jamais tenha reaparecido, ou que os responsáveis por tais condutas tenham sido investigados e punidos.</w:t>
      </w:r>
    </w:p>
    <w:p w:rsidR="007C1B3A" w:rsidRPr="00CB027F" w:rsidRDefault="006C7218" w:rsidP="005A443D">
      <w:pPr>
        <w:jc w:val="both"/>
        <w:rPr>
          <w:szCs w:val="24"/>
        </w:rPr>
      </w:pPr>
      <w:r w:rsidRPr="00CB027F">
        <w:rPr>
          <w:szCs w:val="24"/>
        </w:rPr>
        <w:t xml:space="preserve">Quando sua família tentou localizá-lo </w:t>
      </w:r>
      <w:r w:rsidR="0087591B" w:rsidRPr="00CB027F">
        <w:rPr>
          <w:szCs w:val="24"/>
        </w:rPr>
        <w:t xml:space="preserve">através de </w:t>
      </w:r>
      <w:r w:rsidRPr="00CB027F">
        <w:rPr>
          <w:szCs w:val="24"/>
        </w:rPr>
        <w:t>instauração de inquérito,</w:t>
      </w:r>
      <w:r w:rsidRPr="00CB027F" w:rsidDel="006C7218">
        <w:rPr>
          <w:szCs w:val="24"/>
        </w:rPr>
        <w:t xml:space="preserve"> </w:t>
      </w:r>
      <w:r w:rsidR="007C1B3A" w:rsidRPr="00CB027F">
        <w:rPr>
          <w:szCs w:val="24"/>
        </w:rPr>
        <w:t>o M</w:t>
      </w:r>
      <w:r w:rsidR="00C165AA" w:rsidRPr="00CB027F">
        <w:rPr>
          <w:szCs w:val="24"/>
        </w:rPr>
        <w:t>P</w:t>
      </w:r>
      <w:r w:rsidR="007C1B3A" w:rsidRPr="00CB027F">
        <w:rPr>
          <w:szCs w:val="24"/>
        </w:rPr>
        <w:t xml:space="preserve"> local negou provimento ao pedido</w:t>
      </w:r>
      <w:r w:rsidRPr="00CB027F">
        <w:rPr>
          <w:szCs w:val="24"/>
        </w:rPr>
        <w:t>, alegando falta de evidências</w:t>
      </w:r>
      <w:r w:rsidR="007C1B3A" w:rsidRPr="00CB027F">
        <w:rPr>
          <w:szCs w:val="24"/>
        </w:rPr>
        <w:t xml:space="preserve">. </w:t>
      </w:r>
      <w:r w:rsidR="00024D61" w:rsidRPr="00CB027F">
        <w:rPr>
          <w:szCs w:val="24"/>
        </w:rPr>
        <w:t xml:space="preserve">A única apuração concreta ocorreu </w:t>
      </w:r>
      <w:r w:rsidR="007C1B3A" w:rsidRPr="00CB027F">
        <w:rPr>
          <w:szCs w:val="24"/>
        </w:rPr>
        <w:t xml:space="preserve">com a criação da Comissão da Verdade, tendo o relatório final admitido que Bolt fora vítima de </w:t>
      </w:r>
      <w:r w:rsidR="007C1B3A" w:rsidRPr="00CB027F">
        <w:rPr>
          <w:szCs w:val="24"/>
        </w:rPr>
        <w:lastRenderedPageBreak/>
        <w:t>desaparecimento forçado provocado pelas forças de Estado, o que culminou com a sua morte e o desaparecimento de seu corpo</w:t>
      </w:r>
      <w:r w:rsidRPr="00CB027F">
        <w:rPr>
          <w:szCs w:val="24"/>
        </w:rPr>
        <w:t>, conforme prática estatal à época</w:t>
      </w:r>
      <w:r w:rsidR="007C1B3A" w:rsidRPr="00CB027F">
        <w:rPr>
          <w:szCs w:val="24"/>
        </w:rPr>
        <w:t xml:space="preserve">. </w:t>
      </w:r>
    </w:p>
    <w:p w:rsidR="007C1B3A" w:rsidRPr="00CB027F" w:rsidRDefault="00550866" w:rsidP="005A443D">
      <w:pPr>
        <w:jc w:val="both"/>
        <w:rPr>
          <w:szCs w:val="24"/>
        </w:rPr>
      </w:pPr>
      <w:r w:rsidRPr="00CB027F">
        <w:rPr>
          <w:szCs w:val="24"/>
        </w:rPr>
        <w:t>Não obstante, não houve responsabilização do presidente Ferreira, que ordenara as condutas militares, tampouco dos oficiais e suboficiais apontados como responsáveis pelas violações.</w:t>
      </w:r>
      <w:r w:rsidR="00E15FA9" w:rsidRPr="00CB027F">
        <w:rPr>
          <w:szCs w:val="24"/>
        </w:rPr>
        <w:t xml:space="preserve"> </w:t>
      </w:r>
    </w:p>
    <w:p w:rsidR="00815C0F" w:rsidRPr="00CB027F" w:rsidRDefault="00D21E9D" w:rsidP="005A443D">
      <w:pPr>
        <w:jc w:val="both"/>
        <w:rPr>
          <w:szCs w:val="24"/>
        </w:rPr>
      </w:pPr>
      <w:r w:rsidRPr="00CB027F">
        <w:rPr>
          <w:szCs w:val="24"/>
        </w:rPr>
        <w:t>D</w:t>
      </w:r>
      <w:r w:rsidR="007C1B3A" w:rsidRPr="00CB027F">
        <w:rPr>
          <w:szCs w:val="24"/>
        </w:rPr>
        <w:t>ada</w:t>
      </w:r>
      <w:r w:rsidR="00AE4B6B" w:rsidRPr="00CB027F">
        <w:rPr>
          <w:szCs w:val="24"/>
        </w:rPr>
        <w:t xml:space="preserve">s as claras violações de direitos humanos cometidas pelo Estado, </w:t>
      </w:r>
      <w:r w:rsidR="00C165AA" w:rsidRPr="00CB027F">
        <w:rPr>
          <w:szCs w:val="24"/>
        </w:rPr>
        <w:t>e</w:t>
      </w:r>
      <w:r w:rsidR="007C1B3A" w:rsidRPr="00CB027F">
        <w:rPr>
          <w:szCs w:val="24"/>
        </w:rPr>
        <w:t xml:space="preserve"> a falta de esclarecimento acerca do desaparecimento forçado de Bolt, Annika apresentou uma denúncia perante a CmIDH</w:t>
      </w:r>
      <w:r w:rsidR="00815C0F" w:rsidRPr="00CB027F">
        <w:rPr>
          <w:szCs w:val="24"/>
        </w:rPr>
        <w:t>.</w:t>
      </w:r>
    </w:p>
    <w:p w:rsidR="00816C34" w:rsidRPr="00CB027F" w:rsidRDefault="005A443D" w:rsidP="005A443D">
      <w:pPr>
        <w:pStyle w:val="Heading4"/>
        <w:rPr>
          <w:rFonts w:ascii="Times New Roman" w:hAnsi="Times New Roman"/>
        </w:rPr>
      </w:pPr>
      <w:r>
        <w:rPr>
          <w:rFonts w:ascii="Times New Roman" w:hAnsi="Times New Roman"/>
        </w:rPr>
        <w:t>2</w:t>
      </w:r>
      <w:r w:rsidR="005E4E2E" w:rsidRPr="00CB027F">
        <w:rPr>
          <w:rFonts w:ascii="Times New Roman" w:hAnsi="Times New Roman"/>
        </w:rPr>
        <w:t>.</w:t>
      </w:r>
      <w:r>
        <w:rPr>
          <w:rFonts w:ascii="Times New Roman" w:hAnsi="Times New Roman"/>
        </w:rPr>
        <w:t>2.1.1</w:t>
      </w:r>
      <w:r w:rsidR="005E4E2E" w:rsidRPr="00CB027F">
        <w:rPr>
          <w:rFonts w:ascii="Times New Roman" w:hAnsi="Times New Roman"/>
        </w:rPr>
        <w:t xml:space="preserve"> A</w:t>
      </w:r>
      <w:r w:rsidR="00E36B67" w:rsidRPr="00CB027F">
        <w:rPr>
          <w:rFonts w:ascii="Times New Roman" w:hAnsi="Times New Roman"/>
        </w:rPr>
        <w:t xml:space="preserve">dmissibilidade do caso </w:t>
      </w:r>
      <w:r w:rsidR="00D21E9D" w:rsidRPr="00CB027F">
        <w:rPr>
          <w:rFonts w:ascii="Times New Roman" w:hAnsi="Times New Roman"/>
        </w:rPr>
        <w:t>Bolt</w:t>
      </w:r>
      <w:r w:rsidR="00E36B67" w:rsidRPr="00CB027F">
        <w:rPr>
          <w:rFonts w:ascii="Times New Roman" w:hAnsi="Times New Roman"/>
        </w:rPr>
        <w:t xml:space="preserve"> vs. República Cardenal</w:t>
      </w:r>
    </w:p>
    <w:p w:rsidR="00816C34" w:rsidRPr="00CB027F" w:rsidRDefault="00D21E9D" w:rsidP="005A443D">
      <w:pPr>
        <w:jc w:val="both"/>
        <w:rPr>
          <w:szCs w:val="24"/>
        </w:rPr>
      </w:pPr>
      <w:r w:rsidRPr="00CB027F">
        <w:rPr>
          <w:szCs w:val="24"/>
        </w:rPr>
        <w:t>Inicialmente, cabe</w:t>
      </w:r>
      <w:r w:rsidR="00816C34" w:rsidRPr="00CB027F">
        <w:rPr>
          <w:szCs w:val="24"/>
        </w:rPr>
        <w:t xml:space="preserve"> afastar eventuais questionamentos do Estado quanto à admissibilidade do caso Bolt, </w:t>
      </w:r>
      <w:r w:rsidR="00024D61" w:rsidRPr="00CB027F">
        <w:rPr>
          <w:szCs w:val="24"/>
        </w:rPr>
        <w:t xml:space="preserve">em relação </w:t>
      </w:r>
      <w:r w:rsidR="00816C34" w:rsidRPr="00CB027F">
        <w:rPr>
          <w:szCs w:val="24"/>
        </w:rPr>
        <w:t>ao prévio esgotamento dos recursos internos.</w:t>
      </w:r>
      <w:r w:rsidR="004908A8" w:rsidRPr="00CB027F">
        <w:rPr>
          <w:szCs w:val="24"/>
        </w:rPr>
        <w:t xml:space="preserve"> </w:t>
      </w:r>
      <w:r w:rsidR="00E15FA9" w:rsidRPr="00CB027F">
        <w:rPr>
          <w:szCs w:val="24"/>
        </w:rPr>
        <w:t>É i</w:t>
      </w:r>
      <w:r w:rsidR="00816C34" w:rsidRPr="00CB027F">
        <w:rPr>
          <w:szCs w:val="24"/>
        </w:rPr>
        <w:t xml:space="preserve">mportante ressaltar que Annika fez uso de todos os recursos disponíveis na jurisdição interna de Cardenal para postular </w:t>
      </w:r>
      <w:r w:rsidR="00AE4B6B" w:rsidRPr="00CB027F">
        <w:rPr>
          <w:szCs w:val="24"/>
        </w:rPr>
        <w:t xml:space="preserve">o </w:t>
      </w:r>
      <w:r w:rsidR="00816C34" w:rsidRPr="00CB027F">
        <w:rPr>
          <w:szCs w:val="24"/>
        </w:rPr>
        <w:t xml:space="preserve">esclarecimento </w:t>
      </w:r>
      <w:r w:rsidR="00E15FA9" w:rsidRPr="00CB027F">
        <w:rPr>
          <w:szCs w:val="24"/>
        </w:rPr>
        <w:t>dos fatos</w:t>
      </w:r>
      <w:r w:rsidR="00816C34" w:rsidRPr="00CB027F">
        <w:rPr>
          <w:szCs w:val="24"/>
        </w:rPr>
        <w:t xml:space="preserve">. </w:t>
      </w:r>
      <w:r w:rsidR="00024D61" w:rsidRPr="00CB027F">
        <w:rPr>
          <w:szCs w:val="24"/>
        </w:rPr>
        <w:t>Primeiro, c</w:t>
      </w:r>
      <w:r w:rsidR="00816C34" w:rsidRPr="00CB027F">
        <w:rPr>
          <w:szCs w:val="24"/>
        </w:rPr>
        <w:t xml:space="preserve">om base nas declarações de Mukundi, </w:t>
      </w:r>
      <w:r w:rsidR="006C7218" w:rsidRPr="00CB027F">
        <w:rPr>
          <w:szCs w:val="24"/>
        </w:rPr>
        <w:t>que afirmara ter visto Bolt quando estava preso clandestinamente,</w:t>
      </w:r>
      <w:r w:rsidR="00816C34" w:rsidRPr="00CB027F">
        <w:rPr>
          <w:szCs w:val="24"/>
        </w:rPr>
        <w:t xml:space="preserve"> </w:t>
      </w:r>
      <w:r w:rsidR="004908A8" w:rsidRPr="00CB027F">
        <w:rPr>
          <w:szCs w:val="24"/>
        </w:rPr>
        <w:t>Annika</w:t>
      </w:r>
      <w:r w:rsidR="00816C34" w:rsidRPr="00CB027F">
        <w:rPr>
          <w:szCs w:val="24"/>
        </w:rPr>
        <w:t xml:space="preserve"> solicitou</w:t>
      </w:r>
      <w:r w:rsidR="004908A8" w:rsidRPr="00CB027F">
        <w:rPr>
          <w:szCs w:val="24"/>
        </w:rPr>
        <w:t xml:space="preserve"> </w:t>
      </w:r>
      <w:r w:rsidR="00816C34" w:rsidRPr="00CB027F">
        <w:rPr>
          <w:szCs w:val="24"/>
        </w:rPr>
        <w:t>a instauração de um inquérito para investigar o desaparecimento</w:t>
      </w:r>
      <w:r w:rsidR="00024D61" w:rsidRPr="00CB027F">
        <w:rPr>
          <w:szCs w:val="24"/>
        </w:rPr>
        <w:t>. Seu pedido foi</w:t>
      </w:r>
      <w:r w:rsidR="00816C34" w:rsidRPr="00CB027F">
        <w:rPr>
          <w:szCs w:val="24"/>
        </w:rPr>
        <w:t xml:space="preserve"> negado pelo M</w:t>
      </w:r>
      <w:r w:rsidR="006744B1" w:rsidRPr="00CB027F">
        <w:rPr>
          <w:szCs w:val="24"/>
        </w:rPr>
        <w:t>P</w:t>
      </w:r>
      <w:r w:rsidR="00816C34" w:rsidRPr="00CB027F">
        <w:rPr>
          <w:rStyle w:val="FootnoteReference"/>
          <w:szCs w:val="24"/>
        </w:rPr>
        <w:footnoteReference w:id="6"/>
      </w:r>
      <w:r w:rsidR="00816C34" w:rsidRPr="00CB027F">
        <w:rPr>
          <w:szCs w:val="24"/>
        </w:rPr>
        <w:t xml:space="preserve"> por falta de comprovações da veracidade do</w:t>
      </w:r>
      <w:r w:rsidR="00815C0F" w:rsidRPr="00CB027F">
        <w:rPr>
          <w:szCs w:val="24"/>
        </w:rPr>
        <w:t xml:space="preserve"> acontecimento,</w:t>
      </w:r>
      <w:r w:rsidR="00816C34" w:rsidRPr="00CB027F">
        <w:rPr>
          <w:szCs w:val="24"/>
        </w:rPr>
        <w:t xml:space="preserve"> </w:t>
      </w:r>
      <w:r w:rsidR="00815C0F" w:rsidRPr="00CB027F">
        <w:rPr>
          <w:szCs w:val="24"/>
        </w:rPr>
        <w:t>deixando</w:t>
      </w:r>
      <w:r w:rsidR="004908A8" w:rsidRPr="00CB027F">
        <w:rPr>
          <w:szCs w:val="24"/>
        </w:rPr>
        <w:t>-a</w:t>
      </w:r>
      <w:r w:rsidR="00816C34" w:rsidRPr="00CB027F">
        <w:rPr>
          <w:szCs w:val="24"/>
        </w:rPr>
        <w:t xml:space="preserve"> em uma situação de co</w:t>
      </w:r>
      <w:r w:rsidR="001028A8" w:rsidRPr="00CB027F">
        <w:rPr>
          <w:szCs w:val="24"/>
        </w:rPr>
        <w:t>mpleta vulnerabilidade</w:t>
      </w:r>
      <w:r w:rsidR="00816C34" w:rsidRPr="00CB027F">
        <w:rPr>
          <w:szCs w:val="24"/>
        </w:rPr>
        <w:t>, sem nenhum tipo de in</w:t>
      </w:r>
      <w:r w:rsidR="00E15FA9" w:rsidRPr="00CB027F">
        <w:rPr>
          <w:szCs w:val="24"/>
        </w:rPr>
        <w:t>formação</w:t>
      </w:r>
      <w:r w:rsidR="00816C34" w:rsidRPr="00CB027F">
        <w:rPr>
          <w:szCs w:val="24"/>
        </w:rPr>
        <w:t xml:space="preserve"> sobre seu paradeiro. </w:t>
      </w:r>
    </w:p>
    <w:p w:rsidR="00816C34" w:rsidRPr="00CB027F" w:rsidRDefault="00816C34" w:rsidP="005A443D">
      <w:pPr>
        <w:jc w:val="both"/>
        <w:rPr>
          <w:szCs w:val="24"/>
        </w:rPr>
      </w:pPr>
      <w:r w:rsidRPr="00CB027F">
        <w:rPr>
          <w:szCs w:val="24"/>
        </w:rPr>
        <w:t xml:space="preserve">Já em 2009, buscando a investigação e punição dos responsáveis </w:t>
      </w:r>
      <w:r w:rsidR="00612057" w:rsidRPr="00CB027F">
        <w:rPr>
          <w:szCs w:val="24"/>
        </w:rPr>
        <w:t xml:space="preserve">após as conclusões da Comissão da Verdade, </w:t>
      </w:r>
      <w:r w:rsidRPr="00CB027F">
        <w:rPr>
          <w:szCs w:val="24"/>
        </w:rPr>
        <w:t>Annika interpôs</w:t>
      </w:r>
      <w:r w:rsidR="00612057" w:rsidRPr="00CB027F">
        <w:rPr>
          <w:szCs w:val="24"/>
        </w:rPr>
        <w:t xml:space="preserve"> </w:t>
      </w:r>
      <w:r w:rsidR="001028A8" w:rsidRPr="00CB027F">
        <w:rPr>
          <w:szCs w:val="24"/>
        </w:rPr>
        <w:t>perante o TTE</w:t>
      </w:r>
      <w:r w:rsidR="00612057" w:rsidRPr="00CB027F">
        <w:rPr>
          <w:rStyle w:val="FootnoteReference"/>
          <w:szCs w:val="24"/>
        </w:rPr>
        <w:footnoteReference w:id="7"/>
      </w:r>
      <w:r w:rsidR="00612057" w:rsidRPr="00CB027F">
        <w:rPr>
          <w:szCs w:val="24"/>
        </w:rPr>
        <w:t xml:space="preserve"> </w:t>
      </w:r>
      <w:r w:rsidRPr="00CB027F">
        <w:rPr>
          <w:szCs w:val="24"/>
        </w:rPr>
        <w:t>um recurso de rev</w:t>
      </w:r>
      <w:r w:rsidR="00E15FA9" w:rsidRPr="00CB027F">
        <w:rPr>
          <w:szCs w:val="24"/>
        </w:rPr>
        <w:t>isão</w:t>
      </w:r>
      <w:r w:rsidRPr="00CB027F">
        <w:rPr>
          <w:szCs w:val="24"/>
        </w:rPr>
        <w:t xml:space="preserve"> </w:t>
      </w:r>
      <w:r w:rsidR="00E15FA9" w:rsidRPr="00CB027F">
        <w:rPr>
          <w:szCs w:val="24"/>
        </w:rPr>
        <w:t>d</w:t>
      </w:r>
      <w:r w:rsidRPr="00CB027F">
        <w:rPr>
          <w:szCs w:val="24"/>
        </w:rPr>
        <w:t>a renúncia à ação penal do ex-presidente e dos militares citados</w:t>
      </w:r>
      <w:r w:rsidR="00612057" w:rsidRPr="00CB027F">
        <w:rPr>
          <w:szCs w:val="24"/>
        </w:rPr>
        <w:t xml:space="preserve"> como responsáveis pel</w:t>
      </w:r>
      <w:r w:rsidR="00E15FA9" w:rsidRPr="00CB027F">
        <w:rPr>
          <w:szCs w:val="24"/>
        </w:rPr>
        <w:t>as violações</w:t>
      </w:r>
      <w:r w:rsidR="006744B1" w:rsidRPr="00CB027F">
        <w:rPr>
          <w:szCs w:val="24"/>
        </w:rPr>
        <w:t xml:space="preserve">. </w:t>
      </w:r>
      <w:r w:rsidR="00612057" w:rsidRPr="00CB027F">
        <w:rPr>
          <w:szCs w:val="24"/>
        </w:rPr>
        <w:t>A</w:t>
      </w:r>
      <w:r w:rsidRPr="00CB027F">
        <w:rPr>
          <w:szCs w:val="24"/>
        </w:rPr>
        <w:t xml:space="preserve"> revogação postulada por Annika foi denegada pel</w:t>
      </w:r>
      <w:r w:rsidR="00E15FA9" w:rsidRPr="00CB027F">
        <w:rPr>
          <w:szCs w:val="24"/>
        </w:rPr>
        <w:t>o Tribunal</w:t>
      </w:r>
      <w:r w:rsidRPr="00CB027F">
        <w:rPr>
          <w:szCs w:val="24"/>
        </w:rPr>
        <w:t>, cujas decisões possuem caráter definitivo e não podem ser objeto de apreciação por nenhuma outra instância judicial.</w:t>
      </w:r>
    </w:p>
    <w:p w:rsidR="00816C34" w:rsidRPr="00CB027F" w:rsidRDefault="00816C34" w:rsidP="005A443D">
      <w:pPr>
        <w:jc w:val="both"/>
        <w:rPr>
          <w:szCs w:val="24"/>
        </w:rPr>
      </w:pPr>
      <w:r w:rsidRPr="00CB027F">
        <w:rPr>
          <w:szCs w:val="24"/>
        </w:rPr>
        <w:t xml:space="preserve">A legislação de Cardenal previa </w:t>
      </w:r>
      <w:r w:rsidR="006744B1" w:rsidRPr="00CB027F">
        <w:rPr>
          <w:szCs w:val="24"/>
        </w:rPr>
        <w:t>ainda</w:t>
      </w:r>
      <w:r w:rsidR="00E15FA9" w:rsidRPr="00CB027F">
        <w:rPr>
          <w:szCs w:val="24"/>
        </w:rPr>
        <w:t xml:space="preserve"> um</w:t>
      </w:r>
      <w:r w:rsidRPr="00CB027F">
        <w:rPr>
          <w:szCs w:val="24"/>
        </w:rPr>
        <w:t xml:space="preserve"> recurso contra o arq</w:t>
      </w:r>
      <w:r w:rsidR="001028A8" w:rsidRPr="00CB027F">
        <w:rPr>
          <w:szCs w:val="24"/>
        </w:rPr>
        <w:t>uivamento de um caso</w:t>
      </w:r>
      <w:r w:rsidRPr="00CB027F">
        <w:rPr>
          <w:szCs w:val="24"/>
        </w:rPr>
        <w:t xml:space="preserve"> quando novos elementos probatórios fundamentassem a sua reabertura.</w:t>
      </w:r>
      <w:r w:rsidR="00612057" w:rsidRPr="00CB027F">
        <w:rPr>
          <w:szCs w:val="24"/>
        </w:rPr>
        <w:t xml:space="preserve"> Em tese, poder</w:t>
      </w:r>
      <w:r w:rsidR="006744B1" w:rsidRPr="00CB027F">
        <w:rPr>
          <w:szCs w:val="24"/>
        </w:rPr>
        <w:t xml:space="preserve">-se-ia </w:t>
      </w:r>
      <w:r w:rsidR="00612057" w:rsidRPr="00CB027F">
        <w:rPr>
          <w:szCs w:val="24"/>
        </w:rPr>
        <w:t xml:space="preserve">imaginar ser </w:t>
      </w:r>
      <w:r w:rsidR="00656D9E" w:rsidRPr="00CB027F">
        <w:rPr>
          <w:szCs w:val="24"/>
        </w:rPr>
        <w:lastRenderedPageBreak/>
        <w:t>uma via útil para reverter o arquivamento e</w:t>
      </w:r>
      <w:r w:rsidR="00D21E9D" w:rsidRPr="00CB027F">
        <w:rPr>
          <w:szCs w:val="24"/>
        </w:rPr>
        <w:t xml:space="preserve"> solucionar o desaparecimento</w:t>
      </w:r>
      <w:r w:rsidR="00612057" w:rsidRPr="00CB027F">
        <w:rPr>
          <w:szCs w:val="24"/>
        </w:rPr>
        <w:t xml:space="preserve"> de Bolt</w:t>
      </w:r>
      <w:r w:rsidR="00656D9E" w:rsidRPr="00CB027F">
        <w:rPr>
          <w:szCs w:val="24"/>
        </w:rPr>
        <w:t>.</w:t>
      </w:r>
      <w:r w:rsidRPr="00CB027F">
        <w:rPr>
          <w:szCs w:val="24"/>
        </w:rPr>
        <w:t xml:space="preserve"> </w:t>
      </w:r>
      <w:r w:rsidR="0008143F" w:rsidRPr="00CB027F">
        <w:rPr>
          <w:szCs w:val="24"/>
        </w:rPr>
        <w:t>Contudo,</w:t>
      </w:r>
      <w:r w:rsidR="00656D9E" w:rsidRPr="00CB027F">
        <w:t xml:space="preserve"> </w:t>
      </w:r>
      <w:r w:rsidR="00656D9E" w:rsidRPr="00CB027F">
        <w:rPr>
          <w:szCs w:val="24"/>
        </w:rPr>
        <w:t>não seria razoável exigir de Annika Bolt o uso de tal recurso, dada a indisposição das autoridades de Cardenal para aprofundar o exame judicial do caso.</w:t>
      </w:r>
    </w:p>
    <w:p w:rsidR="00816C34" w:rsidRPr="00CB027F" w:rsidRDefault="004908A8" w:rsidP="005A443D">
      <w:pPr>
        <w:jc w:val="both"/>
        <w:rPr>
          <w:szCs w:val="24"/>
        </w:rPr>
      </w:pPr>
      <w:r w:rsidRPr="00CB027F">
        <w:rPr>
          <w:szCs w:val="24"/>
        </w:rPr>
        <w:t>Assim</w:t>
      </w:r>
      <w:r w:rsidR="00816C34" w:rsidRPr="00CB027F">
        <w:rPr>
          <w:szCs w:val="24"/>
        </w:rPr>
        <w:t>,</w:t>
      </w:r>
      <w:r w:rsidR="00656D9E" w:rsidRPr="00CB027F">
        <w:t xml:space="preserve"> </w:t>
      </w:r>
      <w:r w:rsidR="00656D9E" w:rsidRPr="00CB027F">
        <w:rPr>
          <w:szCs w:val="24"/>
        </w:rPr>
        <w:t>verifica-se a falta de efetividade dos recursos internos disponíveis, por não oferecerem à família de Bolt instrumento capaz de promover o esclarecimento do caso</w:t>
      </w:r>
      <w:r w:rsidR="00816C34" w:rsidRPr="00CB027F">
        <w:rPr>
          <w:szCs w:val="24"/>
        </w:rPr>
        <w:t>. Esta CrIDH</w:t>
      </w:r>
      <w:r w:rsidR="0008143F" w:rsidRPr="00CB027F">
        <w:rPr>
          <w:szCs w:val="24"/>
        </w:rPr>
        <w:t>, no caso Godínez Cruz Vs. Honduras,</w:t>
      </w:r>
      <w:r w:rsidR="00816C34" w:rsidRPr="00CB027F">
        <w:rPr>
          <w:szCs w:val="24"/>
        </w:rPr>
        <w:t xml:space="preserve"> entende</w:t>
      </w:r>
      <w:r w:rsidR="00AE4B6B" w:rsidRPr="00CB027F">
        <w:rPr>
          <w:szCs w:val="24"/>
        </w:rPr>
        <w:t>u</w:t>
      </w:r>
      <w:r w:rsidR="00816C34" w:rsidRPr="00CB027F">
        <w:rPr>
          <w:szCs w:val="24"/>
        </w:rPr>
        <w:t xml:space="preserve"> que, para que um recurso seja considerado efetivo, ele deve ser capaz de produzir o resultado para o qual foi concebido,</w:t>
      </w:r>
      <w:r w:rsidR="00816C34" w:rsidRPr="00CB027F">
        <w:rPr>
          <w:rStyle w:val="FootnoteReference"/>
          <w:szCs w:val="24"/>
        </w:rPr>
        <w:footnoteReference w:id="8"/>
      </w:r>
      <w:r w:rsidR="00816C34" w:rsidRPr="00CB027F">
        <w:rPr>
          <w:szCs w:val="24"/>
        </w:rPr>
        <w:t xml:space="preserve"> além de reconhecer que, em casos de desaparecimento forçado, ao lado de sistemáticas violações aos direitos humanos, o sistema judicial geralmente encontra-se ineficiente e combalido de seus poderes.</w:t>
      </w:r>
      <w:r w:rsidR="00220625" w:rsidRPr="00CB027F">
        <w:rPr>
          <w:rStyle w:val="FootnoteReference"/>
          <w:szCs w:val="24"/>
        </w:rPr>
        <w:footnoteReference w:id="9"/>
      </w:r>
      <w:r w:rsidR="00816C34" w:rsidRPr="00CB027F">
        <w:rPr>
          <w:szCs w:val="24"/>
        </w:rPr>
        <w:t xml:space="preserve"> </w:t>
      </w:r>
      <w:r w:rsidR="005E3E1F" w:rsidRPr="00CB027F">
        <w:rPr>
          <w:szCs w:val="24"/>
        </w:rPr>
        <w:t xml:space="preserve">Por essa razão, um eventual pedido de reabertura do inquérito não teria chances de prosperar, constituindo </w:t>
      </w:r>
      <w:r w:rsidR="00AE4B6B" w:rsidRPr="00CB027F">
        <w:rPr>
          <w:szCs w:val="24"/>
        </w:rPr>
        <w:t xml:space="preserve">apenas </w:t>
      </w:r>
      <w:r w:rsidR="005E3E1F" w:rsidRPr="00CB027F">
        <w:rPr>
          <w:szCs w:val="24"/>
        </w:rPr>
        <w:t>injustificável obstáculo para a família da vítima obter a solução desejada.</w:t>
      </w:r>
    </w:p>
    <w:p w:rsidR="00816C34" w:rsidRPr="00CB027F" w:rsidRDefault="00816C34" w:rsidP="005A443D">
      <w:pPr>
        <w:jc w:val="both"/>
        <w:rPr>
          <w:szCs w:val="24"/>
        </w:rPr>
      </w:pPr>
      <w:r w:rsidRPr="00CB027F">
        <w:rPr>
          <w:szCs w:val="24"/>
        </w:rPr>
        <w:t>N</w:t>
      </w:r>
      <w:r w:rsidR="005E3E1F" w:rsidRPr="00CB027F">
        <w:rPr>
          <w:szCs w:val="24"/>
        </w:rPr>
        <w:t xml:space="preserve">ão obstante, </w:t>
      </w:r>
      <w:r w:rsidRPr="00CB027F">
        <w:rPr>
          <w:szCs w:val="24"/>
        </w:rPr>
        <w:t>há dever de o Estado prover condições para que os recursos não restem ilusórios</w:t>
      </w:r>
      <w:r w:rsidR="00E67B9E" w:rsidRPr="00CB027F">
        <w:rPr>
          <w:szCs w:val="24"/>
        </w:rPr>
        <w:t xml:space="preserve">, </w:t>
      </w:r>
      <w:r w:rsidRPr="00CB027F">
        <w:rPr>
          <w:szCs w:val="24"/>
        </w:rPr>
        <w:t>mas efetivamente sirvam para a proteção das pessoas contra as arbitrariedades</w:t>
      </w:r>
      <w:r w:rsidR="00E67B9E" w:rsidRPr="00CB027F">
        <w:rPr>
          <w:szCs w:val="24"/>
        </w:rPr>
        <w:t>, mesmo em contexto de instabilidade interna e violações sistemáticas aos direitos humanos</w:t>
      </w:r>
      <w:r w:rsidRPr="00CB027F">
        <w:rPr>
          <w:szCs w:val="24"/>
        </w:rPr>
        <w:t>.</w:t>
      </w:r>
      <w:r w:rsidR="00E67B9E" w:rsidRPr="00CB027F">
        <w:rPr>
          <w:rStyle w:val="FootnoteReference"/>
          <w:szCs w:val="24"/>
        </w:rPr>
        <w:footnoteReference w:id="10"/>
      </w:r>
      <w:r w:rsidRPr="00CB027F">
        <w:t xml:space="preserve"> </w:t>
      </w:r>
      <w:r w:rsidRPr="00CB027F">
        <w:rPr>
          <w:szCs w:val="24"/>
        </w:rPr>
        <w:t>No caso, fica claro o descumprimento de tal compromisso pelo Estado, figurando os remédios oferecidos como mera formalidade o que exime o peticionário de exaurir todos os recursos internos, como já afirmado por esta colenda Corte na O</w:t>
      </w:r>
      <w:r w:rsidR="005E3E1F" w:rsidRPr="00CB027F">
        <w:rPr>
          <w:szCs w:val="24"/>
        </w:rPr>
        <w:t>C</w:t>
      </w:r>
      <w:r w:rsidRPr="00CB027F">
        <w:rPr>
          <w:szCs w:val="24"/>
        </w:rPr>
        <w:t xml:space="preserve"> Nº 11.</w:t>
      </w:r>
      <w:r w:rsidRPr="00CB027F">
        <w:rPr>
          <w:rStyle w:val="FootnoteReference"/>
          <w:szCs w:val="24"/>
        </w:rPr>
        <w:footnoteReference w:id="11"/>
      </w:r>
      <w:r w:rsidRPr="00CB027F">
        <w:rPr>
          <w:szCs w:val="24"/>
        </w:rPr>
        <w:t xml:space="preserve"> </w:t>
      </w:r>
    </w:p>
    <w:p w:rsidR="00656D9E" w:rsidRPr="00CB027F" w:rsidRDefault="005E3E1F" w:rsidP="005A443D">
      <w:pPr>
        <w:jc w:val="both"/>
      </w:pPr>
      <w:r w:rsidRPr="00CB027F">
        <w:rPr>
          <w:szCs w:val="24"/>
        </w:rPr>
        <w:t xml:space="preserve">Por fim, </w:t>
      </w:r>
      <w:r w:rsidR="00816C34" w:rsidRPr="00CB027F">
        <w:rPr>
          <w:szCs w:val="24"/>
        </w:rPr>
        <w:t xml:space="preserve">importante pontuar que, </w:t>
      </w:r>
      <w:r w:rsidR="001D3AC1" w:rsidRPr="00CB027F">
        <w:rPr>
          <w:szCs w:val="24"/>
        </w:rPr>
        <w:t>caso</w:t>
      </w:r>
      <w:r w:rsidRPr="00CB027F">
        <w:rPr>
          <w:szCs w:val="24"/>
        </w:rPr>
        <w:t xml:space="preserve"> </w:t>
      </w:r>
      <w:r w:rsidR="00816C34" w:rsidRPr="00CB027F">
        <w:rPr>
          <w:szCs w:val="24"/>
        </w:rPr>
        <w:t xml:space="preserve">o Estado </w:t>
      </w:r>
      <w:r w:rsidRPr="00CB027F">
        <w:rPr>
          <w:szCs w:val="24"/>
        </w:rPr>
        <w:t xml:space="preserve">alegue o </w:t>
      </w:r>
      <w:r w:rsidR="00816C34" w:rsidRPr="00CB027F">
        <w:rPr>
          <w:szCs w:val="24"/>
        </w:rPr>
        <w:t xml:space="preserve">não esgotamento dos recursos internos, ele próprio possui o ônus de provar a existência de um recurso efetivo não utilizado, conforme </w:t>
      </w:r>
      <w:r w:rsidR="00816C34" w:rsidRPr="00CB027F">
        <w:rPr>
          <w:szCs w:val="24"/>
        </w:rPr>
        <w:lastRenderedPageBreak/>
        <w:t>jurisprudência pacífica desta Corte</w:t>
      </w:r>
      <w:r w:rsidR="00816C34" w:rsidRPr="00CB027F">
        <w:rPr>
          <w:rStyle w:val="FootnoteReference"/>
          <w:szCs w:val="24"/>
        </w:rPr>
        <w:t xml:space="preserve"> </w:t>
      </w:r>
      <w:r w:rsidR="00816C34" w:rsidRPr="00CB027F">
        <w:rPr>
          <w:rStyle w:val="FootnoteReference"/>
          <w:szCs w:val="24"/>
        </w:rPr>
        <w:footnoteReference w:id="12"/>
      </w:r>
      <w:r w:rsidR="00816C34" w:rsidRPr="00CB027F">
        <w:rPr>
          <w:szCs w:val="24"/>
        </w:rPr>
        <w:t>. Caberá, assim, ao Estado de Cardenal indicar quais os recursos disponíveis e a sua efetividade na tutela dos direitos de seus jurisdicionados, devendo especificar o recurso adequado e efetivo disponível no caso concreto</w:t>
      </w:r>
      <w:r w:rsidR="00816C34" w:rsidRPr="00CB027F">
        <w:rPr>
          <w:rStyle w:val="FootnoteReference"/>
          <w:szCs w:val="24"/>
        </w:rPr>
        <w:footnoteReference w:id="13"/>
      </w:r>
      <w:r w:rsidR="00816C34" w:rsidRPr="00CB027F">
        <w:rPr>
          <w:szCs w:val="24"/>
        </w:rPr>
        <w:t>.</w:t>
      </w:r>
    </w:p>
    <w:p w:rsidR="00816C34" w:rsidRPr="00CB027F" w:rsidRDefault="005A443D" w:rsidP="005A443D">
      <w:pPr>
        <w:pStyle w:val="Heading4"/>
        <w:rPr>
          <w:rFonts w:ascii="Times New Roman" w:hAnsi="Times New Roman"/>
        </w:rPr>
      </w:pPr>
      <w:r>
        <w:rPr>
          <w:rFonts w:ascii="Times New Roman" w:hAnsi="Times New Roman"/>
        </w:rPr>
        <w:t>2.2.1.2</w:t>
      </w:r>
      <w:r w:rsidR="005E4E2E" w:rsidRPr="00CB027F">
        <w:rPr>
          <w:rFonts w:ascii="Times New Roman" w:hAnsi="Times New Roman"/>
        </w:rPr>
        <w:t xml:space="preserve"> </w:t>
      </w:r>
      <w:r w:rsidR="004C3292" w:rsidRPr="00CB027F">
        <w:rPr>
          <w:rFonts w:ascii="Times New Roman" w:hAnsi="Times New Roman"/>
        </w:rPr>
        <w:t>M</w:t>
      </w:r>
      <w:r w:rsidR="0008143F" w:rsidRPr="00CB027F">
        <w:rPr>
          <w:rFonts w:ascii="Times New Roman" w:hAnsi="Times New Roman"/>
        </w:rPr>
        <w:t>é</w:t>
      </w:r>
      <w:r w:rsidR="004C3292" w:rsidRPr="00CB027F">
        <w:rPr>
          <w:rFonts w:ascii="Times New Roman" w:hAnsi="Times New Roman"/>
        </w:rPr>
        <w:t xml:space="preserve">rito do caso Bolt. vs. Republica Cardenal </w:t>
      </w:r>
    </w:p>
    <w:p w:rsidR="00816C34" w:rsidRPr="00CB027F" w:rsidRDefault="006744B1" w:rsidP="005A443D">
      <w:pPr>
        <w:jc w:val="both"/>
        <w:rPr>
          <w:b/>
          <w:szCs w:val="24"/>
        </w:rPr>
      </w:pPr>
      <w:r w:rsidRPr="00CB027F">
        <w:rPr>
          <w:b/>
          <w:szCs w:val="24"/>
        </w:rPr>
        <w:t xml:space="preserve">Violação ao </w:t>
      </w:r>
      <w:r w:rsidR="00816C34" w:rsidRPr="00CB027F">
        <w:rPr>
          <w:b/>
          <w:szCs w:val="24"/>
        </w:rPr>
        <w:t>Artigo 3º - Direito ao reconhecimento da personalidade jurídica</w:t>
      </w:r>
    </w:p>
    <w:p w:rsidR="00816C34" w:rsidRPr="00CB027F" w:rsidRDefault="00816C34" w:rsidP="005A443D">
      <w:pPr>
        <w:autoSpaceDE w:val="0"/>
        <w:autoSpaceDN w:val="0"/>
        <w:adjustRightInd w:val="0"/>
        <w:jc w:val="both"/>
        <w:rPr>
          <w:sz w:val="20"/>
          <w:szCs w:val="20"/>
        </w:rPr>
      </w:pPr>
      <w:r w:rsidRPr="00CB027F">
        <w:rPr>
          <w:szCs w:val="24"/>
        </w:rPr>
        <w:t>O artigo 3º da CADH estabelece que “Toda pessoa tem direito ao reconhecimento de sua personalidade jurídica”. A CrIDH</w:t>
      </w:r>
      <w:r w:rsidR="00656D9E" w:rsidRPr="00CB027F">
        <w:rPr>
          <w:szCs w:val="24"/>
        </w:rPr>
        <w:t>,</w:t>
      </w:r>
      <w:r w:rsidRPr="00CB027F">
        <w:rPr>
          <w:szCs w:val="24"/>
        </w:rPr>
        <w:t xml:space="preserve"> no caso </w:t>
      </w:r>
      <w:r w:rsidRPr="00CB027F">
        <w:rPr>
          <w:iCs/>
          <w:szCs w:val="24"/>
        </w:rPr>
        <w:t>Bámaca Velásquez Vs. Guatemala</w:t>
      </w:r>
      <w:r w:rsidR="00656D9E" w:rsidRPr="00CB027F">
        <w:rPr>
          <w:iCs/>
          <w:szCs w:val="24"/>
        </w:rPr>
        <w:t>,</w:t>
      </w:r>
      <w:r w:rsidRPr="00CB027F">
        <w:rPr>
          <w:szCs w:val="24"/>
        </w:rPr>
        <w:t xml:space="preserve"> esclarece o conteúdo do direito em questão como o reconhecimento da pessoa, em qualquer lugar e situação, com base em suas garantias fundamentais, como sujeito capa</w:t>
      </w:r>
      <w:r w:rsidR="00656D9E" w:rsidRPr="00CB027F">
        <w:rPr>
          <w:szCs w:val="24"/>
        </w:rPr>
        <w:t>z</w:t>
      </w:r>
      <w:r w:rsidRPr="00CB027F">
        <w:rPr>
          <w:szCs w:val="24"/>
        </w:rPr>
        <w:t xml:space="preserve"> de ser titular de direitos e deveres na ordem jurídica a que está submetida</w:t>
      </w:r>
      <w:r w:rsidRPr="00CB027F">
        <w:rPr>
          <w:rStyle w:val="FootnoteReference"/>
          <w:szCs w:val="24"/>
        </w:rPr>
        <w:footnoteReference w:id="14"/>
      </w:r>
      <w:r w:rsidRPr="00CB027F">
        <w:rPr>
          <w:szCs w:val="24"/>
        </w:rPr>
        <w:t>. Daí deriva o dever do Estado de prover os meios e as condições jurídicas para que este direito possa ser exercido plenamente por seus titulares sem interferências externas à sua vontade, com exceção daquelas previstas em lei, conforme reforçou a Corte no caso</w:t>
      </w:r>
      <w:r w:rsidRPr="00CB027F">
        <w:rPr>
          <w:iCs/>
          <w:szCs w:val="24"/>
        </w:rPr>
        <w:t xml:space="preserve"> Radilla Pacheco Vs. México</w:t>
      </w:r>
      <w:r w:rsidRPr="00CB027F">
        <w:rPr>
          <w:szCs w:val="24"/>
        </w:rPr>
        <w:t>.</w:t>
      </w:r>
      <w:r w:rsidRPr="00CB027F">
        <w:rPr>
          <w:rStyle w:val="FootnoteReference"/>
          <w:szCs w:val="24"/>
        </w:rPr>
        <w:footnoteReference w:id="15"/>
      </w:r>
      <w:r w:rsidRPr="00CB027F">
        <w:rPr>
          <w:szCs w:val="24"/>
        </w:rPr>
        <w:t xml:space="preserve"> Trata, em suma, da possibilidade de existir como cidadão, com uma personalidade jurídica própria, fundamento </w:t>
      </w:r>
      <w:r w:rsidR="00656D9E" w:rsidRPr="00CB027F">
        <w:rPr>
          <w:szCs w:val="24"/>
        </w:rPr>
        <w:t xml:space="preserve">básico </w:t>
      </w:r>
      <w:r w:rsidRPr="00CB027F">
        <w:rPr>
          <w:szCs w:val="24"/>
        </w:rPr>
        <w:t>da democracia.</w:t>
      </w:r>
    </w:p>
    <w:p w:rsidR="00816C34" w:rsidRPr="00CB027F" w:rsidRDefault="00754BAA" w:rsidP="005A443D">
      <w:pPr>
        <w:autoSpaceDE w:val="0"/>
        <w:autoSpaceDN w:val="0"/>
        <w:adjustRightInd w:val="0"/>
        <w:jc w:val="both"/>
        <w:rPr>
          <w:sz w:val="20"/>
          <w:szCs w:val="20"/>
        </w:rPr>
      </w:pPr>
      <w:r w:rsidRPr="00CB027F">
        <w:rPr>
          <w:szCs w:val="24"/>
        </w:rPr>
        <w:t>Entendendo-se o â</w:t>
      </w:r>
      <w:r w:rsidR="00816C34" w:rsidRPr="00CB027F">
        <w:rPr>
          <w:szCs w:val="24"/>
        </w:rPr>
        <w:t>mbito de proteção deste artigo</w:t>
      </w:r>
      <w:r w:rsidR="00656D9E" w:rsidRPr="00CB027F">
        <w:rPr>
          <w:szCs w:val="24"/>
        </w:rPr>
        <w:t>,</w:t>
      </w:r>
      <w:r w:rsidR="00816C34" w:rsidRPr="00CB027F">
        <w:rPr>
          <w:szCs w:val="24"/>
        </w:rPr>
        <w:t xml:space="preserve"> fica claro que a situação de Bolt, desaparecido, privado de suas garantias e completamente marginalizado d</w:t>
      </w:r>
      <w:r w:rsidR="00656D9E" w:rsidRPr="00CB027F">
        <w:rPr>
          <w:szCs w:val="24"/>
        </w:rPr>
        <w:t xml:space="preserve">a </w:t>
      </w:r>
      <w:r w:rsidR="00816C34" w:rsidRPr="00CB027F">
        <w:rPr>
          <w:szCs w:val="24"/>
        </w:rPr>
        <w:t xml:space="preserve">sociedade por conta de uma decisão arbitrária das forças policiais </w:t>
      </w:r>
      <w:r w:rsidR="005E3E1F" w:rsidRPr="00CB027F">
        <w:rPr>
          <w:szCs w:val="24"/>
        </w:rPr>
        <w:t>de</w:t>
      </w:r>
      <w:r w:rsidR="00816C34" w:rsidRPr="00CB027F">
        <w:rPr>
          <w:szCs w:val="24"/>
        </w:rPr>
        <w:t xml:space="preserve"> Cardenal</w:t>
      </w:r>
      <w:r w:rsidR="005E3E1F" w:rsidRPr="00CB027F">
        <w:rPr>
          <w:szCs w:val="24"/>
        </w:rPr>
        <w:t>,</w:t>
      </w:r>
      <w:r w:rsidR="00816C34" w:rsidRPr="00CB027F">
        <w:rPr>
          <w:szCs w:val="24"/>
        </w:rPr>
        <w:t xml:space="preserve"> viola seu direito ao reconhecimento de sua personalidade jurídica. </w:t>
      </w:r>
    </w:p>
    <w:p w:rsidR="00816C34" w:rsidRPr="00CB027F" w:rsidRDefault="00816C34" w:rsidP="005A443D">
      <w:pPr>
        <w:jc w:val="both"/>
        <w:rPr>
          <w:szCs w:val="24"/>
        </w:rPr>
      </w:pPr>
      <w:r w:rsidRPr="00CB027F">
        <w:rPr>
          <w:szCs w:val="24"/>
        </w:rPr>
        <w:lastRenderedPageBreak/>
        <w:t>O desaparecimento corrói a dignidade do indivíduo</w:t>
      </w:r>
      <w:r w:rsidR="00656D9E" w:rsidRPr="00CB027F">
        <w:rPr>
          <w:szCs w:val="24"/>
        </w:rPr>
        <w:t xml:space="preserve"> e</w:t>
      </w:r>
      <w:r w:rsidRPr="00CB027F">
        <w:rPr>
          <w:szCs w:val="24"/>
        </w:rPr>
        <w:t xml:space="preserve"> constitui a pior forma pela qual o Estado possui de privar o cidadão de participar da ordem jurídica. A jurisprudência da CrIDH</w:t>
      </w:r>
      <w:r w:rsidR="00656D9E" w:rsidRPr="00CB027F">
        <w:rPr>
          <w:szCs w:val="24"/>
        </w:rPr>
        <w:t>,</w:t>
      </w:r>
      <w:r w:rsidRPr="00CB027F">
        <w:rPr>
          <w:szCs w:val="24"/>
        </w:rPr>
        <w:t xml:space="preserve"> no caso Anzualdo Castro Vs. Peru</w:t>
      </w:r>
      <w:r w:rsidR="00656D9E" w:rsidRPr="00CB027F">
        <w:rPr>
          <w:szCs w:val="24"/>
        </w:rPr>
        <w:t>,</w:t>
      </w:r>
      <w:r w:rsidRPr="00CB027F">
        <w:rPr>
          <w:szCs w:val="24"/>
        </w:rPr>
        <w:t xml:space="preserve"> atesta que</w:t>
      </w:r>
      <w:r w:rsidR="00656D9E" w:rsidRPr="00CB027F">
        <w:rPr>
          <w:szCs w:val="24"/>
        </w:rPr>
        <w:t>,</w:t>
      </w:r>
      <w:r w:rsidRPr="00CB027F">
        <w:rPr>
          <w:szCs w:val="24"/>
        </w:rPr>
        <w:t xml:space="preserve"> além da pessoa desaparecida não poder exercer e gozar os direitos de que é titular, seu desaparecimento não apenas lhe subtrai toda a proteção conferida pelo ordenamento jurídico, mas principalmente lhe nega a própria existência, provocando uma situação grave de indeterminação jurídica frente a sociedade e o Estado</w:t>
      </w:r>
      <w:r w:rsidRPr="00CB027F">
        <w:rPr>
          <w:rStyle w:val="FootnoteReference"/>
          <w:szCs w:val="24"/>
        </w:rPr>
        <w:footnoteReference w:id="16"/>
      </w:r>
      <w:r w:rsidRPr="00CB027F">
        <w:rPr>
          <w:szCs w:val="24"/>
        </w:rPr>
        <w:t xml:space="preserve">. </w:t>
      </w:r>
    </w:p>
    <w:p w:rsidR="00816C34" w:rsidRPr="00CB027F" w:rsidRDefault="00816C34" w:rsidP="005A443D">
      <w:pPr>
        <w:jc w:val="both"/>
        <w:rPr>
          <w:szCs w:val="24"/>
        </w:rPr>
      </w:pPr>
      <w:r w:rsidRPr="00CB027F">
        <w:rPr>
          <w:szCs w:val="24"/>
        </w:rPr>
        <w:t>O Estado, ao deter ilegalmente Bolt e mantê-lo desaparecido, foi responsável por condená-lo a permanecer indeterminadamente em um limbo jurídico</w:t>
      </w:r>
      <w:r w:rsidRPr="00CB027F">
        <w:rPr>
          <w:rStyle w:val="FootnoteReference"/>
          <w:szCs w:val="24"/>
        </w:rPr>
        <w:footnoteReference w:id="17"/>
      </w:r>
      <w:r w:rsidRPr="00CB027F">
        <w:rPr>
          <w:szCs w:val="24"/>
        </w:rPr>
        <w:t>, lhe priva</w:t>
      </w:r>
      <w:r w:rsidR="006744B1" w:rsidRPr="00CB027F">
        <w:rPr>
          <w:szCs w:val="24"/>
        </w:rPr>
        <w:t>ndo</w:t>
      </w:r>
      <w:r w:rsidRPr="00CB027F">
        <w:rPr>
          <w:szCs w:val="24"/>
        </w:rPr>
        <w:t xml:space="preserve"> de sua personalidade jurídica e reduzi</w:t>
      </w:r>
      <w:r w:rsidR="006744B1" w:rsidRPr="00CB027F">
        <w:rPr>
          <w:szCs w:val="24"/>
        </w:rPr>
        <w:t>ndo</w:t>
      </w:r>
      <w:r w:rsidRPr="00CB027F">
        <w:rPr>
          <w:szCs w:val="24"/>
        </w:rPr>
        <w:t xml:space="preserve"> sua condição humana, reserv</w:t>
      </w:r>
      <w:r w:rsidR="00836F38" w:rsidRPr="00CB027F">
        <w:rPr>
          <w:szCs w:val="24"/>
        </w:rPr>
        <w:t xml:space="preserve">ando-a </w:t>
      </w:r>
      <w:r w:rsidRPr="00CB027F">
        <w:rPr>
          <w:szCs w:val="24"/>
        </w:rPr>
        <w:t xml:space="preserve">a um espaço não alcançado pela proteção </w:t>
      </w:r>
      <w:r w:rsidR="00656D9E" w:rsidRPr="00CB027F">
        <w:rPr>
          <w:szCs w:val="24"/>
        </w:rPr>
        <w:t>legal</w:t>
      </w:r>
      <w:r w:rsidRPr="00CB027F">
        <w:rPr>
          <w:szCs w:val="24"/>
        </w:rPr>
        <w:t xml:space="preserve">. </w:t>
      </w:r>
      <w:r w:rsidR="0008143F" w:rsidRPr="00CB027F">
        <w:rPr>
          <w:szCs w:val="24"/>
        </w:rPr>
        <w:t>D</w:t>
      </w:r>
      <w:r w:rsidRPr="00CB027F">
        <w:rPr>
          <w:szCs w:val="24"/>
        </w:rPr>
        <w:t>es</w:t>
      </w:r>
      <w:r w:rsidR="00656D9E" w:rsidRPr="00CB027F">
        <w:rPr>
          <w:szCs w:val="24"/>
        </w:rPr>
        <w:t>s</w:t>
      </w:r>
      <w:r w:rsidRPr="00CB027F">
        <w:rPr>
          <w:szCs w:val="24"/>
        </w:rPr>
        <w:t xml:space="preserve">a forma, </w:t>
      </w:r>
      <w:r w:rsidR="0008143F" w:rsidRPr="00CB027F">
        <w:rPr>
          <w:szCs w:val="24"/>
        </w:rPr>
        <w:t xml:space="preserve">verifica-se indubitável </w:t>
      </w:r>
      <w:r w:rsidRPr="00CB027F">
        <w:rPr>
          <w:szCs w:val="24"/>
        </w:rPr>
        <w:t>a violação</w:t>
      </w:r>
      <w:r w:rsidR="00754BAA" w:rsidRPr="00CB027F">
        <w:rPr>
          <w:szCs w:val="24"/>
        </w:rPr>
        <w:t xml:space="preserve"> ao artigo 3º da CAD</w:t>
      </w:r>
      <w:r w:rsidRPr="00CB027F">
        <w:rPr>
          <w:szCs w:val="24"/>
        </w:rPr>
        <w:t>H, relativamente aos artigos 1.1 e 2 do mesmo documento.</w:t>
      </w:r>
    </w:p>
    <w:p w:rsidR="00816C34" w:rsidRPr="00CB027F" w:rsidRDefault="006744B1" w:rsidP="005A443D">
      <w:pPr>
        <w:jc w:val="both"/>
        <w:rPr>
          <w:b/>
          <w:szCs w:val="24"/>
        </w:rPr>
      </w:pPr>
      <w:r w:rsidRPr="00CB027F">
        <w:rPr>
          <w:b/>
          <w:szCs w:val="24"/>
        </w:rPr>
        <w:t xml:space="preserve">Violação ao </w:t>
      </w:r>
      <w:r w:rsidR="00816C34" w:rsidRPr="00CB027F">
        <w:rPr>
          <w:b/>
          <w:szCs w:val="24"/>
        </w:rPr>
        <w:t>Artigo 4º - Direito à vida</w:t>
      </w:r>
    </w:p>
    <w:p w:rsidR="00816C34" w:rsidRPr="00CB027F" w:rsidRDefault="00816C34" w:rsidP="005A443D">
      <w:pPr>
        <w:jc w:val="both"/>
        <w:rPr>
          <w:szCs w:val="24"/>
        </w:rPr>
      </w:pPr>
      <w:r w:rsidRPr="00CB027F">
        <w:rPr>
          <w:szCs w:val="24"/>
        </w:rPr>
        <w:t xml:space="preserve">Dispõe o artigo 4º da CADH que “Toda pessoa tem o direito de que se respeite sua vida”. </w:t>
      </w:r>
      <w:r w:rsidR="00656D9E" w:rsidRPr="00CB027F">
        <w:rPr>
          <w:szCs w:val="24"/>
        </w:rPr>
        <w:t>A</w:t>
      </w:r>
      <w:r w:rsidRPr="00CB027F">
        <w:rPr>
          <w:szCs w:val="24"/>
        </w:rPr>
        <w:t xml:space="preserve"> CrIDH já consolidou entendimento de que o direito à vida exerce papel fundamental na CADH, </w:t>
      </w:r>
      <w:r w:rsidR="005E3E1F" w:rsidRPr="00CB027F">
        <w:rPr>
          <w:szCs w:val="24"/>
        </w:rPr>
        <w:t xml:space="preserve">pois </w:t>
      </w:r>
      <w:r w:rsidRPr="00CB027F">
        <w:rPr>
          <w:szCs w:val="24"/>
        </w:rPr>
        <w:t>constitui o fundamento essencial da existência de todos os demais direitos</w:t>
      </w:r>
      <w:r w:rsidRPr="00CB027F">
        <w:rPr>
          <w:rStyle w:val="FootnoteReference"/>
          <w:szCs w:val="24"/>
        </w:rPr>
        <w:footnoteReference w:id="18"/>
      </w:r>
      <w:r w:rsidRPr="00CB027F">
        <w:rPr>
          <w:szCs w:val="24"/>
        </w:rPr>
        <w:t>.</w:t>
      </w:r>
    </w:p>
    <w:p w:rsidR="00816C34" w:rsidRPr="00CB027F" w:rsidRDefault="00816C34" w:rsidP="005A443D">
      <w:pPr>
        <w:autoSpaceDE w:val="0"/>
        <w:autoSpaceDN w:val="0"/>
        <w:adjustRightInd w:val="0"/>
        <w:jc w:val="both"/>
        <w:rPr>
          <w:szCs w:val="24"/>
        </w:rPr>
      </w:pPr>
      <w:r w:rsidRPr="00CB027F">
        <w:rPr>
          <w:szCs w:val="24"/>
        </w:rPr>
        <w:t xml:space="preserve">Ainda que não tenha sido encontrado o corpo de Bolt, não </w:t>
      </w:r>
      <w:r w:rsidR="00656D9E" w:rsidRPr="00CB027F">
        <w:rPr>
          <w:szCs w:val="24"/>
        </w:rPr>
        <w:t>há</w:t>
      </w:r>
      <w:r w:rsidRPr="00CB027F">
        <w:rPr>
          <w:szCs w:val="24"/>
        </w:rPr>
        <w:t xml:space="preserve"> dúvidas de que a detenção ilegal e as sessões de tortura a que foi submetido culminaram com a sua morte</w:t>
      </w:r>
      <w:r w:rsidR="006744B1" w:rsidRPr="00CB027F">
        <w:rPr>
          <w:szCs w:val="24"/>
        </w:rPr>
        <w:t>, como já reconhecido n</w:t>
      </w:r>
      <w:r w:rsidRPr="00CB027F">
        <w:rPr>
          <w:szCs w:val="24"/>
        </w:rPr>
        <w:t>o relatório da Comissão da Verdade</w:t>
      </w:r>
      <w:r w:rsidR="005E3E1F" w:rsidRPr="00CB027F">
        <w:rPr>
          <w:szCs w:val="24"/>
        </w:rPr>
        <w:t>.</w:t>
      </w:r>
      <w:r w:rsidRPr="00CB027F">
        <w:rPr>
          <w:szCs w:val="24"/>
        </w:rPr>
        <w:t xml:space="preserve"> Sobre outros casos de desaparecimento forçado, como Juan Humberto Sánchez Vs. Honduras e Villagrán Morales Vs. Guatemala, a CrIDH já se pronuncio</w:t>
      </w:r>
      <w:r w:rsidR="00656D9E" w:rsidRPr="00CB027F">
        <w:rPr>
          <w:szCs w:val="24"/>
        </w:rPr>
        <w:t>u</w:t>
      </w:r>
      <w:r w:rsidR="005E3E1F" w:rsidRPr="00CB027F">
        <w:rPr>
          <w:szCs w:val="24"/>
        </w:rPr>
        <w:t xml:space="preserve"> ressaltando </w:t>
      </w:r>
      <w:r w:rsidRPr="00CB027F">
        <w:rPr>
          <w:szCs w:val="24"/>
        </w:rPr>
        <w:t xml:space="preserve">que tal prática inclui com frequência execuções extrajudiciais, seguidas de </w:t>
      </w:r>
      <w:r w:rsidRPr="00CB027F">
        <w:rPr>
          <w:szCs w:val="24"/>
        </w:rPr>
        <w:lastRenderedPageBreak/>
        <w:t xml:space="preserve">ocultamento de cadáveres, com o objetivo de </w:t>
      </w:r>
      <w:r w:rsidR="00AE4B6B" w:rsidRPr="00CB027F">
        <w:rPr>
          <w:szCs w:val="24"/>
        </w:rPr>
        <w:t>esconder</w:t>
      </w:r>
      <w:r w:rsidRPr="00CB027F">
        <w:rPr>
          <w:szCs w:val="24"/>
        </w:rPr>
        <w:t xml:space="preserve"> todas as provas do crime e assegurar a impunidade d</w:t>
      </w:r>
      <w:r w:rsidR="005E3E1F" w:rsidRPr="00CB027F">
        <w:rPr>
          <w:szCs w:val="24"/>
        </w:rPr>
        <w:t>os</w:t>
      </w:r>
      <w:r w:rsidRPr="00CB027F">
        <w:rPr>
          <w:szCs w:val="24"/>
        </w:rPr>
        <w:t xml:space="preserve"> responsáveis, </w:t>
      </w:r>
      <w:r w:rsidR="005E3E1F" w:rsidRPr="00CB027F">
        <w:rPr>
          <w:szCs w:val="24"/>
        </w:rPr>
        <w:t xml:space="preserve">o </w:t>
      </w:r>
      <w:r w:rsidRPr="00CB027F">
        <w:rPr>
          <w:szCs w:val="24"/>
        </w:rPr>
        <w:t>que constitu</w:t>
      </w:r>
      <w:r w:rsidR="005E3E1F" w:rsidRPr="00CB027F">
        <w:rPr>
          <w:szCs w:val="24"/>
        </w:rPr>
        <w:t>i</w:t>
      </w:r>
      <w:r w:rsidRPr="00CB027F">
        <w:rPr>
          <w:szCs w:val="24"/>
        </w:rPr>
        <w:t xml:space="preserve"> evidente violaç</w:t>
      </w:r>
      <w:r w:rsidR="005E3E1F" w:rsidRPr="00CB027F">
        <w:rPr>
          <w:szCs w:val="24"/>
        </w:rPr>
        <w:t xml:space="preserve">ão </w:t>
      </w:r>
      <w:r w:rsidRPr="00CB027F">
        <w:rPr>
          <w:szCs w:val="24"/>
        </w:rPr>
        <w:t>ao direito à vida.</w:t>
      </w:r>
      <w:r w:rsidRPr="00CB027F">
        <w:rPr>
          <w:rStyle w:val="FootnoteReference"/>
          <w:szCs w:val="24"/>
        </w:rPr>
        <w:footnoteReference w:id="19"/>
      </w:r>
    </w:p>
    <w:p w:rsidR="00AE4B6B" w:rsidRPr="00CB027F" w:rsidRDefault="005E3E1F" w:rsidP="005A443D">
      <w:pPr>
        <w:jc w:val="both"/>
        <w:rPr>
          <w:szCs w:val="24"/>
        </w:rPr>
      </w:pPr>
      <w:r w:rsidRPr="00CB027F">
        <w:rPr>
          <w:szCs w:val="24"/>
        </w:rPr>
        <w:t>Assim, c</w:t>
      </w:r>
      <w:r w:rsidR="00816C34" w:rsidRPr="00CB027F">
        <w:rPr>
          <w:szCs w:val="24"/>
        </w:rPr>
        <w:t>onforme</w:t>
      </w:r>
      <w:r w:rsidR="006744B1" w:rsidRPr="00CB027F">
        <w:rPr>
          <w:szCs w:val="24"/>
        </w:rPr>
        <w:t xml:space="preserve"> </w:t>
      </w:r>
      <w:r w:rsidR="00816C34" w:rsidRPr="00CB027F">
        <w:rPr>
          <w:szCs w:val="24"/>
        </w:rPr>
        <w:t>est</w:t>
      </w:r>
      <w:r w:rsidR="0008143F" w:rsidRPr="00CB027F">
        <w:rPr>
          <w:szCs w:val="24"/>
        </w:rPr>
        <w:t xml:space="preserve">a Corte </w:t>
      </w:r>
      <w:r w:rsidR="00656D9E" w:rsidRPr="00CB027F">
        <w:rPr>
          <w:szCs w:val="24"/>
        </w:rPr>
        <w:t xml:space="preserve">também pontuou </w:t>
      </w:r>
      <w:r w:rsidR="0008143F" w:rsidRPr="00CB027F">
        <w:rPr>
          <w:szCs w:val="24"/>
        </w:rPr>
        <w:t>no caso Godínez Cruz vs</w:t>
      </w:r>
      <w:r w:rsidR="00816C34" w:rsidRPr="00CB027F">
        <w:rPr>
          <w:szCs w:val="24"/>
        </w:rPr>
        <w:t xml:space="preserve"> H</w:t>
      </w:r>
      <w:r w:rsidR="00754BAA" w:rsidRPr="00CB027F">
        <w:rPr>
          <w:szCs w:val="24"/>
        </w:rPr>
        <w:t>onduras,</w:t>
      </w:r>
      <w:r w:rsidR="00816C34" w:rsidRPr="00CB027F">
        <w:rPr>
          <w:szCs w:val="24"/>
        </w:rPr>
        <w:t xml:space="preserve"> é razoável presumir que os agentes estatais responsáveis se desfizeram dos restos mortais da vítima</w:t>
      </w:r>
      <w:r w:rsidR="00816C34" w:rsidRPr="00CB027F">
        <w:rPr>
          <w:rStyle w:val="FootnoteReference"/>
          <w:szCs w:val="24"/>
        </w:rPr>
        <w:footnoteReference w:id="20"/>
      </w:r>
      <w:r w:rsidR="00816C34" w:rsidRPr="00CB027F">
        <w:rPr>
          <w:szCs w:val="24"/>
        </w:rPr>
        <w:t xml:space="preserve">, prática comprovada como corriqueira no governo autoritário de Cardenal. </w:t>
      </w:r>
    </w:p>
    <w:p w:rsidR="00816C34" w:rsidRPr="00CB027F" w:rsidRDefault="00656D9E" w:rsidP="005A443D">
      <w:pPr>
        <w:jc w:val="both"/>
        <w:rPr>
          <w:szCs w:val="24"/>
        </w:rPr>
      </w:pPr>
      <w:r w:rsidRPr="00CB027F">
        <w:rPr>
          <w:szCs w:val="24"/>
        </w:rPr>
        <w:t>Tal</w:t>
      </w:r>
      <w:r w:rsidR="00816C34" w:rsidRPr="00CB027F">
        <w:rPr>
          <w:szCs w:val="24"/>
        </w:rPr>
        <w:t xml:space="preserve"> presunção pode ser assumida de maneira ainda mais segura, </w:t>
      </w:r>
      <w:r w:rsidRPr="00CB027F">
        <w:rPr>
          <w:szCs w:val="24"/>
        </w:rPr>
        <w:t>dada</w:t>
      </w:r>
      <w:r w:rsidR="00816C34" w:rsidRPr="00CB027F">
        <w:rPr>
          <w:szCs w:val="24"/>
        </w:rPr>
        <w:t xml:space="preserve"> a revelação do modus operandi das forças repressoras do Governo Ferreira, </w:t>
      </w:r>
      <w:r w:rsidR="005B7A3D" w:rsidRPr="00CB027F">
        <w:rPr>
          <w:szCs w:val="24"/>
        </w:rPr>
        <w:t>demonstrado</w:t>
      </w:r>
      <w:r w:rsidR="00D636C6" w:rsidRPr="00CB027F">
        <w:rPr>
          <w:szCs w:val="24"/>
        </w:rPr>
        <w:t xml:space="preserve"> </w:t>
      </w:r>
      <w:r w:rsidR="00816C34" w:rsidRPr="00CB027F">
        <w:rPr>
          <w:szCs w:val="24"/>
        </w:rPr>
        <w:t>com a morte e esquartejamento de Lucrécia Rossi</w:t>
      </w:r>
      <w:r w:rsidR="00D636C6" w:rsidRPr="00CB027F">
        <w:rPr>
          <w:szCs w:val="24"/>
        </w:rPr>
        <w:t xml:space="preserve"> </w:t>
      </w:r>
      <w:r w:rsidR="00816C34" w:rsidRPr="00CB027F">
        <w:rPr>
          <w:szCs w:val="24"/>
        </w:rPr>
        <w:t xml:space="preserve">e com a tortura de Paulo Mukundi. </w:t>
      </w:r>
      <w:r w:rsidR="00D636C6" w:rsidRPr="00CB027F">
        <w:rPr>
          <w:szCs w:val="24"/>
        </w:rPr>
        <w:t>Isto porque a</w:t>
      </w:r>
      <w:r w:rsidR="00816C34" w:rsidRPr="00CB027F">
        <w:rPr>
          <w:szCs w:val="24"/>
        </w:rPr>
        <w:t xml:space="preserve"> C</w:t>
      </w:r>
      <w:r w:rsidR="005B7A3D" w:rsidRPr="00CB027F">
        <w:rPr>
          <w:szCs w:val="24"/>
        </w:rPr>
        <w:t>r</w:t>
      </w:r>
      <w:r w:rsidR="00816C34" w:rsidRPr="00CB027F">
        <w:rPr>
          <w:szCs w:val="24"/>
        </w:rPr>
        <w:t>IDH se pronunciou em casos semelhantes</w:t>
      </w:r>
      <w:r w:rsidR="00816C34" w:rsidRPr="00CB027F">
        <w:rPr>
          <w:rStyle w:val="FootnoteReference"/>
          <w:szCs w:val="24"/>
        </w:rPr>
        <w:footnoteReference w:id="21"/>
      </w:r>
      <w:r w:rsidR="00816C34" w:rsidRPr="00CB027F">
        <w:rPr>
          <w:szCs w:val="24"/>
        </w:rPr>
        <w:t xml:space="preserve"> no sentido de que, quando o Estado sabidamente promove ou tolera a prática de desaparecimentos forçados ou de assassinatos seletivos, as práticas realizadas em outra situação no mesmo contexto de violações sistemáticas podem ser tidas como um desaparecimento cuja consequência para a vítima foi a morte.</w:t>
      </w:r>
    </w:p>
    <w:p w:rsidR="00D03F1B" w:rsidRPr="00CB027F" w:rsidRDefault="00D03F1B" w:rsidP="005A443D">
      <w:pPr>
        <w:jc w:val="both"/>
        <w:rPr>
          <w:szCs w:val="24"/>
        </w:rPr>
      </w:pPr>
      <w:r w:rsidRPr="00CB027F">
        <w:rPr>
          <w:szCs w:val="24"/>
        </w:rPr>
        <w:t>Em sentido semelhante, a CrIDH estabeleceu no caso</w:t>
      </w:r>
      <w:r w:rsidRPr="00CB027F">
        <w:rPr>
          <w:b/>
          <w:szCs w:val="24"/>
        </w:rPr>
        <w:t xml:space="preserve"> </w:t>
      </w:r>
      <w:r w:rsidRPr="00CB027F">
        <w:rPr>
          <w:szCs w:val="24"/>
        </w:rPr>
        <w:t>Ibsen Cárdenas e Ibsen Peña Vs Bolívia que submeter detentos às ações repressoras de corpos oficiais ou agentes cuja prática de tortura e assassinatos, com a aquiescência ou tolerância do Estado</w:t>
      </w:r>
      <w:r w:rsidR="003E254E" w:rsidRPr="00CB027F">
        <w:rPr>
          <w:szCs w:val="24"/>
        </w:rPr>
        <w:t xml:space="preserve">, prática </w:t>
      </w:r>
      <w:r w:rsidR="00E84552" w:rsidRPr="00CB027F">
        <w:rPr>
          <w:szCs w:val="24"/>
        </w:rPr>
        <w:t>reconhecida também no Sistema Africano</w:t>
      </w:r>
      <w:r w:rsidR="003E254E" w:rsidRPr="00CB027F">
        <w:rPr>
          <w:szCs w:val="24"/>
        </w:rPr>
        <w:t xml:space="preserve"> como execução extrajudicial</w:t>
      </w:r>
      <w:r w:rsidR="00063196" w:rsidRPr="00CB027F">
        <w:rPr>
          <w:rStyle w:val="FootnoteReference"/>
          <w:szCs w:val="24"/>
        </w:rPr>
        <w:footnoteReference w:id="22"/>
      </w:r>
      <w:r w:rsidRPr="00CB027F">
        <w:rPr>
          <w:szCs w:val="24"/>
        </w:rPr>
        <w:t>, resulta em impunidade e configura, por si só, uma infração ao dever de prevenir violações ao direito à vida, ainda que os atos violentos não tenham sido provados no caso específico</w:t>
      </w:r>
      <w:r w:rsidRPr="00CB027F">
        <w:rPr>
          <w:rStyle w:val="FootnoteReference"/>
          <w:szCs w:val="24"/>
        </w:rPr>
        <w:footnoteReference w:id="23"/>
      </w:r>
      <w:r w:rsidRPr="00CB027F">
        <w:rPr>
          <w:szCs w:val="24"/>
        </w:rPr>
        <w:t xml:space="preserve">. </w:t>
      </w:r>
    </w:p>
    <w:p w:rsidR="00816C34" w:rsidRPr="00CB027F" w:rsidRDefault="00D03F1B" w:rsidP="005A443D">
      <w:pPr>
        <w:jc w:val="both"/>
        <w:rPr>
          <w:szCs w:val="24"/>
        </w:rPr>
      </w:pPr>
      <w:r w:rsidRPr="00CB027F">
        <w:rPr>
          <w:szCs w:val="24"/>
        </w:rPr>
        <w:lastRenderedPageBreak/>
        <w:t>Vê-se que</w:t>
      </w:r>
      <w:r w:rsidR="00816C34" w:rsidRPr="00CB027F">
        <w:rPr>
          <w:szCs w:val="24"/>
        </w:rPr>
        <w:t xml:space="preserve"> </w:t>
      </w:r>
      <w:r w:rsidRPr="00CB027F">
        <w:rPr>
          <w:szCs w:val="24"/>
        </w:rPr>
        <w:t>o</w:t>
      </w:r>
      <w:r w:rsidR="00816C34" w:rsidRPr="00CB027F">
        <w:rPr>
          <w:szCs w:val="24"/>
        </w:rPr>
        <w:t xml:space="preserve"> Estado não somente não procedeu às ações necessárias para proteger a sua existência, como agiu em sentido diametralmente contrário, uma vez que um grupo comandado diretamente pelos chefes do Estado foi o grande responsável por</w:t>
      </w:r>
      <w:r w:rsidR="005B7A3D" w:rsidRPr="00CB027F">
        <w:rPr>
          <w:szCs w:val="24"/>
        </w:rPr>
        <w:t xml:space="preserve"> </w:t>
      </w:r>
      <w:r w:rsidR="00816C34" w:rsidRPr="00CB027F">
        <w:rPr>
          <w:szCs w:val="24"/>
        </w:rPr>
        <w:t>tirar a vida de Bolt</w:t>
      </w:r>
      <w:r w:rsidRPr="00CB027F">
        <w:rPr>
          <w:szCs w:val="24"/>
        </w:rPr>
        <w:t>. Não há dúvidas, assim, quanto à violação do artigo 4º da CADH.</w:t>
      </w:r>
    </w:p>
    <w:p w:rsidR="00816C34" w:rsidRPr="00CB027F" w:rsidRDefault="00012EB0" w:rsidP="005A443D">
      <w:pPr>
        <w:pStyle w:val="NormalWeb"/>
        <w:spacing w:line="480" w:lineRule="auto"/>
        <w:rPr>
          <w:b/>
          <w:color w:val="000000"/>
        </w:rPr>
      </w:pPr>
      <w:r w:rsidRPr="00CB027F">
        <w:rPr>
          <w:b/>
          <w:color w:val="000000"/>
        </w:rPr>
        <w:t>Violação ao a</w:t>
      </w:r>
      <w:r w:rsidR="00816C34" w:rsidRPr="00CB027F">
        <w:rPr>
          <w:b/>
          <w:color w:val="000000"/>
        </w:rPr>
        <w:t>rtigo 5º - Direito à integridade pessoal</w:t>
      </w:r>
    </w:p>
    <w:p w:rsidR="005B7A3D" w:rsidRPr="00CB027F" w:rsidRDefault="00816C34" w:rsidP="005A443D">
      <w:pPr>
        <w:pStyle w:val="NormalWeb"/>
        <w:spacing w:line="480" w:lineRule="auto"/>
        <w:jc w:val="both"/>
        <w:rPr>
          <w:color w:val="000000"/>
        </w:rPr>
      </w:pPr>
      <w:r w:rsidRPr="00CB027F">
        <w:rPr>
          <w:color w:val="000000"/>
        </w:rPr>
        <w:t>Ricardo Bolt, vítima de desaparecimento forçado, sofreu contundente violação ao seu direito à integridade pessoal pois, como já decidiu esta Corte</w:t>
      </w:r>
      <w:r w:rsidRPr="00CB027F">
        <w:rPr>
          <w:rStyle w:val="FootnoteReference"/>
          <w:color w:val="000000"/>
        </w:rPr>
        <w:footnoteReference w:id="24"/>
      </w:r>
      <w:r w:rsidRPr="00CB027F">
        <w:rPr>
          <w:color w:val="000000"/>
        </w:rPr>
        <w:t xml:space="preserve">, o isolamento e o estado coativo de incomunicabilidade constituem, por si só, tratamento cruel e degradante em absoluta contradição com os </w:t>
      </w:r>
      <w:r w:rsidR="005B7A3D" w:rsidRPr="00CB027F">
        <w:rPr>
          <w:color w:val="000000"/>
        </w:rPr>
        <w:t>artigos</w:t>
      </w:r>
      <w:r w:rsidRPr="00CB027F">
        <w:rPr>
          <w:color w:val="000000"/>
        </w:rPr>
        <w:t xml:space="preserve"> 5.1 e 5.2 da CADH. No mesmo sentido, a conclusão desta Corte no caso González Medina vs. República Dominicana </w:t>
      </w:r>
      <w:r w:rsidR="005B7A3D" w:rsidRPr="00CB027F">
        <w:rPr>
          <w:color w:val="000000"/>
        </w:rPr>
        <w:t>declara</w:t>
      </w:r>
      <w:r w:rsidRPr="00CB027F">
        <w:rPr>
          <w:color w:val="000000"/>
        </w:rPr>
        <w:t xml:space="preserve"> ser o desaparecido vítima de uma violação à integridade pessoal em todas as suas dimensões</w:t>
      </w:r>
      <w:r w:rsidRPr="00CB027F">
        <w:rPr>
          <w:rStyle w:val="FootnoteReference"/>
          <w:color w:val="000000"/>
        </w:rPr>
        <w:footnoteReference w:id="25"/>
      </w:r>
      <w:r w:rsidRPr="00CB027F">
        <w:rPr>
          <w:color w:val="000000"/>
        </w:rPr>
        <w:t>.</w:t>
      </w:r>
      <w:r w:rsidR="005B7A3D" w:rsidRPr="00CB027F">
        <w:rPr>
          <w:color w:val="000000"/>
        </w:rPr>
        <w:t xml:space="preserve"> </w:t>
      </w:r>
    </w:p>
    <w:p w:rsidR="00816C34" w:rsidRPr="00CB027F" w:rsidRDefault="00750A2E" w:rsidP="005A443D">
      <w:pPr>
        <w:pStyle w:val="NormalWeb"/>
        <w:spacing w:line="480" w:lineRule="auto"/>
        <w:jc w:val="both"/>
        <w:rPr>
          <w:color w:val="000000"/>
        </w:rPr>
      </w:pPr>
      <w:r w:rsidRPr="00CB027F">
        <w:rPr>
          <w:color w:val="000000"/>
        </w:rPr>
        <w:t>Não apenas isso, mas a</w:t>
      </w:r>
      <w:r w:rsidR="00816C34" w:rsidRPr="00CB027F">
        <w:rPr>
          <w:color w:val="000000"/>
        </w:rPr>
        <w:t>s torturas praticadas contra Bolt quando de sua detenção ilegal constituem violação clara ao artigo 5º da C</w:t>
      </w:r>
      <w:r w:rsidR="00D03F1B" w:rsidRPr="00CB027F">
        <w:rPr>
          <w:color w:val="000000"/>
        </w:rPr>
        <w:t>ADH</w:t>
      </w:r>
      <w:r w:rsidR="00816C34" w:rsidRPr="00CB027F">
        <w:rPr>
          <w:color w:val="000000"/>
        </w:rPr>
        <w:t xml:space="preserve">, especialmente em relação ao item 5.2, que ressalta a dignidade como valor primordial humano e razão primeira para impedir tratamentos cruéis e degradantes. A própria Comissão da Verdade, órgão estatal, reconheceu </w:t>
      </w:r>
      <w:r w:rsidR="005B7A3D" w:rsidRPr="00CB027F">
        <w:rPr>
          <w:color w:val="000000"/>
        </w:rPr>
        <w:t>tais</w:t>
      </w:r>
      <w:r w:rsidR="00836F38" w:rsidRPr="00CB027F">
        <w:rPr>
          <w:color w:val="000000"/>
        </w:rPr>
        <w:t xml:space="preserve"> práticas</w:t>
      </w:r>
      <w:r w:rsidR="00816C34" w:rsidRPr="00CB027F">
        <w:rPr>
          <w:color w:val="000000"/>
        </w:rPr>
        <w:t xml:space="preserve">. </w:t>
      </w:r>
    </w:p>
    <w:p w:rsidR="00816C34" w:rsidRPr="00CB027F" w:rsidRDefault="00816C34" w:rsidP="005A443D">
      <w:pPr>
        <w:pStyle w:val="NormalWeb"/>
        <w:spacing w:line="480" w:lineRule="auto"/>
        <w:jc w:val="both"/>
        <w:rPr>
          <w:color w:val="000000"/>
        </w:rPr>
      </w:pPr>
      <w:r w:rsidRPr="00CB027F">
        <w:rPr>
          <w:color w:val="000000"/>
        </w:rPr>
        <w:t>A CrIDH se manifestou em diversos casos, como Lori Berenson Mejía Vs. Peru e Tibi Vs. Equador</w:t>
      </w:r>
      <w:r w:rsidRPr="00CB027F">
        <w:rPr>
          <w:rStyle w:val="FootnoteReference"/>
          <w:color w:val="000000"/>
        </w:rPr>
        <w:footnoteReference w:id="26"/>
      </w:r>
      <w:r w:rsidRPr="00CB027F">
        <w:rPr>
          <w:color w:val="000000"/>
        </w:rPr>
        <w:t xml:space="preserve">, no sentido de que a proibição da tortura e de tratamentos cruéis ou degradantes é absoluta e inderrogável, mesmo nas circunstâncias mais excepcionais, como de combate ao </w:t>
      </w:r>
      <w:r w:rsidRPr="00CB027F">
        <w:rPr>
          <w:color w:val="000000"/>
        </w:rPr>
        <w:lastRenderedPageBreak/>
        <w:t>terrorismo, conflitos civis ou grave instabilidade política interna.</w:t>
      </w:r>
      <w:r w:rsidR="005B7A3D" w:rsidRPr="00CB027F">
        <w:rPr>
          <w:color w:val="000000"/>
        </w:rPr>
        <w:t xml:space="preserve"> Sobre isso há posição</w:t>
      </w:r>
      <w:r w:rsidRPr="00CB027F">
        <w:rPr>
          <w:color w:val="000000"/>
        </w:rPr>
        <w:t xml:space="preserve"> </w:t>
      </w:r>
      <w:r w:rsidR="005B7A3D" w:rsidRPr="00CB027F">
        <w:rPr>
          <w:color w:val="000000"/>
        </w:rPr>
        <w:t xml:space="preserve">do </w:t>
      </w:r>
      <w:r w:rsidRPr="00CB027F">
        <w:rPr>
          <w:color w:val="000000"/>
        </w:rPr>
        <w:t>Relator Especial das Nações Unidas para Tortura, dando conta que punições corporais e outros tipos de tortura viola</w:t>
      </w:r>
      <w:r w:rsidR="005B7A3D" w:rsidRPr="00CB027F">
        <w:rPr>
          <w:color w:val="000000"/>
        </w:rPr>
        <w:t>m</w:t>
      </w:r>
      <w:r w:rsidRPr="00CB027F">
        <w:rPr>
          <w:color w:val="000000"/>
        </w:rPr>
        <w:t xml:space="preserve"> frontalmente documentos como a DUDH</w:t>
      </w:r>
      <w:r w:rsidR="005B7A3D" w:rsidRPr="00CB027F">
        <w:rPr>
          <w:color w:val="000000"/>
        </w:rPr>
        <w:t xml:space="preserve"> e</w:t>
      </w:r>
      <w:r w:rsidRPr="00CB027F">
        <w:rPr>
          <w:color w:val="000000"/>
        </w:rPr>
        <w:t xml:space="preserve"> o PIDCP</w:t>
      </w:r>
      <w:r w:rsidRPr="00CB027F">
        <w:rPr>
          <w:rStyle w:val="FootnoteReference"/>
          <w:color w:val="000000"/>
        </w:rPr>
        <w:footnoteReference w:id="27"/>
      </w:r>
      <w:r w:rsidRPr="00CB027F">
        <w:rPr>
          <w:color w:val="000000"/>
        </w:rPr>
        <w:t>.</w:t>
      </w:r>
    </w:p>
    <w:p w:rsidR="00816C34" w:rsidRPr="00CB027F" w:rsidRDefault="00816C34" w:rsidP="005A443D">
      <w:pPr>
        <w:pStyle w:val="NormalWeb"/>
        <w:spacing w:line="480" w:lineRule="auto"/>
        <w:jc w:val="both"/>
        <w:rPr>
          <w:color w:val="000000"/>
        </w:rPr>
      </w:pPr>
      <w:r w:rsidRPr="00CB027F">
        <w:rPr>
          <w:color w:val="000000"/>
        </w:rPr>
        <w:t>Como promotor da tortura, o Estado fugiu à sua responsabilidade de tutelar as garantias básicas de seus cidadãos e se transformou</w:t>
      </w:r>
      <w:r w:rsidR="00836F38" w:rsidRPr="00CB027F">
        <w:rPr>
          <w:color w:val="000000"/>
        </w:rPr>
        <w:t xml:space="preserve"> em agente violador de direitos</w:t>
      </w:r>
      <w:r w:rsidRPr="00CB027F">
        <w:rPr>
          <w:color w:val="000000"/>
        </w:rPr>
        <w:t xml:space="preserve">, </w:t>
      </w:r>
      <w:r w:rsidR="005B7A3D" w:rsidRPr="00CB027F">
        <w:rPr>
          <w:color w:val="000000"/>
        </w:rPr>
        <w:t>pois</w:t>
      </w:r>
      <w:r w:rsidRPr="00CB027F">
        <w:rPr>
          <w:color w:val="000000"/>
        </w:rPr>
        <w:t xml:space="preserve"> a prática de</w:t>
      </w:r>
      <w:r w:rsidR="005B7A3D" w:rsidRPr="00CB027F">
        <w:rPr>
          <w:color w:val="000000"/>
        </w:rPr>
        <w:t>sses</w:t>
      </w:r>
      <w:r w:rsidRPr="00CB027F">
        <w:rPr>
          <w:color w:val="000000"/>
        </w:rPr>
        <w:t xml:space="preserve"> crimes foi ordenada diretamente pela estrutura institucional do país</w:t>
      </w:r>
      <w:r w:rsidR="00F32746" w:rsidRPr="00CB027F">
        <w:rPr>
          <w:rStyle w:val="FootnoteReference"/>
          <w:color w:val="000000"/>
        </w:rPr>
        <w:footnoteReference w:id="28"/>
      </w:r>
      <w:r w:rsidRPr="00CB027F">
        <w:rPr>
          <w:color w:val="000000"/>
        </w:rPr>
        <w:t xml:space="preserve">. A gravidade da postura assumida por Cardenal é patente, como se depreende do posicionamento </w:t>
      </w:r>
      <w:r w:rsidR="005B7A3D" w:rsidRPr="00CB027F">
        <w:rPr>
          <w:color w:val="000000"/>
        </w:rPr>
        <w:t>d</w:t>
      </w:r>
      <w:r w:rsidRPr="00CB027F">
        <w:rPr>
          <w:color w:val="000000"/>
        </w:rPr>
        <w:t>a CrIDH desde o julgamento do seu primeiro caso</w:t>
      </w:r>
      <w:r w:rsidR="00750A2E" w:rsidRPr="00CB027F">
        <w:rPr>
          <w:color w:val="000000"/>
        </w:rPr>
        <w:t>, quan</w:t>
      </w:r>
      <w:r w:rsidR="001C66A9" w:rsidRPr="00CB027F">
        <w:rPr>
          <w:color w:val="000000"/>
        </w:rPr>
        <w:t>do</w:t>
      </w:r>
      <w:r w:rsidR="00750A2E" w:rsidRPr="00CB027F">
        <w:rPr>
          <w:color w:val="000000"/>
        </w:rPr>
        <w:t xml:space="preserve"> se afirmou que</w:t>
      </w:r>
      <w:r w:rsidRPr="00CB027F">
        <w:rPr>
          <w:color w:val="000000"/>
        </w:rPr>
        <w:t>: “(...) o exercício da autoridade pública tem certos limites, derivados da concepção de direitos humanos como atributos da dignidade humana e, portanto, superiores ao poder estatal. Por isso, a proteção dos direitos humanos deve necessariamente abranger a restrição do exercício do poder pelo Estado.</w:t>
      </w:r>
      <w:r w:rsidR="00A178A6" w:rsidRPr="00CB027F">
        <w:rPr>
          <w:color w:val="000000"/>
        </w:rPr>
        <w:t>”</w:t>
      </w:r>
      <w:r w:rsidRPr="00CB027F">
        <w:rPr>
          <w:rStyle w:val="FootnoteReference"/>
          <w:color w:val="000000"/>
        </w:rPr>
        <w:footnoteReference w:id="29"/>
      </w:r>
      <w:r w:rsidRPr="00CB027F">
        <w:rPr>
          <w:color w:val="000000"/>
        </w:rPr>
        <w:t xml:space="preserve"> </w:t>
      </w:r>
    </w:p>
    <w:p w:rsidR="00816C34" w:rsidRPr="00CB027F" w:rsidRDefault="005B7A3D" w:rsidP="005A443D">
      <w:pPr>
        <w:pStyle w:val="NormalWeb"/>
        <w:spacing w:line="480" w:lineRule="auto"/>
        <w:jc w:val="both"/>
        <w:rPr>
          <w:color w:val="000000"/>
        </w:rPr>
      </w:pPr>
      <w:r w:rsidRPr="00CB027F">
        <w:rPr>
          <w:color w:val="000000"/>
        </w:rPr>
        <w:t>M</w:t>
      </w:r>
      <w:r w:rsidR="00816C34" w:rsidRPr="00CB027F">
        <w:rPr>
          <w:color w:val="000000"/>
        </w:rPr>
        <w:t>erece destaque</w:t>
      </w:r>
      <w:r w:rsidRPr="00CB027F">
        <w:rPr>
          <w:color w:val="000000"/>
        </w:rPr>
        <w:t xml:space="preserve"> a</w:t>
      </w:r>
      <w:r w:rsidR="00750A2E" w:rsidRPr="00CB027F">
        <w:rPr>
          <w:color w:val="000000"/>
        </w:rPr>
        <w:t>inda a</w:t>
      </w:r>
      <w:r w:rsidRPr="00CB027F">
        <w:rPr>
          <w:color w:val="000000"/>
        </w:rPr>
        <w:t xml:space="preserve"> </w:t>
      </w:r>
      <w:r w:rsidR="00816C34" w:rsidRPr="00CB027F">
        <w:rPr>
          <w:color w:val="000000"/>
        </w:rPr>
        <w:t>condena</w:t>
      </w:r>
      <w:r w:rsidRPr="00CB027F">
        <w:rPr>
          <w:color w:val="000000"/>
        </w:rPr>
        <w:t>ção de Bolt</w:t>
      </w:r>
      <w:r w:rsidR="00816C34" w:rsidRPr="00CB027F">
        <w:rPr>
          <w:color w:val="000000"/>
        </w:rPr>
        <w:t xml:space="preserve"> à prisão perpétua por seu suposto envolvimento no caso do </w:t>
      </w:r>
      <w:r w:rsidR="00D636C6" w:rsidRPr="00CB027F">
        <w:rPr>
          <w:color w:val="000000"/>
        </w:rPr>
        <w:t>s</w:t>
      </w:r>
      <w:r w:rsidR="00816C34" w:rsidRPr="00CB027F">
        <w:rPr>
          <w:color w:val="000000"/>
        </w:rPr>
        <w:t xml:space="preserve">equestro. Ao sentenciar um indivíduo a passar o resto de sua vida em uma prisão, o Estado não visa </w:t>
      </w:r>
      <w:r w:rsidR="003C7A98" w:rsidRPr="00CB027F">
        <w:rPr>
          <w:color w:val="000000"/>
        </w:rPr>
        <w:t>à</w:t>
      </w:r>
      <w:r w:rsidR="00816C34" w:rsidRPr="00CB027F">
        <w:rPr>
          <w:color w:val="000000"/>
        </w:rPr>
        <w:t xml:space="preserve"> readaptação social daquele que cometeu crimes</w:t>
      </w:r>
      <w:r w:rsidR="00063196" w:rsidRPr="00CB027F">
        <w:rPr>
          <w:rStyle w:val="FootnoteReference"/>
          <w:color w:val="000000"/>
        </w:rPr>
        <w:footnoteReference w:id="30"/>
      </w:r>
      <w:r w:rsidR="00816C34" w:rsidRPr="00CB027F">
        <w:rPr>
          <w:color w:val="000000"/>
        </w:rPr>
        <w:t>. Pelo contrário, a prisão perpétua é um modo injusto</w:t>
      </w:r>
      <w:r w:rsidRPr="00CB027F">
        <w:rPr>
          <w:color w:val="000000"/>
        </w:rPr>
        <w:t>, degradante e cruel</w:t>
      </w:r>
      <w:r w:rsidR="00816C34" w:rsidRPr="00CB027F">
        <w:rPr>
          <w:color w:val="000000"/>
        </w:rPr>
        <w:t xml:space="preserve"> de excluir um cidadão d</w:t>
      </w:r>
      <w:r w:rsidR="003C7A98" w:rsidRPr="00CB027F">
        <w:rPr>
          <w:color w:val="000000"/>
        </w:rPr>
        <w:t>a</w:t>
      </w:r>
      <w:r w:rsidR="00816C34" w:rsidRPr="00CB027F">
        <w:rPr>
          <w:color w:val="000000"/>
        </w:rPr>
        <w:t xml:space="preserve"> sociedade, restringindo</w:t>
      </w:r>
      <w:r w:rsidR="003C7A98" w:rsidRPr="00CB027F">
        <w:rPr>
          <w:color w:val="000000"/>
        </w:rPr>
        <w:t>-o</w:t>
      </w:r>
      <w:r w:rsidR="00816C34" w:rsidRPr="00CB027F">
        <w:rPr>
          <w:color w:val="000000"/>
        </w:rPr>
        <w:t xml:space="preserve"> a um confinamento</w:t>
      </w:r>
      <w:r w:rsidR="003C7A98" w:rsidRPr="00CB027F">
        <w:rPr>
          <w:color w:val="000000"/>
        </w:rPr>
        <w:t xml:space="preserve"> permanente</w:t>
      </w:r>
      <w:r w:rsidR="00816C34" w:rsidRPr="00CB027F">
        <w:rPr>
          <w:color w:val="000000"/>
        </w:rPr>
        <w:t xml:space="preserve">. </w:t>
      </w:r>
      <w:r w:rsidR="003C7A98" w:rsidRPr="00CB027F">
        <w:rPr>
          <w:color w:val="000000"/>
        </w:rPr>
        <w:t>A</w:t>
      </w:r>
      <w:r w:rsidR="00816C34" w:rsidRPr="00CB027F">
        <w:rPr>
          <w:color w:val="000000"/>
        </w:rPr>
        <w:t xml:space="preserve">o tratar do caso Mendoza e Outros Vs. Argentina, a CrIDH firmou posição de que “(...) Os castigos corporais, a pena de morte e a prisão </w:t>
      </w:r>
      <w:r w:rsidR="00816C34" w:rsidRPr="00CB027F">
        <w:rPr>
          <w:color w:val="000000"/>
        </w:rPr>
        <w:lastRenderedPageBreak/>
        <w:t>perpétua são as principais sanções que constituem motivo de preocupação do ponto de vista do Direito Internacional dos Direitos Humanos.”</w:t>
      </w:r>
      <w:r w:rsidR="00A15685" w:rsidRPr="00CB027F">
        <w:rPr>
          <w:rStyle w:val="FootnoteReference"/>
          <w:color w:val="000000"/>
        </w:rPr>
        <w:footnoteReference w:id="31"/>
      </w:r>
    </w:p>
    <w:p w:rsidR="00816C34" w:rsidRPr="00CB027F" w:rsidRDefault="003C7A98" w:rsidP="005A443D">
      <w:pPr>
        <w:pStyle w:val="NormalWeb"/>
        <w:spacing w:line="480" w:lineRule="auto"/>
        <w:jc w:val="both"/>
        <w:rPr>
          <w:color w:val="000000"/>
        </w:rPr>
      </w:pPr>
      <w:r w:rsidRPr="00CB027F">
        <w:rPr>
          <w:color w:val="000000"/>
        </w:rPr>
        <w:t>A</w:t>
      </w:r>
      <w:r w:rsidR="00816C34" w:rsidRPr="00CB027F">
        <w:rPr>
          <w:color w:val="000000"/>
        </w:rPr>
        <w:t xml:space="preserve"> condenação reflete </w:t>
      </w:r>
      <w:r w:rsidRPr="00CB027F">
        <w:rPr>
          <w:color w:val="000000"/>
        </w:rPr>
        <w:t xml:space="preserve">ainda </w:t>
      </w:r>
      <w:r w:rsidR="00816C34" w:rsidRPr="00CB027F">
        <w:rPr>
          <w:color w:val="000000"/>
        </w:rPr>
        <w:t>um forte desejo de vingança d</w:t>
      </w:r>
      <w:r w:rsidR="00A178A6" w:rsidRPr="00CB027F">
        <w:rPr>
          <w:color w:val="000000"/>
        </w:rPr>
        <w:t xml:space="preserve">e </w:t>
      </w:r>
      <w:r w:rsidR="00816C34" w:rsidRPr="00CB027F">
        <w:rPr>
          <w:color w:val="000000"/>
        </w:rPr>
        <w:t xml:space="preserve">Cardenal, sem lhe oferecer possibilidades de recuperação para, posteriormente, retomar sua vida social. Tal intenção se revela </w:t>
      </w:r>
      <w:r w:rsidRPr="00CB027F">
        <w:rPr>
          <w:color w:val="000000"/>
        </w:rPr>
        <w:t>óbvia</w:t>
      </w:r>
      <w:r w:rsidR="00816C34" w:rsidRPr="00CB027F">
        <w:rPr>
          <w:color w:val="000000"/>
        </w:rPr>
        <w:t xml:space="preserve"> com a pena desproporcional aplicada. A esse respeito, </w:t>
      </w:r>
      <w:r w:rsidR="001F59FF" w:rsidRPr="00CB027F">
        <w:rPr>
          <w:color w:val="000000"/>
        </w:rPr>
        <w:t>n</w:t>
      </w:r>
      <w:r w:rsidR="00816C34" w:rsidRPr="00CB027F">
        <w:rPr>
          <w:color w:val="000000"/>
        </w:rPr>
        <w:t xml:space="preserve">o caso Harkins e Edwards Vs. Reino Unido o TEDH </w:t>
      </w:r>
      <w:r w:rsidR="00D636C6" w:rsidRPr="00CB027F">
        <w:rPr>
          <w:color w:val="000000"/>
        </w:rPr>
        <w:t xml:space="preserve">ressaltou </w:t>
      </w:r>
      <w:r w:rsidR="00816C34" w:rsidRPr="00CB027F">
        <w:rPr>
          <w:color w:val="000000"/>
        </w:rPr>
        <w:t>que “(...) as penas consideradas radicalmente desproporcionais, assim como aquelas atrozes por si só, encontram-se no âmbito de aplicação das cláusulas proibitivas de tortura, tratamentos cruéis e degradantes.”</w:t>
      </w:r>
      <w:r w:rsidR="00816C34" w:rsidRPr="00CB027F">
        <w:rPr>
          <w:rStyle w:val="FootnoteReference"/>
          <w:color w:val="000000"/>
        </w:rPr>
        <w:footnoteReference w:id="32"/>
      </w:r>
    </w:p>
    <w:p w:rsidR="002F3A09" w:rsidRPr="00CB027F" w:rsidRDefault="001F59FF" w:rsidP="005A443D">
      <w:pPr>
        <w:pStyle w:val="NormalWeb"/>
        <w:spacing w:line="480" w:lineRule="auto"/>
        <w:jc w:val="both"/>
        <w:rPr>
          <w:color w:val="000000"/>
        </w:rPr>
      </w:pPr>
      <w:r w:rsidRPr="00CB027F">
        <w:rPr>
          <w:color w:val="000000"/>
        </w:rPr>
        <w:t>Por fim</w:t>
      </w:r>
      <w:r w:rsidR="00D86788" w:rsidRPr="00CB027F">
        <w:rPr>
          <w:color w:val="000000"/>
        </w:rPr>
        <w:t xml:space="preserve">, </w:t>
      </w:r>
      <w:r w:rsidR="008C1CF8" w:rsidRPr="00CB027F">
        <w:rPr>
          <w:color w:val="000000"/>
        </w:rPr>
        <w:t xml:space="preserve">cabe </w:t>
      </w:r>
      <w:r w:rsidR="00D86788" w:rsidRPr="00CB027F">
        <w:rPr>
          <w:color w:val="000000"/>
        </w:rPr>
        <w:t xml:space="preserve">ressaltar </w:t>
      </w:r>
      <w:r w:rsidR="008C1CF8" w:rsidRPr="00CB027F">
        <w:rPr>
          <w:color w:val="000000"/>
        </w:rPr>
        <w:t xml:space="preserve">que </w:t>
      </w:r>
      <w:r w:rsidR="00D86788" w:rsidRPr="00CB027F">
        <w:rPr>
          <w:color w:val="000000"/>
        </w:rPr>
        <w:t xml:space="preserve">as violações à integridade </w:t>
      </w:r>
      <w:r w:rsidR="008C1CF8" w:rsidRPr="00CB027F">
        <w:rPr>
          <w:color w:val="000000"/>
        </w:rPr>
        <w:t>se estendem a Annika</w:t>
      </w:r>
      <w:r w:rsidR="00D86788" w:rsidRPr="00CB027F">
        <w:rPr>
          <w:color w:val="000000"/>
        </w:rPr>
        <w:t xml:space="preserve"> Bolt</w:t>
      </w:r>
      <w:r w:rsidR="008C1CF8" w:rsidRPr="00CB027F">
        <w:rPr>
          <w:color w:val="000000"/>
        </w:rPr>
        <w:t xml:space="preserve">, conforme </w:t>
      </w:r>
      <w:r w:rsidR="003C7A98" w:rsidRPr="00CB027F">
        <w:rPr>
          <w:color w:val="000000"/>
        </w:rPr>
        <w:t>disposto</w:t>
      </w:r>
      <w:r w:rsidR="008C1CF8" w:rsidRPr="00CB027F">
        <w:rPr>
          <w:color w:val="000000"/>
        </w:rPr>
        <w:t xml:space="preserve"> pela CmIDH em seu relatório. Em casos de desaparecimento forçado, a CrIDH dispõe de ampla jurisprudência </w:t>
      </w:r>
      <w:r w:rsidR="003C7A98" w:rsidRPr="00CB027F">
        <w:rPr>
          <w:color w:val="000000"/>
        </w:rPr>
        <w:t>que</w:t>
      </w:r>
      <w:r w:rsidR="008C1CF8" w:rsidRPr="00CB027F">
        <w:rPr>
          <w:color w:val="000000"/>
        </w:rPr>
        <w:t xml:space="preserve"> considera</w:t>
      </w:r>
      <w:r w:rsidR="00CA5753" w:rsidRPr="00CB027F">
        <w:rPr>
          <w:color w:val="000000"/>
        </w:rPr>
        <w:t xml:space="preserve"> </w:t>
      </w:r>
      <w:r w:rsidR="008C1CF8" w:rsidRPr="00CB027F">
        <w:rPr>
          <w:color w:val="000000"/>
        </w:rPr>
        <w:t>a falta de investigações efetivas</w:t>
      </w:r>
      <w:r w:rsidR="00CA5753" w:rsidRPr="00CB027F">
        <w:rPr>
          <w:color w:val="000000"/>
        </w:rPr>
        <w:t xml:space="preserve"> e </w:t>
      </w:r>
      <w:r w:rsidR="008C1CF8" w:rsidRPr="00CB027F">
        <w:rPr>
          <w:color w:val="000000"/>
        </w:rPr>
        <w:t xml:space="preserve">de iniciativas para </w:t>
      </w:r>
      <w:r w:rsidR="00D86788" w:rsidRPr="00CB027F">
        <w:rPr>
          <w:color w:val="000000"/>
        </w:rPr>
        <w:t xml:space="preserve">punir </w:t>
      </w:r>
      <w:r w:rsidR="008C1CF8" w:rsidRPr="00CB027F">
        <w:rPr>
          <w:color w:val="000000"/>
        </w:rPr>
        <w:t>os responsáveis</w:t>
      </w:r>
      <w:r w:rsidR="00CA5753" w:rsidRPr="00CB027F">
        <w:rPr>
          <w:color w:val="000000"/>
        </w:rPr>
        <w:t>, assim como a privação do acesso à verdade dos fatos sobre o destino de um desaparecido,</w:t>
      </w:r>
      <w:r w:rsidR="00D86788" w:rsidRPr="00CB027F">
        <w:rPr>
          <w:color w:val="000000"/>
        </w:rPr>
        <w:t xml:space="preserve"> </w:t>
      </w:r>
      <w:r w:rsidR="00CA5753" w:rsidRPr="00CB027F">
        <w:rPr>
          <w:color w:val="000000"/>
        </w:rPr>
        <w:t xml:space="preserve">formas de tratamento cruel e </w:t>
      </w:r>
      <w:r w:rsidR="00D86788" w:rsidRPr="00CB027F">
        <w:rPr>
          <w:color w:val="000000"/>
        </w:rPr>
        <w:t xml:space="preserve">desumano para </w:t>
      </w:r>
      <w:r w:rsidR="00CA5753" w:rsidRPr="00CB027F">
        <w:rPr>
          <w:color w:val="000000"/>
        </w:rPr>
        <w:t>s</w:t>
      </w:r>
      <w:r w:rsidR="00D86788" w:rsidRPr="00CB027F">
        <w:rPr>
          <w:color w:val="000000"/>
        </w:rPr>
        <w:t>eus</w:t>
      </w:r>
      <w:r w:rsidR="00CA5753" w:rsidRPr="00CB027F">
        <w:rPr>
          <w:color w:val="000000"/>
        </w:rPr>
        <w:t xml:space="preserve"> familiares</w:t>
      </w:r>
      <w:r w:rsidR="00CA5753" w:rsidRPr="00CB027F">
        <w:rPr>
          <w:rStyle w:val="FootnoteReference"/>
          <w:color w:val="000000"/>
        </w:rPr>
        <w:footnoteReference w:id="33"/>
      </w:r>
      <w:r w:rsidR="00CA5753" w:rsidRPr="00CB027F">
        <w:rPr>
          <w:color w:val="000000"/>
        </w:rPr>
        <w:t>.</w:t>
      </w:r>
    </w:p>
    <w:p w:rsidR="00DA500D" w:rsidRPr="00CB027F" w:rsidRDefault="00A67ECB" w:rsidP="005A443D">
      <w:pPr>
        <w:pStyle w:val="NormalWeb"/>
        <w:spacing w:line="480" w:lineRule="auto"/>
        <w:jc w:val="both"/>
        <w:rPr>
          <w:color w:val="000000"/>
        </w:rPr>
      </w:pPr>
      <w:r w:rsidRPr="00CB027F">
        <w:rPr>
          <w:color w:val="000000"/>
        </w:rPr>
        <w:t>A</w:t>
      </w:r>
      <w:r w:rsidR="003C7A98" w:rsidRPr="00CB027F">
        <w:rPr>
          <w:color w:val="000000"/>
        </w:rPr>
        <w:t>nnika foi, portanto, relegada</w:t>
      </w:r>
      <w:r w:rsidRPr="00CB027F">
        <w:rPr>
          <w:color w:val="000000"/>
        </w:rPr>
        <w:t xml:space="preserve"> a um incessante sentimento de desespero, diante da negativa das autoridades públicas de Cardenal de investigar os fatos. Esse grave sofrimento traz até hoje inúmeras consequências nefastas para a integridade psíquica e moral de Annika, que espera, impotente, resultados advindos das ações e do combate à impunidade prometidos pelo Estado. A própria Corte assumiu que </w:t>
      </w:r>
      <w:r w:rsidR="00756DC7" w:rsidRPr="00CB027F">
        <w:rPr>
          <w:color w:val="000000"/>
        </w:rPr>
        <w:t xml:space="preserve">“(...) </w:t>
      </w:r>
      <w:r w:rsidRPr="00CB027F">
        <w:rPr>
          <w:color w:val="000000"/>
        </w:rPr>
        <w:t xml:space="preserve">as afetações ao direito à integridade física dos familiares, </w:t>
      </w:r>
      <w:r w:rsidR="00756DC7" w:rsidRPr="00CB027F">
        <w:rPr>
          <w:color w:val="000000"/>
        </w:rPr>
        <w:lastRenderedPageBreak/>
        <w:t>integralmente compreendidas na complexidade do desaparecimento forçado, subsistirão enquanto persistam os fa</w:t>
      </w:r>
      <w:r w:rsidR="00054B29" w:rsidRPr="00CB027F">
        <w:rPr>
          <w:color w:val="000000"/>
        </w:rPr>
        <w:t>tores de impunidade verificados</w:t>
      </w:r>
      <w:r w:rsidR="00756DC7" w:rsidRPr="00CB027F">
        <w:rPr>
          <w:color w:val="000000"/>
        </w:rPr>
        <w:t>”</w:t>
      </w:r>
      <w:r w:rsidR="00A54BAC" w:rsidRPr="00CB027F">
        <w:rPr>
          <w:rStyle w:val="FootnoteReference"/>
          <w:color w:val="000000"/>
        </w:rPr>
        <w:t xml:space="preserve"> </w:t>
      </w:r>
      <w:r w:rsidR="00A54BAC" w:rsidRPr="00CB027F">
        <w:rPr>
          <w:rStyle w:val="FootnoteReference"/>
          <w:color w:val="000000"/>
        </w:rPr>
        <w:footnoteReference w:id="34"/>
      </w:r>
    </w:p>
    <w:p w:rsidR="00816C34" w:rsidRPr="00CB027F" w:rsidRDefault="00816C34" w:rsidP="005A443D">
      <w:pPr>
        <w:pStyle w:val="NormalWeb"/>
        <w:spacing w:line="480" w:lineRule="auto"/>
        <w:jc w:val="both"/>
        <w:rPr>
          <w:color w:val="000000"/>
        </w:rPr>
      </w:pPr>
      <w:r w:rsidRPr="00CB027F">
        <w:rPr>
          <w:color w:val="000000"/>
        </w:rPr>
        <w:t>Com base em tal contexto e</w:t>
      </w:r>
      <w:r w:rsidR="003C7A98" w:rsidRPr="00CB027F">
        <w:rPr>
          <w:color w:val="000000"/>
        </w:rPr>
        <w:t xml:space="preserve"> </w:t>
      </w:r>
      <w:r w:rsidRPr="00CB027F">
        <w:rPr>
          <w:color w:val="000000"/>
        </w:rPr>
        <w:t xml:space="preserve">tendo em vista o estado de vulnerabilidade a que foram submetidos Bolt e sua família com a privação de sua liberdade e a falta de informações de seu paradeiro, urge-se que </w:t>
      </w:r>
      <w:r w:rsidR="00615B5A" w:rsidRPr="00CB027F">
        <w:rPr>
          <w:color w:val="000000"/>
        </w:rPr>
        <w:t xml:space="preserve">se </w:t>
      </w:r>
      <w:r w:rsidRPr="00CB027F">
        <w:rPr>
          <w:color w:val="000000"/>
        </w:rPr>
        <w:t xml:space="preserve">reconheça as violações </w:t>
      </w:r>
      <w:r w:rsidR="003C7A98" w:rsidRPr="00CB027F">
        <w:rPr>
          <w:color w:val="000000"/>
        </w:rPr>
        <w:t>ao artigo 5º da CADH, relacionado com o</w:t>
      </w:r>
      <w:r w:rsidR="003B373B" w:rsidRPr="00CB027F">
        <w:rPr>
          <w:color w:val="000000"/>
        </w:rPr>
        <w:t>s</w:t>
      </w:r>
      <w:r w:rsidR="003C7A98" w:rsidRPr="00CB027F">
        <w:rPr>
          <w:color w:val="000000"/>
        </w:rPr>
        <w:t xml:space="preserve"> artigo</w:t>
      </w:r>
      <w:r w:rsidR="003B373B" w:rsidRPr="00CB027F">
        <w:rPr>
          <w:color w:val="000000"/>
        </w:rPr>
        <w:t>s</w:t>
      </w:r>
      <w:r w:rsidR="003C7A98" w:rsidRPr="00CB027F">
        <w:rPr>
          <w:color w:val="000000"/>
        </w:rPr>
        <w:t xml:space="preserve"> 1.1</w:t>
      </w:r>
      <w:r w:rsidR="003B373B" w:rsidRPr="00CB027F">
        <w:rPr>
          <w:color w:val="000000"/>
        </w:rPr>
        <w:t xml:space="preserve"> e 2</w:t>
      </w:r>
      <w:r w:rsidR="003C7A98" w:rsidRPr="00CB027F">
        <w:rPr>
          <w:color w:val="000000"/>
        </w:rPr>
        <w:t>, em prejuízo</w:t>
      </w:r>
      <w:r w:rsidRPr="00CB027F">
        <w:rPr>
          <w:color w:val="000000"/>
        </w:rPr>
        <w:t xml:space="preserve"> </w:t>
      </w:r>
      <w:r w:rsidR="00A54BAC" w:rsidRPr="00CB027F">
        <w:rPr>
          <w:color w:val="000000"/>
        </w:rPr>
        <w:t>de Bolt e sua esposa</w:t>
      </w:r>
      <w:r w:rsidRPr="00CB027F">
        <w:rPr>
          <w:color w:val="000000"/>
        </w:rPr>
        <w:t>.</w:t>
      </w:r>
    </w:p>
    <w:p w:rsidR="00816C34" w:rsidRPr="00CB027F" w:rsidRDefault="00A178A6" w:rsidP="005A443D">
      <w:pPr>
        <w:pStyle w:val="NormalWeb"/>
        <w:spacing w:line="480" w:lineRule="auto"/>
        <w:rPr>
          <w:b/>
          <w:color w:val="000000"/>
        </w:rPr>
      </w:pPr>
      <w:r w:rsidRPr="00CB027F">
        <w:rPr>
          <w:b/>
          <w:color w:val="000000"/>
        </w:rPr>
        <w:t>Violação ao a</w:t>
      </w:r>
      <w:r w:rsidR="00816C34" w:rsidRPr="00CB027F">
        <w:rPr>
          <w:b/>
          <w:color w:val="000000"/>
        </w:rPr>
        <w:t>rtigo 7º - Direito à liberdade pessoal</w:t>
      </w:r>
    </w:p>
    <w:p w:rsidR="00816C34" w:rsidRPr="00CB027F" w:rsidRDefault="00816C34" w:rsidP="005A443D">
      <w:pPr>
        <w:pStyle w:val="NormalWeb"/>
        <w:spacing w:line="480" w:lineRule="auto"/>
        <w:jc w:val="both"/>
        <w:rPr>
          <w:color w:val="000000"/>
        </w:rPr>
      </w:pPr>
      <w:r w:rsidRPr="00CB027F">
        <w:rPr>
          <w:color w:val="000000"/>
        </w:rPr>
        <w:t>A prisão de Bolt ocorreu de forma manifestamente ilegal e arbitrária, violando todas as garantias presentes no artigo 7º da C</w:t>
      </w:r>
      <w:r w:rsidR="001F5FBA" w:rsidRPr="00CB027F">
        <w:rPr>
          <w:color w:val="000000"/>
        </w:rPr>
        <w:t>ADH</w:t>
      </w:r>
      <w:r w:rsidRPr="00CB027F">
        <w:rPr>
          <w:color w:val="000000"/>
        </w:rPr>
        <w:t xml:space="preserve">, que trata do direito à liberdade pessoal. Tal conclusão não </w:t>
      </w:r>
      <w:r w:rsidR="003C7A98" w:rsidRPr="00CB027F">
        <w:rPr>
          <w:color w:val="000000"/>
        </w:rPr>
        <w:t>é</w:t>
      </w:r>
      <w:r w:rsidRPr="00CB027F">
        <w:rPr>
          <w:color w:val="000000"/>
        </w:rPr>
        <w:t xml:space="preserve"> fruto de um simples exercício lógico, mas foi atestada pelo próprio relatório da Comissão da Verdade</w:t>
      </w:r>
      <w:r w:rsidRPr="00CB027F">
        <w:rPr>
          <w:rStyle w:val="FootnoteReference"/>
          <w:color w:val="000000"/>
        </w:rPr>
        <w:footnoteReference w:id="35"/>
      </w:r>
      <w:r w:rsidRPr="00CB027F">
        <w:rPr>
          <w:color w:val="000000"/>
        </w:rPr>
        <w:t>, que reconhece a responsabilidade d</w:t>
      </w:r>
      <w:r w:rsidR="002F3A09" w:rsidRPr="00CB027F">
        <w:rPr>
          <w:color w:val="000000"/>
        </w:rPr>
        <w:t>o Estado</w:t>
      </w:r>
      <w:r w:rsidRPr="00CB027F">
        <w:rPr>
          <w:color w:val="000000"/>
        </w:rPr>
        <w:t>. A CrIDH já reiterou que qualquer restrição ao direito à liberdade pessoal só pode se dar com base em</w:t>
      </w:r>
      <w:r w:rsidR="00B620D2" w:rsidRPr="00CB027F">
        <w:rPr>
          <w:color w:val="000000"/>
        </w:rPr>
        <w:t xml:space="preserve"> fundamentos</w:t>
      </w:r>
      <w:r w:rsidRPr="00CB027F">
        <w:rPr>
          <w:color w:val="000000"/>
        </w:rPr>
        <w:t xml:space="preserve"> anteriormente estabelecid</w:t>
      </w:r>
      <w:r w:rsidR="00B620D2" w:rsidRPr="00CB027F">
        <w:rPr>
          <w:color w:val="000000"/>
        </w:rPr>
        <w:t>o</w:t>
      </w:r>
      <w:r w:rsidRPr="00CB027F">
        <w:rPr>
          <w:color w:val="000000"/>
        </w:rPr>
        <w:t>s em lei, especialmente no tocante aos procedimentos formais que devem guiar a condução do indivíduo ao cárcere</w:t>
      </w:r>
      <w:r w:rsidRPr="00CB027F">
        <w:rPr>
          <w:rStyle w:val="FootnoteReference"/>
          <w:color w:val="000000"/>
        </w:rPr>
        <w:footnoteReference w:id="36"/>
      </w:r>
      <w:r w:rsidRPr="00CB027F">
        <w:rPr>
          <w:color w:val="000000"/>
        </w:rPr>
        <w:t>.</w:t>
      </w:r>
    </w:p>
    <w:p w:rsidR="00816C34" w:rsidRPr="00CB027F" w:rsidRDefault="001F5FBA" w:rsidP="005A443D">
      <w:pPr>
        <w:pStyle w:val="NormalWeb"/>
        <w:spacing w:line="480" w:lineRule="auto"/>
        <w:jc w:val="both"/>
        <w:rPr>
          <w:color w:val="000000"/>
        </w:rPr>
      </w:pPr>
      <w:r w:rsidRPr="00CB027F">
        <w:rPr>
          <w:color w:val="000000"/>
        </w:rPr>
        <w:t>N</w:t>
      </w:r>
      <w:r w:rsidR="00750A2E" w:rsidRPr="00CB027F">
        <w:rPr>
          <w:color w:val="000000"/>
        </w:rPr>
        <w:t xml:space="preserve">o ocorrido com </w:t>
      </w:r>
      <w:r w:rsidRPr="00CB027F">
        <w:rPr>
          <w:color w:val="000000"/>
        </w:rPr>
        <w:t>Bolt, o</w:t>
      </w:r>
      <w:r w:rsidR="00816C34" w:rsidRPr="00CB027F">
        <w:rPr>
          <w:color w:val="000000"/>
        </w:rPr>
        <w:t xml:space="preserve"> caráter bárbaro de sua prisão é reforçado p</w:t>
      </w:r>
      <w:r w:rsidR="00B620D2" w:rsidRPr="00CB027F">
        <w:rPr>
          <w:color w:val="000000"/>
        </w:rPr>
        <w:t xml:space="preserve">or </w:t>
      </w:r>
      <w:r w:rsidR="00816C34" w:rsidRPr="00CB027F">
        <w:rPr>
          <w:color w:val="000000"/>
        </w:rPr>
        <w:t>ter sido ele levado a um estabelecimento prisional clandestin</w:t>
      </w:r>
      <w:r w:rsidR="003C7A98" w:rsidRPr="00CB027F">
        <w:rPr>
          <w:color w:val="000000"/>
        </w:rPr>
        <w:t>o</w:t>
      </w:r>
      <w:r w:rsidR="00816C34" w:rsidRPr="00CB027F">
        <w:rPr>
          <w:color w:val="000000"/>
        </w:rPr>
        <w:t>. No caso Neira Alegría e outros Vs. Peru</w:t>
      </w:r>
      <w:r w:rsidR="00816C34" w:rsidRPr="00CB027F">
        <w:rPr>
          <w:rStyle w:val="FootnoteReference"/>
          <w:color w:val="000000"/>
        </w:rPr>
        <w:footnoteReference w:id="37"/>
      </w:r>
      <w:r w:rsidR="00816C34" w:rsidRPr="00CB027F">
        <w:rPr>
          <w:color w:val="000000"/>
        </w:rPr>
        <w:t xml:space="preserve">, a Corte entendeu que o Estado, ao manter indivíduos sob sua custódia, se encontra em uma posição especial para proteger </w:t>
      </w:r>
      <w:r w:rsidR="003C7A98" w:rsidRPr="00CB027F">
        <w:rPr>
          <w:color w:val="000000"/>
        </w:rPr>
        <w:t>seus</w:t>
      </w:r>
      <w:r w:rsidR="00816C34" w:rsidRPr="00CB027F">
        <w:rPr>
          <w:color w:val="000000"/>
        </w:rPr>
        <w:t xml:space="preserve"> direitos</w:t>
      </w:r>
      <w:r w:rsidR="00B620D2" w:rsidRPr="00CB027F">
        <w:rPr>
          <w:color w:val="000000"/>
        </w:rPr>
        <w:t xml:space="preserve">, o que </w:t>
      </w:r>
      <w:r w:rsidR="00816C34" w:rsidRPr="00CB027F">
        <w:rPr>
          <w:color w:val="000000"/>
        </w:rPr>
        <w:t xml:space="preserve">apenas se realiza quando a privação de liberdade </w:t>
      </w:r>
      <w:r w:rsidR="00816C34" w:rsidRPr="00CB027F">
        <w:rPr>
          <w:color w:val="000000"/>
        </w:rPr>
        <w:lastRenderedPageBreak/>
        <w:t>ocorre em centros legalmente reconhecidos e com o devido registro dos detentos, atuando como garantias contra o desaparecimento forçado</w:t>
      </w:r>
      <w:r w:rsidR="00816C34" w:rsidRPr="00CB027F">
        <w:rPr>
          <w:rStyle w:val="FootnoteReference"/>
          <w:color w:val="000000"/>
        </w:rPr>
        <w:footnoteReference w:id="38"/>
      </w:r>
      <w:r w:rsidR="00816C34" w:rsidRPr="00CB027F">
        <w:rPr>
          <w:color w:val="000000"/>
        </w:rPr>
        <w:t>.</w:t>
      </w:r>
    </w:p>
    <w:p w:rsidR="00816C34" w:rsidRPr="00CB027F" w:rsidRDefault="00750A2E" w:rsidP="005A443D">
      <w:pPr>
        <w:pStyle w:val="NormalWeb"/>
        <w:spacing w:line="480" w:lineRule="auto"/>
        <w:jc w:val="both"/>
        <w:rPr>
          <w:color w:val="000000"/>
        </w:rPr>
      </w:pPr>
      <w:r w:rsidRPr="00CB027F">
        <w:rPr>
          <w:color w:val="000000"/>
        </w:rPr>
        <w:t>Ademais, o</w:t>
      </w:r>
      <w:r w:rsidR="00816C34" w:rsidRPr="00CB027F">
        <w:rPr>
          <w:color w:val="000000"/>
        </w:rPr>
        <w:t xml:space="preserve"> encarceramento não contou com a notificação de acusações formais capazes de justificar a prisão. Bolt também não foi levado pessoalmente à presença de uma autoridade judicial competente, </w:t>
      </w:r>
      <w:r w:rsidR="001F5FBA" w:rsidRPr="00CB027F">
        <w:rPr>
          <w:color w:val="000000"/>
        </w:rPr>
        <w:t xml:space="preserve">para </w:t>
      </w:r>
      <w:r w:rsidR="00816C34" w:rsidRPr="00CB027F">
        <w:rPr>
          <w:color w:val="000000"/>
        </w:rPr>
        <w:t>avaliar a legalidade de sua prisão, nem foram cumpridas nenhuma das demais exigências formais inafastáveis estabelecidas nos itens 7.4, 7.5 e 7.6 do artigo em questão.</w:t>
      </w:r>
      <w:r w:rsidR="009E0F11" w:rsidRPr="00CB027F">
        <w:rPr>
          <w:color w:val="000000"/>
        </w:rPr>
        <w:t xml:space="preserve"> </w:t>
      </w:r>
      <w:r w:rsidR="00816C34" w:rsidRPr="00CB027F">
        <w:rPr>
          <w:color w:val="000000"/>
        </w:rPr>
        <w:t>A jurisprudência da CrIDH é unânime no sentido de que toda a detenção, independentemente do motivo ou da duração, deve ser devidamente registrada no documento pertinente com todos os detalhes</w:t>
      </w:r>
      <w:r w:rsidR="00816C34" w:rsidRPr="00CB027F">
        <w:rPr>
          <w:rStyle w:val="FootnoteReference"/>
          <w:color w:val="000000"/>
        </w:rPr>
        <w:footnoteReference w:id="39"/>
      </w:r>
      <w:r w:rsidR="00816C34" w:rsidRPr="00CB027F">
        <w:rPr>
          <w:color w:val="000000"/>
        </w:rPr>
        <w:t>, assim como se deve garantir que o juiz competente dela tome conhecimento, a fim de proteger a pessoa de toda interferência ilegal em sua liberdade. Sendo assim, teria sido imperativo relaxar imediatamente a prisão de Bolt, levando em conta o julgamento puramente arbitrário que ensejou a constrição de sua liberdade.</w:t>
      </w:r>
    </w:p>
    <w:p w:rsidR="00816C34" w:rsidRPr="00CB027F" w:rsidRDefault="00816C34" w:rsidP="005A443D">
      <w:pPr>
        <w:pStyle w:val="NormalWeb"/>
        <w:spacing w:line="480" w:lineRule="auto"/>
        <w:jc w:val="both"/>
        <w:rPr>
          <w:color w:val="000000"/>
        </w:rPr>
      </w:pPr>
      <w:r w:rsidRPr="00CB027F">
        <w:rPr>
          <w:color w:val="000000"/>
        </w:rPr>
        <w:t xml:space="preserve">O conjunto de condutas perpetradas pelos agentes públicos conflita </w:t>
      </w:r>
      <w:r w:rsidR="00404C0B" w:rsidRPr="00CB027F">
        <w:rPr>
          <w:color w:val="000000"/>
        </w:rPr>
        <w:t xml:space="preserve">ainda </w:t>
      </w:r>
      <w:r w:rsidRPr="00CB027F">
        <w:rPr>
          <w:color w:val="000000"/>
        </w:rPr>
        <w:t>diretamente com os artigos 1 e 11 da CIDFP, documento fundamental para a</w:t>
      </w:r>
      <w:r w:rsidR="00B620D2" w:rsidRPr="00CB027F">
        <w:rPr>
          <w:color w:val="000000"/>
        </w:rPr>
        <w:t>uxiliar na</w:t>
      </w:r>
      <w:r w:rsidRPr="00CB027F">
        <w:rPr>
          <w:color w:val="000000"/>
        </w:rPr>
        <w:t xml:space="preserve"> interpretação d</w:t>
      </w:r>
      <w:r w:rsidR="00B620D2" w:rsidRPr="00CB027F">
        <w:rPr>
          <w:color w:val="000000"/>
        </w:rPr>
        <w:t xml:space="preserve">a CADH </w:t>
      </w:r>
      <w:r w:rsidRPr="00CB027F">
        <w:rPr>
          <w:color w:val="000000"/>
        </w:rPr>
        <w:t>neste caso específico de desaparecimento – conforme esta Corte já reconheceu recentemente</w:t>
      </w:r>
      <w:r w:rsidRPr="00CB027F">
        <w:rPr>
          <w:rStyle w:val="FootnoteReference"/>
          <w:color w:val="000000"/>
        </w:rPr>
        <w:footnoteReference w:id="40"/>
      </w:r>
      <w:r w:rsidR="001F5FBA" w:rsidRPr="00CB027F">
        <w:rPr>
          <w:color w:val="000000"/>
        </w:rPr>
        <w:t xml:space="preserve">. </w:t>
      </w:r>
      <w:r w:rsidR="00AF3641" w:rsidRPr="00CB027F">
        <w:rPr>
          <w:color w:val="000000"/>
        </w:rPr>
        <w:t>Por todo o exposto, resta evidente</w:t>
      </w:r>
      <w:r w:rsidRPr="00CB027F">
        <w:rPr>
          <w:color w:val="000000"/>
        </w:rPr>
        <w:t xml:space="preserve"> </w:t>
      </w:r>
      <w:r w:rsidR="00CE4109" w:rsidRPr="00CB027F">
        <w:rPr>
          <w:color w:val="000000"/>
        </w:rPr>
        <w:t>que houve</w:t>
      </w:r>
      <w:r w:rsidRPr="00CB027F">
        <w:rPr>
          <w:color w:val="000000"/>
        </w:rPr>
        <w:t xml:space="preserve"> violações aos artigos 7.1 e 7.2 da CADH, em relação ao</w:t>
      </w:r>
      <w:r w:rsidR="003B373B" w:rsidRPr="00CB027F">
        <w:rPr>
          <w:color w:val="000000"/>
        </w:rPr>
        <w:t>s</w:t>
      </w:r>
      <w:r w:rsidRPr="00CB027F">
        <w:rPr>
          <w:color w:val="000000"/>
        </w:rPr>
        <w:t xml:space="preserve"> artigo</w:t>
      </w:r>
      <w:r w:rsidR="003B373B" w:rsidRPr="00CB027F">
        <w:rPr>
          <w:color w:val="000000"/>
        </w:rPr>
        <w:t>s</w:t>
      </w:r>
      <w:r w:rsidRPr="00CB027F">
        <w:rPr>
          <w:color w:val="000000"/>
        </w:rPr>
        <w:t xml:space="preserve"> 1.1 </w:t>
      </w:r>
      <w:r w:rsidR="003B373B" w:rsidRPr="00CB027F">
        <w:rPr>
          <w:color w:val="000000"/>
        </w:rPr>
        <w:t xml:space="preserve">e 2 </w:t>
      </w:r>
      <w:r w:rsidRPr="00CB027F">
        <w:rPr>
          <w:color w:val="000000"/>
        </w:rPr>
        <w:t>desse mesmo instrumento</w:t>
      </w:r>
      <w:r w:rsidR="00CE4109" w:rsidRPr="00CB027F">
        <w:rPr>
          <w:color w:val="000000"/>
        </w:rPr>
        <w:t>.</w:t>
      </w:r>
    </w:p>
    <w:p w:rsidR="00012EB0" w:rsidRPr="00CB027F" w:rsidRDefault="00012EB0" w:rsidP="005A443D">
      <w:pPr>
        <w:pStyle w:val="NormalWeb"/>
        <w:spacing w:line="480" w:lineRule="auto"/>
        <w:rPr>
          <w:b/>
          <w:color w:val="000000"/>
        </w:rPr>
      </w:pPr>
      <w:r w:rsidRPr="00CB027F">
        <w:rPr>
          <w:b/>
          <w:color w:val="000000"/>
        </w:rPr>
        <w:t>Violação ao artigo 24 – Igualdade perante a lei</w:t>
      </w:r>
    </w:p>
    <w:p w:rsidR="00012EB0" w:rsidRPr="00CB027F" w:rsidRDefault="00012EB0" w:rsidP="005A443D">
      <w:pPr>
        <w:jc w:val="both"/>
        <w:rPr>
          <w:szCs w:val="24"/>
        </w:rPr>
      </w:pPr>
      <w:r w:rsidRPr="00CB027F">
        <w:rPr>
          <w:szCs w:val="24"/>
        </w:rPr>
        <w:lastRenderedPageBreak/>
        <w:t xml:space="preserve">O artigo 24 da CADH preconiza o direito a igual proteção e tratamento das leis a todos. </w:t>
      </w:r>
      <w:r w:rsidR="003F2105" w:rsidRPr="00CB027F">
        <w:rPr>
          <w:szCs w:val="24"/>
        </w:rPr>
        <w:t>D</w:t>
      </w:r>
      <w:r w:rsidRPr="00CB027F">
        <w:rPr>
          <w:szCs w:val="24"/>
        </w:rPr>
        <w:t xml:space="preserve">eriva </w:t>
      </w:r>
      <w:r w:rsidR="003F2105" w:rsidRPr="00CB027F">
        <w:rPr>
          <w:szCs w:val="24"/>
        </w:rPr>
        <w:t xml:space="preserve">daí </w:t>
      </w:r>
      <w:r w:rsidRPr="00CB027F">
        <w:rPr>
          <w:szCs w:val="24"/>
        </w:rPr>
        <w:t>o dever dos Estados de eliminar toda e qualquer prática discriminatória, que sujeite os indivíduos submetidos à sua jurisdição a uma posição de inferioridade. No caso Yatama Vs. Nicarágua, a CrIDH salientou que “distinções discriminatórias são aquelas que carecem de justificação objetiva e razoável”</w:t>
      </w:r>
      <w:r w:rsidRPr="00CB027F">
        <w:rPr>
          <w:rStyle w:val="FootnoteReference"/>
          <w:szCs w:val="24"/>
        </w:rPr>
        <w:footnoteReference w:id="41"/>
      </w:r>
      <w:r w:rsidRPr="00CB027F">
        <w:rPr>
          <w:szCs w:val="24"/>
        </w:rPr>
        <w:t xml:space="preserve">, </w:t>
      </w:r>
      <w:r w:rsidR="003F2105" w:rsidRPr="00CB027F">
        <w:rPr>
          <w:szCs w:val="24"/>
        </w:rPr>
        <w:t>considerando</w:t>
      </w:r>
      <w:r w:rsidRPr="00CB027F">
        <w:rPr>
          <w:szCs w:val="24"/>
        </w:rPr>
        <w:t xml:space="preserve"> que tratamentos desiguais são admissíveis, desde que para promover maior proteção dos direitos dos indivíduos mais vulneráveis.</w:t>
      </w:r>
    </w:p>
    <w:p w:rsidR="00012EB0" w:rsidRPr="00CB027F" w:rsidRDefault="00012EB0" w:rsidP="005A443D">
      <w:pPr>
        <w:jc w:val="both"/>
        <w:rPr>
          <w:szCs w:val="24"/>
        </w:rPr>
      </w:pPr>
      <w:r w:rsidRPr="00CB027F">
        <w:rPr>
          <w:szCs w:val="24"/>
        </w:rPr>
        <w:t>Bolt, membro da comunidade indígena boneca, transformou-se em alvo de uma desarrazoada perseguição após o episódio do Sequestro, por conta de seu suposto envolvimento. Tal empreitada das forças policiais teve caráter inegavelmente discriminatório, comprovado pelas inúmeras denúncias de abusos e violações contra a comunidade indígena de que Bolt fazia parte. A condição de indígena de Bolt constituiu elemento decisivo para que o aparato repressor o acusasse por um crime</w:t>
      </w:r>
      <w:r w:rsidR="001A71BC" w:rsidRPr="00CB027F">
        <w:rPr>
          <w:szCs w:val="24"/>
        </w:rPr>
        <w:t xml:space="preserve">, </w:t>
      </w:r>
      <w:r w:rsidR="00D86788" w:rsidRPr="00CB027F">
        <w:rPr>
          <w:szCs w:val="24"/>
        </w:rPr>
        <w:t xml:space="preserve">sem provas, e contribuiu para </w:t>
      </w:r>
      <w:r w:rsidRPr="00CB027F">
        <w:rPr>
          <w:szCs w:val="24"/>
        </w:rPr>
        <w:t xml:space="preserve">as práticas de tortura e outras violações contra ele perpetradas, claramente com motivação política, racista e discriminatória. </w:t>
      </w:r>
    </w:p>
    <w:p w:rsidR="00012EB0" w:rsidRPr="00CB027F" w:rsidRDefault="00012EB0" w:rsidP="005A443D">
      <w:pPr>
        <w:jc w:val="both"/>
        <w:rPr>
          <w:szCs w:val="24"/>
        </w:rPr>
      </w:pPr>
      <w:r w:rsidRPr="00CB027F">
        <w:rPr>
          <w:szCs w:val="24"/>
        </w:rPr>
        <w:t xml:space="preserve">No momento das violações, o Estado tinha informações de que Bolt era boneca e, em vez de adotar medidas especiais para prevenir possíveis violações aos seus direitos, dado o seu pertencimento a um grupo vulnerável, </w:t>
      </w:r>
      <w:r w:rsidR="003F2105" w:rsidRPr="00CB027F">
        <w:rPr>
          <w:szCs w:val="24"/>
        </w:rPr>
        <w:t>como recomenda esta Corte</w:t>
      </w:r>
      <w:r w:rsidR="003F2105" w:rsidRPr="00CB027F">
        <w:rPr>
          <w:rStyle w:val="FootnoteReference"/>
          <w:szCs w:val="24"/>
        </w:rPr>
        <w:footnoteReference w:id="42"/>
      </w:r>
      <w:r w:rsidR="003F2105" w:rsidRPr="00CB027F">
        <w:rPr>
          <w:szCs w:val="24"/>
        </w:rPr>
        <w:t>, o</w:t>
      </w:r>
      <w:r w:rsidRPr="00CB027F">
        <w:rPr>
          <w:szCs w:val="24"/>
        </w:rPr>
        <w:t xml:space="preserve"> próprio aparato estatal se aproveitou de sua condição para lhe atribuir fatos criminosos que não cometera e para tratá-lo de maneira violenta, cruel e degradante</w:t>
      </w:r>
      <w:r w:rsidR="00D86788" w:rsidRPr="00CB027F">
        <w:rPr>
          <w:szCs w:val="24"/>
        </w:rPr>
        <w:t>, violando o artigo 24 da CADH.</w:t>
      </w:r>
    </w:p>
    <w:p w:rsidR="00816C34" w:rsidRPr="00CB027F" w:rsidRDefault="006A21CE" w:rsidP="005A443D">
      <w:pPr>
        <w:pStyle w:val="NormalWeb"/>
        <w:spacing w:line="480" w:lineRule="auto"/>
        <w:rPr>
          <w:b/>
          <w:color w:val="000000"/>
        </w:rPr>
      </w:pPr>
      <w:r w:rsidRPr="00CB027F">
        <w:rPr>
          <w:b/>
          <w:color w:val="000000"/>
        </w:rPr>
        <w:t xml:space="preserve">Violação aos </w:t>
      </w:r>
      <w:r w:rsidR="00816C34" w:rsidRPr="00CB027F">
        <w:rPr>
          <w:b/>
          <w:color w:val="000000"/>
        </w:rPr>
        <w:t>Artigo</w:t>
      </w:r>
      <w:r w:rsidR="00353877" w:rsidRPr="00CB027F">
        <w:rPr>
          <w:b/>
          <w:color w:val="000000"/>
        </w:rPr>
        <w:t>s</w:t>
      </w:r>
      <w:r w:rsidR="00816C34" w:rsidRPr="00CB027F">
        <w:rPr>
          <w:b/>
          <w:color w:val="000000"/>
        </w:rPr>
        <w:t xml:space="preserve"> 8º - Garantias judiciais</w:t>
      </w:r>
      <w:r w:rsidR="00353877" w:rsidRPr="00CB027F">
        <w:rPr>
          <w:b/>
          <w:color w:val="000000"/>
        </w:rPr>
        <w:t xml:space="preserve"> e 25 – Proteção judicial</w:t>
      </w:r>
    </w:p>
    <w:p w:rsidR="0099502F" w:rsidRPr="00CB027F" w:rsidRDefault="00757481" w:rsidP="005A443D">
      <w:pPr>
        <w:pStyle w:val="NormalWeb"/>
        <w:spacing w:line="480" w:lineRule="auto"/>
        <w:jc w:val="both"/>
        <w:rPr>
          <w:color w:val="000000"/>
        </w:rPr>
      </w:pPr>
      <w:r w:rsidRPr="00CB027F">
        <w:rPr>
          <w:color w:val="000000"/>
        </w:rPr>
        <w:lastRenderedPageBreak/>
        <w:t>A CrIDH tem como atribuiç</w:t>
      </w:r>
      <w:r w:rsidR="009E0F11" w:rsidRPr="00CB027F">
        <w:rPr>
          <w:color w:val="000000"/>
        </w:rPr>
        <w:t>ão</w:t>
      </w:r>
      <w:r w:rsidRPr="00CB027F">
        <w:rPr>
          <w:color w:val="000000"/>
        </w:rPr>
        <w:t xml:space="preserve"> na promoção da defesa dos direitos humanos examinar a compatibilidade das leis do Estado e das ações e omissões da autoridade pública em âmbito interno em relação às obrigações internacionais constantes dos artigos 8º e 25 da CADH. Tais dispositivos, ao preverem respectivamente as garantias judiciais e a obrigação do Estado de oferecer aos seus jurisdicionados um recurso simples, rápido e efetivo, não como um instrumento meramente formal</w:t>
      </w:r>
      <w:r w:rsidR="00942F6E" w:rsidRPr="00CB027F">
        <w:rPr>
          <w:rStyle w:val="FootnoteReference"/>
        </w:rPr>
        <w:footnoteReference w:id="43"/>
      </w:r>
      <w:r w:rsidRPr="00CB027F">
        <w:rPr>
          <w:color w:val="000000"/>
        </w:rPr>
        <w:t>, mas como um mecanismo eficaz de tutela aos direitos humanos, são sistematicamente interpretados em conjunto por esta Casa, com o intuito de expandir a correta aplicação dos preceitos fundamentais em que se baseia o SIDH.</w:t>
      </w:r>
      <w:r w:rsidRPr="00CB027F">
        <w:rPr>
          <w:rStyle w:val="FootnoteReference"/>
          <w:color w:val="000000"/>
        </w:rPr>
        <w:footnoteReference w:id="44"/>
      </w:r>
    </w:p>
    <w:p w:rsidR="00757481" w:rsidRPr="00CB027F" w:rsidRDefault="00757481" w:rsidP="005A443D">
      <w:pPr>
        <w:pStyle w:val="NormalWeb"/>
        <w:spacing w:line="480" w:lineRule="auto"/>
        <w:jc w:val="both"/>
        <w:rPr>
          <w:color w:val="000000"/>
        </w:rPr>
      </w:pPr>
      <w:r w:rsidRPr="00CB027F">
        <w:rPr>
          <w:color w:val="000000"/>
        </w:rPr>
        <w:t>A CrIDH dispõe ainda, acerca da ampla defesa no processo, que “</w:t>
      </w:r>
      <w:r w:rsidR="007A4D5E" w:rsidRPr="00CB027F">
        <w:rPr>
          <w:color w:val="000000"/>
        </w:rPr>
        <w:t>o</w:t>
      </w:r>
      <w:r w:rsidRPr="00CB027F">
        <w:rPr>
          <w:color w:val="000000"/>
        </w:rPr>
        <w:t xml:space="preserve"> direito de defesa deve poder ser exercido desde o momento em que se indica uma pessoa como possível autor ou partícipe de um fato punível.”</w:t>
      </w:r>
      <w:r w:rsidR="00B620D2" w:rsidRPr="00CB027F">
        <w:rPr>
          <w:rStyle w:val="FootnoteReference"/>
          <w:color w:val="000000"/>
        </w:rPr>
        <w:t xml:space="preserve"> </w:t>
      </w:r>
      <w:r w:rsidR="00B620D2" w:rsidRPr="00CB027F">
        <w:rPr>
          <w:rStyle w:val="FootnoteReference"/>
          <w:color w:val="000000"/>
        </w:rPr>
        <w:footnoteReference w:id="45"/>
      </w:r>
      <w:r w:rsidRPr="00CB027F">
        <w:rPr>
          <w:color w:val="000000"/>
        </w:rPr>
        <w:t xml:space="preserve"> </w:t>
      </w:r>
      <w:r w:rsidR="00B620D2" w:rsidRPr="00CB027F">
        <w:rPr>
          <w:color w:val="000000"/>
        </w:rPr>
        <w:t xml:space="preserve">Não obstante, </w:t>
      </w:r>
      <w:r w:rsidRPr="00CB027F">
        <w:rPr>
          <w:color w:val="000000"/>
        </w:rPr>
        <w:t xml:space="preserve">Bolt foi julgado à revelia, sem que tomasse conhecimento das acusações formuladas contra ele e sem oportunidade de ser ouvido e de apresentar sua defesa. </w:t>
      </w:r>
    </w:p>
    <w:p w:rsidR="00757481" w:rsidRPr="00CB027F" w:rsidRDefault="007A4D5E" w:rsidP="005A443D">
      <w:pPr>
        <w:pStyle w:val="NormalWeb"/>
        <w:spacing w:line="480" w:lineRule="auto"/>
        <w:jc w:val="both"/>
        <w:rPr>
          <w:color w:val="000000"/>
        </w:rPr>
      </w:pPr>
      <w:r w:rsidRPr="00CB027F">
        <w:rPr>
          <w:color w:val="000000"/>
        </w:rPr>
        <w:t>Para</w:t>
      </w:r>
      <w:r w:rsidR="00757481" w:rsidRPr="00CB027F">
        <w:rPr>
          <w:color w:val="000000"/>
        </w:rPr>
        <w:t xml:space="preserve"> a concretização do direito à defesa, o Estado fica obrigado a tratar o indivíduo, a todo o momento, como um verdadeiro sujeito do processo, em seu mais amplo sentido, e não como um simples objeto</w:t>
      </w:r>
      <w:r w:rsidR="00757481" w:rsidRPr="00CB027F">
        <w:rPr>
          <w:rStyle w:val="FootnoteReference"/>
          <w:color w:val="000000"/>
        </w:rPr>
        <w:footnoteReference w:id="46"/>
      </w:r>
      <w:r w:rsidR="00757481" w:rsidRPr="00CB027F">
        <w:rPr>
          <w:color w:val="000000"/>
        </w:rPr>
        <w:t xml:space="preserve">. </w:t>
      </w:r>
      <w:r w:rsidRPr="00CB027F">
        <w:rPr>
          <w:color w:val="000000"/>
        </w:rPr>
        <w:t>Especificamente sobre o julgamento in absentia, isto é, realizado com réu revel, o TEDH se pronunciou recentemente, no caso Dilipak e Karakaya vs. Turquia</w:t>
      </w:r>
      <w:r w:rsidR="00AC43CB" w:rsidRPr="00CB027F">
        <w:rPr>
          <w:rStyle w:val="FootnoteReference"/>
          <w:color w:val="000000"/>
        </w:rPr>
        <w:footnoteReference w:id="47"/>
      </w:r>
      <w:r w:rsidRPr="00CB027F">
        <w:rPr>
          <w:color w:val="000000"/>
        </w:rPr>
        <w:t xml:space="preserve">, no sentido de que a condenação à revelia representa uma inegável negação de justiça e de exercício efetivo de </w:t>
      </w:r>
      <w:r w:rsidRPr="00CB027F">
        <w:rPr>
          <w:color w:val="000000"/>
        </w:rPr>
        <w:lastRenderedPageBreak/>
        <w:t>direito de defesa. Contudo, Bolt foi considerado foragido da justiça, o que serviu como pretexto para não comunicar ao réu as acusações. O</w:t>
      </w:r>
      <w:r w:rsidR="00757481" w:rsidRPr="00CB027F">
        <w:rPr>
          <w:color w:val="000000"/>
        </w:rPr>
        <w:t xml:space="preserve"> fato de o processo ter sido conduzido à revelia, sem qualquer tipo de comunicação ao réu, impossibilitou a preparação de uma defesa real e eficaz, garantia preceituada pela CADH. </w:t>
      </w:r>
    </w:p>
    <w:p w:rsidR="00757481" w:rsidRPr="00CB027F" w:rsidRDefault="00757481" w:rsidP="005A443D">
      <w:pPr>
        <w:pStyle w:val="NormalWeb"/>
        <w:spacing w:line="480" w:lineRule="auto"/>
        <w:jc w:val="both"/>
        <w:rPr>
          <w:color w:val="000000"/>
        </w:rPr>
      </w:pPr>
      <w:r w:rsidRPr="00CB027F">
        <w:rPr>
          <w:color w:val="000000"/>
        </w:rPr>
        <w:t xml:space="preserve">A violação às garantias judiciais da vítima se mostra ainda </w:t>
      </w:r>
      <w:r w:rsidR="007A4D5E" w:rsidRPr="00CB027F">
        <w:rPr>
          <w:color w:val="000000"/>
        </w:rPr>
        <w:t>n</w:t>
      </w:r>
      <w:r w:rsidRPr="00CB027F">
        <w:rPr>
          <w:color w:val="000000"/>
        </w:rPr>
        <w:t>o disposto na legislação de Cardenal à época do julgamento, que impedia réus revéis de contarem com um advogado de sua confiança. Mas o problema vai além</w:t>
      </w:r>
      <w:r w:rsidR="007A4D5E" w:rsidRPr="00CB027F">
        <w:rPr>
          <w:color w:val="000000"/>
        </w:rPr>
        <w:t>, pois, b</w:t>
      </w:r>
      <w:r w:rsidRPr="00CB027F">
        <w:rPr>
          <w:color w:val="000000"/>
        </w:rPr>
        <w:t xml:space="preserve">uscando simplesmente se eximir da responsabilidade pela defesa de Bolt, o Estado impôs a ele um defensor público adscrito às forças armadas. </w:t>
      </w:r>
      <w:r w:rsidR="005F613B" w:rsidRPr="00CB027F">
        <w:rPr>
          <w:color w:val="000000"/>
        </w:rPr>
        <w:t xml:space="preserve">Sobre este tema, </w:t>
      </w:r>
      <w:r w:rsidRPr="00CB027F">
        <w:rPr>
          <w:color w:val="000000"/>
        </w:rPr>
        <w:t>a CrIDH entende que “(...) a assistência judicial ministrada pelo Estado, por meio da designação de um defensor público, deve ser efetiva e, para assegurar tal exigência, cabe a ele adotar todas medidas adequadas.”</w:t>
      </w:r>
      <w:r w:rsidRPr="00CB027F">
        <w:rPr>
          <w:rStyle w:val="FootnoteReference"/>
          <w:color w:val="000000"/>
        </w:rPr>
        <w:footnoteReference w:id="48"/>
      </w:r>
      <w:r w:rsidRPr="00CB027F">
        <w:rPr>
          <w:color w:val="000000"/>
        </w:rPr>
        <w:t xml:space="preserve"> Um defensor das forças armadas, em claro conflito de interesses com o acusado, não preenche este requisito. </w:t>
      </w:r>
    </w:p>
    <w:p w:rsidR="00757481" w:rsidRPr="00CB027F" w:rsidRDefault="00757481" w:rsidP="005A443D">
      <w:pPr>
        <w:pStyle w:val="NormalWeb"/>
        <w:spacing w:line="480" w:lineRule="auto"/>
        <w:jc w:val="both"/>
        <w:rPr>
          <w:color w:val="000000"/>
        </w:rPr>
      </w:pPr>
      <w:r w:rsidRPr="00CB027F">
        <w:rPr>
          <w:color w:val="000000"/>
        </w:rPr>
        <w:t>Fica portanto evidente que a defesa inexistiu não só pela ausência física do processado, mas por conta de um obstáculo intransponível ao réu estabelecida pelo direito interno do Estado. Resta também provada a intenção d</w:t>
      </w:r>
      <w:r w:rsidR="007A4D5E" w:rsidRPr="00CB027F">
        <w:rPr>
          <w:color w:val="000000"/>
        </w:rPr>
        <w:t xml:space="preserve">e </w:t>
      </w:r>
      <w:r w:rsidRPr="00CB027F">
        <w:rPr>
          <w:color w:val="000000"/>
        </w:rPr>
        <w:t>Cardenal de se eximir indevidamente de suas responsabilidades, ao impor a atuação de um advogado inapropriado para atuar no caso, por conta de sua direta ligação com o aparato repressor estatal responsável por persegui-lo.</w:t>
      </w:r>
    </w:p>
    <w:p w:rsidR="00757481" w:rsidRPr="00CB027F" w:rsidRDefault="00757481" w:rsidP="005A443D">
      <w:pPr>
        <w:pStyle w:val="NormalWeb"/>
        <w:spacing w:before="0" w:beforeAutospacing="0" w:after="0" w:afterAutospacing="0" w:line="480" w:lineRule="auto"/>
        <w:jc w:val="both"/>
        <w:rPr>
          <w:color w:val="000000"/>
        </w:rPr>
      </w:pPr>
      <w:r w:rsidRPr="00CB027F">
        <w:rPr>
          <w:color w:val="000000"/>
        </w:rPr>
        <w:t>Ademais, há que se questionar o julgamento realizado por um tribunal da justiça militar, foro criado no Governo Ferreira com o intuito exclusivo de julgar delitos relacionados ao terrorismo, inclusive quando cometidos por civis. A esse respeito, ressalta</w:t>
      </w:r>
      <w:r w:rsidR="007A4D5E" w:rsidRPr="00CB027F">
        <w:rPr>
          <w:color w:val="000000"/>
        </w:rPr>
        <w:t>-se</w:t>
      </w:r>
      <w:r w:rsidRPr="00CB027F">
        <w:rPr>
          <w:color w:val="000000"/>
        </w:rPr>
        <w:t xml:space="preserve"> a sólida jurisprudência desta Corte sobre os tribunais militares</w:t>
      </w:r>
      <w:r w:rsidR="007A4D5E" w:rsidRPr="00CB027F">
        <w:rPr>
          <w:color w:val="000000"/>
        </w:rPr>
        <w:t>, segundo a qual</w:t>
      </w:r>
      <w:r w:rsidRPr="00CB027F">
        <w:rPr>
          <w:color w:val="000000"/>
        </w:rPr>
        <w:t xml:space="preserve">, em um Estado Democrático de Direito, a </w:t>
      </w:r>
      <w:r w:rsidRPr="00CB027F">
        <w:rPr>
          <w:color w:val="000000"/>
        </w:rPr>
        <w:lastRenderedPageBreak/>
        <w:t>competência da Justiça Militar deve ser limitada e excepcional</w:t>
      </w:r>
      <w:r w:rsidRPr="00CB027F">
        <w:rPr>
          <w:rStyle w:val="FootnoteReference"/>
          <w:color w:val="000000"/>
        </w:rPr>
        <w:footnoteReference w:id="49"/>
      </w:r>
      <w:r w:rsidRPr="00CB027F">
        <w:rPr>
          <w:color w:val="000000"/>
        </w:rPr>
        <w:t xml:space="preserve">, restrita apenas a delitos relacionados ao exercício das funções militares e, em hipótese alguma, estender-se a civis. </w:t>
      </w:r>
    </w:p>
    <w:p w:rsidR="00757481" w:rsidRPr="00CB027F" w:rsidRDefault="00757481" w:rsidP="005A443D">
      <w:pPr>
        <w:pStyle w:val="NormalWeb"/>
        <w:spacing w:before="0" w:beforeAutospacing="0" w:after="0" w:afterAutospacing="0" w:line="480" w:lineRule="auto"/>
        <w:jc w:val="both"/>
        <w:rPr>
          <w:color w:val="000000"/>
        </w:rPr>
      </w:pPr>
      <w:r w:rsidRPr="00CB027F">
        <w:rPr>
          <w:color w:val="000000"/>
        </w:rPr>
        <w:t xml:space="preserve">O julgamento de civis por tribunais militares configura um forte resquício autoritário do sistema de justiça </w:t>
      </w:r>
      <w:r w:rsidR="007A4D5E" w:rsidRPr="00CB027F">
        <w:rPr>
          <w:color w:val="000000"/>
        </w:rPr>
        <w:t>de Cardenal</w:t>
      </w:r>
      <w:r w:rsidRPr="00CB027F">
        <w:rPr>
          <w:color w:val="000000"/>
        </w:rPr>
        <w:t>, que submete cidadãos comuns a julgamentos de imparcialidade questionável, com o intuito de fortalecer as punições e as sistemáticas violações de direitos promovidas pelo aparato militar repressor. No caso de Bolt, a utilização do foro militar, além de injustificada, favoreceu uma condenação mais dura e desproporcional, além de contribuir às inúmeras limitações de sua defesa durante o processo.</w:t>
      </w:r>
    </w:p>
    <w:p w:rsidR="005F613B" w:rsidRPr="00CB027F" w:rsidRDefault="001A5B27" w:rsidP="005A443D">
      <w:pPr>
        <w:pStyle w:val="NormalWeb"/>
        <w:spacing w:line="480" w:lineRule="auto"/>
        <w:jc w:val="both"/>
        <w:rPr>
          <w:color w:val="000000"/>
        </w:rPr>
      </w:pPr>
      <w:r w:rsidRPr="00CB027F">
        <w:rPr>
          <w:color w:val="000000"/>
        </w:rPr>
        <w:t xml:space="preserve">Há, ainda, outro aspecto </w:t>
      </w:r>
      <w:r w:rsidR="008A00A4" w:rsidRPr="00CB027F">
        <w:rPr>
          <w:color w:val="000000"/>
        </w:rPr>
        <w:t xml:space="preserve">relevante </w:t>
      </w:r>
      <w:r w:rsidRPr="00CB027F">
        <w:rPr>
          <w:color w:val="000000"/>
        </w:rPr>
        <w:t>das violações aos artigos 8</w:t>
      </w:r>
      <w:r w:rsidR="008A00A4" w:rsidRPr="00CB027F">
        <w:rPr>
          <w:color w:val="000000"/>
        </w:rPr>
        <w:t>º</w:t>
      </w:r>
      <w:r w:rsidRPr="00CB027F">
        <w:rPr>
          <w:color w:val="000000"/>
        </w:rPr>
        <w:t xml:space="preserve"> e 25</w:t>
      </w:r>
      <w:r w:rsidR="008A00A4" w:rsidRPr="00CB027F">
        <w:rPr>
          <w:color w:val="000000"/>
        </w:rPr>
        <w:t xml:space="preserve"> da CADH</w:t>
      </w:r>
      <w:r w:rsidRPr="00CB027F">
        <w:rPr>
          <w:color w:val="000000"/>
        </w:rPr>
        <w:t xml:space="preserve">. Este Tribunal já se pronunciou, em casos como Meninos de Rua Vs. Guatemala, no sentido de que, a partir da leitura conexa dos artigos 8º e 25, se depreende o direito das vítimas </w:t>
      </w:r>
      <w:r w:rsidR="008A00A4" w:rsidRPr="00CB027F">
        <w:rPr>
          <w:color w:val="000000"/>
        </w:rPr>
        <w:t>e</w:t>
      </w:r>
      <w:r w:rsidRPr="00CB027F">
        <w:rPr>
          <w:color w:val="000000"/>
        </w:rPr>
        <w:t xml:space="preserve"> seus familiares de serem ouvidas e de participar amplamente nos processos judiciais, tanto de esclarecimento dos fatos e sanção aos responsáveis, quanto de busca de uma reparação justa e adequada.</w:t>
      </w:r>
      <w:r w:rsidRPr="00CB027F">
        <w:rPr>
          <w:rStyle w:val="FootnoteReference"/>
          <w:color w:val="000000"/>
        </w:rPr>
        <w:footnoteReference w:id="50"/>
      </w:r>
      <w:r w:rsidRPr="00CB027F">
        <w:rPr>
          <w:color w:val="000000"/>
        </w:rPr>
        <w:t xml:space="preserve"> Daí deriva a compreensão de que cabe ao Estado investigar com toda a diligência os fatos ocorridos, a fim de evitar uma situação de impunidade</w:t>
      </w:r>
      <w:r w:rsidR="00063196" w:rsidRPr="00CB027F">
        <w:rPr>
          <w:rStyle w:val="FootnoteReference"/>
          <w:color w:val="000000"/>
        </w:rPr>
        <w:footnoteReference w:id="51"/>
      </w:r>
      <w:r w:rsidRPr="00CB027F">
        <w:rPr>
          <w:color w:val="000000"/>
        </w:rPr>
        <w:t>, que apenas fomenta a repetição de violações semelhantes, como reconhecido por este egrégio pretório em Família Barrios Vs. Venezuela.</w:t>
      </w:r>
      <w:r w:rsidRPr="00CB027F">
        <w:rPr>
          <w:rStyle w:val="FootnoteReference"/>
          <w:color w:val="000000"/>
        </w:rPr>
        <w:footnoteReference w:id="52"/>
      </w:r>
      <w:r w:rsidRPr="00CB027F">
        <w:rPr>
          <w:color w:val="000000"/>
        </w:rPr>
        <w:t xml:space="preserve"> </w:t>
      </w:r>
    </w:p>
    <w:p w:rsidR="001A5B27" w:rsidRPr="00CB027F" w:rsidRDefault="005F613B" w:rsidP="005A443D">
      <w:pPr>
        <w:pStyle w:val="NormalWeb"/>
        <w:spacing w:line="480" w:lineRule="auto"/>
        <w:jc w:val="both"/>
        <w:rPr>
          <w:color w:val="000000"/>
        </w:rPr>
      </w:pPr>
      <w:r w:rsidRPr="00CB027F">
        <w:rPr>
          <w:color w:val="000000"/>
        </w:rPr>
        <w:lastRenderedPageBreak/>
        <w:t>C</w:t>
      </w:r>
      <w:r w:rsidR="001A5B27" w:rsidRPr="00CB027F">
        <w:rPr>
          <w:color w:val="000000"/>
        </w:rPr>
        <w:t>umpre lembrar</w:t>
      </w:r>
      <w:r w:rsidRPr="00CB027F">
        <w:rPr>
          <w:color w:val="000000"/>
        </w:rPr>
        <w:t xml:space="preserve"> também</w:t>
      </w:r>
      <w:r w:rsidR="001A5B27" w:rsidRPr="00CB027F">
        <w:rPr>
          <w:color w:val="000000"/>
        </w:rPr>
        <w:t xml:space="preserve"> o dever do Estado de oferecer recursos judiciais efetivos a essas mesmas vítimas, que devem ser apreciados em estrita consonância com as regras do devido processo legal.</w:t>
      </w:r>
      <w:r w:rsidR="001A5B27" w:rsidRPr="00CB027F">
        <w:rPr>
          <w:rStyle w:val="FootnoteReference"/>
          <w:color w:val="000000"/>
        </w:rPr>
        <w:footnoteReference w:id="53"/>
      </w:r>
      <w:r w:rsidR="001A5B27" w:rsidRPr="00CB027F">
        <w:rPr>
          <w:color w:val="000000"/>
        </w:rPr>
        <w:t xml:space="preserve"> Neste sentido, o</w:t>
      </w:r>
      <w:r w:rsidR="001A5B27" w:rsidRPr="00CB027F">
        <w:t xml:space="preserve"> artigo 25.1 assegura o direito a um recurso que seja verdadeiramente efetivo, e complementa o artigo 8º no que diz respeito ao direito a um processo, como um todo, claro, equidistante e justo</w:t>
      </w:r>
      <w:r w:rsidR="008A00A4" w:rsidRPr="00CB027F">
        <w:t>.</w:t>
      </w:r>
      <w:r w:rsidR="001A5B27" w:rsidRPr="00CB027F">
        <w:rPr>
          <w:rStyle w:val="FootnoteReference"/>
        </w:rPr>
        <w:footnoteReference w:id="54"/>
      </w:r>
    </w:p>
    <w:p w:rsidR="001A5B27" w:rsidRPr="00CB027F" w:rsidRDefault="005F613B" w:rsidP="005A443D">
      <w:pPr>
        <w:pStyle w:val="NormalWeb"/>
        <w:spacing w:line="480" w:lineRule="auto"/>
        <w:jc w:val="both"/>
        <w:rPr>
          <w:color w:val="000000"/>
        </w:rPr>
      </w:pPr>
      <w:r w:rsidRPr="00CB027F">
        <w:rPr>
          <w:color w:val="000000"/>
        </w:rPr>
        <w:t xml:space="preserve">Na mesma toada, </w:t>
      </w:r>
      <w:r w:rsidR="001A5B27" w:rsidRPr="00CB027F">
        <w:rPr>
          <w:color w:val="000000"/>
        </w:rPr>
        <w:t>o caso González Medina Vs. República Dominicana ressaltou</w:t>
      </w:r>
      <w:r w:rsidRPr="00CB027F">
        <w:rPr>
          <w:color w:val="000000"/>
        </w:rPr>
        <w:t xml:space="preserve"> </w:t>
      </w:r>
      <w:r w:rsidR="001A5B27" w:rsidRPr="00CB027F">
        <w:rPr>
          <w:color w:val="000000"/>
        </w:rPr>
        <w:t>que “em casos</w:t>
      </w:r>
      <w:r w:rsidR="003B373B" w:rsidRPr="00CB027F">
        <w:rPr>
          <w:color w:val="000000"/>
        </w:rPr>
        <w:t xml:space="preserve"> </w:t>
      </w:r>
      <w:r w:rsidR="001A5B27" w:rsidRPr="00CB027F">
        <w:rPr>
          <w:color w:val="000000"/>
        </w:rPr>
        <w:t xml:space="preserve"> de desaparecimento forçado, a investigação deverá ter certas especificidades decorrentes da própria natureza do crime, além de incluir todas as ações necessárias com o objetivo de determinar o que de fato ocorreu com a vítima e a localização de seu paradeiro, o julgamento e eventual condenação penal de todos os responsáveis”</w:t>
      </w:r>
      <w:r w:rsidR="001A5B27" w:rsidRPr="00CB027F">
        <w:rPr>
          <w:rStyle w:val="FootnoteReference"/>
          <w:color w:val="000000"/>
        </w:rPr>
        <w:footnoteReference w:id="55"/>
      </w:r>
      <w:r w:rsidR="001A5B27" w:rsidRPr="00CB027F">
        <w:rPr>
          <w:color w:val="000000"/>
        </w:rPr>
        <w:t xml:space="preserve"> À luz dessa jurisprudência, são evidentes as violações cometidas pela República Cardenal contra os direitos de Bolt e de seus familiares, uma vez que</w:t>
      </w:r>
      <w:r w:rsidR="008A00A4" w:rsidRPr="00CB027F">
        <w:rPr>
          <w:color w:val="000000"/>
        </w:rPr>
        <w:t>,</w:t>
      </w:r>
      <w:r w:rsidR="001A5B27" w:rsidRPr="00CB027F">
        <w:rPr>
          <w:color w:val="000000"/>
        </w:rPr>
        <w:t xml:space="preserve"> passados mais de dez anos do desaparecimento, muito pouco foi feito pelas autoridades públicas para descobrir o paradeiro de seus restos mortais e as reais circunstâncias </w:t>
      </w:r>
      <w:r w:rsidR="008A00A4" w:rsidRPr="00CB027F">
        <w:rPr>
          <w:color w:val="000000"/>
        </w:rPr>
        <w:t>dos fatos</w:t>
      </w:r>
      <w:r w:rsidR="001A5B27" w:rsidRPr="00CB027F">
        <w:rPr>
          <w:color w:val="000000"/>
        </w:rPr>
        <w:t>, o que certamente constitui uma demora injustificada</w:t>
      </w:r>
      <w:r w:rsidR="001A5B27" w:rsidRPr="00CB027F">
        <w:rPr>
          <w:rStyle w:val="FootnoteReference"/>
          <w:color w:val="000000"/>
        </w:rPr>
        <w:footnoteReference w:id="56"/>
      </w:r>
      <w:r w:rsidR="001A5B27" w:rsidRPr="00CB027F">
        <w:rPr>
          <w:color w:val="000000"/>
        </w:rPr>
        <w:t xml:space="preserve"> do processo investigativo. </w:t>
      </w:r>
    </w:p>
    <w:p w:rsidR="001A5B27" w:rsidRPr="00CB027F" w:rsidRDefault="001A5B27" w:rsidP="005A443D">
      <w:pPr>
        <w:pStyle w:val="NormalWeb"/>
        <w:spacing w:line="480" w:lineRule="auto"/>
        <w:jc w:val="both"/>
        <w:rPr>
          <w:color w:val="000000"/>
        </w:rPr>
      </w:pPr>
      <w:r w:rsidRPr="00CB027F">
        <w:rPr>
          <w:color w:val="000000"/>
        </w:rPr>
        <w:t>Aind</w:t>
      </w:r>
      <w:r w:rsidR="005F613B" w:rsidRPr="00CB027F">
        <w:rPr>
          <w:color w:val="000000"/>
        </w:rPr>
        <w:t xml:space="preserve">a que se identifiquem </w:t>
      </w:r>
      <w:r w:rsidRPr="00CB027F">
        <w:rPr>
          <w:color w:val="000000"/>
        </w:rPr>
        <w:t xml:space="preserve">esforços por parte do Estado, como a constituição de uma Comissão de Busca, resta clara a insuficiência das medidas adotadas e dos resultados práticos alcançados para promover um efetivo esclarecimento, castigo e reparação em relação ao caso de Bolt. A pluriofensividade e o caráter permanente e contínuo do crime de desaparecimento forçado agravam a situação de descumprimento da obrigação de investigar, posto que a “(...) a obrigação </w:t>
      </w:r>
      <w:r w:rsidRPr="00CB027F">
        <w:rPr>
          <w:color w:val="000000"/>
        </w:rPr>
        <w:lastRenderedPageBreak/>
        <w:t>de investigar com devida diligência e em um prazo razoável adquire especial importância diante da gravidade dos direitos cometidos e da dimensão dos direitos lesionados.”</w:t>
      </w:r>
      <w:r w:rsidRPr="00CB027F">
        <w:rPr>
          <w:rStyle w:val="FootnoteReference"/>
          <w:color w:val="000000"/>
        </w:rPr>
        <w:footnoteReference w:id="57"/>
      </w:r>
    </w:p>
    <w:p w:rsidR="001A5B27" w:rsidRPr="00CB027F" w:rsidRDefault="001A5B27" w:rsidP="005A443D">
      <w:pPr>
        <w:pStyle w:val="NormalWeb"/>
        <w:spacing w:line="480" w:lineRule="auto"/>
        <w:jc w:val="both"/>
        <w:rPr>
          <w:color w:val="000000"/>
        </w:rPr>
      </w:pPr>
      <w:r w:rsidRPr="00CB027F">
        <w:rPr>
          <w:color w:val="000000"/>
        </w:rPr>
        <w:t>De fato, a omissão deliberad</w:t>
      </w:r>
      <w:r w:rsidR="008A00A4" w:rsidRPr="00CB027F">
        <w:rPr>
          <w:color w:val="000000"/>
        </w:rPr>
        <w:t>a</w:t>
      </w:r>
      <w:r w:rsidRPr="00CB027F">
        <w:rPr>
          <w:color w:val="000000"/>
        </w:rPr>
        <w:t xml:space="preserve"> em relação à investigação dos fatos atinentes ao desaparecimento de Bolt se reflete na negativa do Estado de proceder à sanção dos responsáveis por tais violações, mesmo com os indícios revelados pela Comissão da Verdade da participação de agentes estatais nos crimes identificados. Sendo assim, resulta violada a necessidade estipulada por esta CrIDH de que as autoridades envolvidas nas investigações prestem particular atenção às provas circunstanciais</w:t>
      </w:r>
      <w:r w:rsidRPr="00CB027F">
        <w:rPr>
          <w:rStyle w:val="FootnoteReference"/>
          <w:color w:val="000000"/>
        </w:rPr>
        <w:footnoteReference w:id="58"/>
      </w:r>
      <w:r w:rsidRPr="00CB027F">
        <w:rPr>
          <w:color w:val="000000"/>
        </w:rPr>
        <w:t xml:space="preserve">, </w:t>
      </w:r>
      <w:r w:rsidR="008A00A4" w:rsidRPr="00CB027F">
        <w:rPr>
          <w:color w:val="000000"/>
        </w:rPr>
        <w:t>dados</w:t>
      </w:r>
      <w:r w:rsidRPr="00CB027F">
        <w:rPr>
          <w:color w:val="000000"/>
        </w:rPr>
        <w:t xml:space="preserve"> o contexto do desparecimento e a reiterada prática dos Estados ao negar a privação de liberdade do indivíduo em crimes deste tipo. Ficam claras, dessa forma, as violações aos artigos 8 e 25, relacionados aos artigos 1.1 e 2 da CADH, relativamente a Ricardo e Annika Bolt.</w:t>
      </w:r>
    </w:p>
    <w:p w:rsidR="00D87CB6" w:rsidRPr="00CB027F" w:rsidRDefault="005E4E2E" w:rsidP="005A443D">
      <w:pPr>
        <w:pStyle w:val="Heading3"/>
        <w:rPr>
          <w:rFonts w:ascii="Times New Roman" w:hAnsi="Times New Roman"/>
        </w:rPr>
      </w:pPr>
      <w:bookmarkStart w:id="15" w:name="_Toc414890816"/>
      <w:r w:rsidRPr="00CB027F">
        <w:rPr>
          <w:rFonts w:ascii="Times New Roman" w:hAnsi="Times New Roman"/>
        </w:rPr>
        <w:t>2</w:t>
      </w:r>
      <w:r w:rsidR="005A443D">
        <w:rPr>
          <w:rFonts w:ascii="Times New Roman" w:hAnsi="Times New Roman"/>
        </w:rPr>
        <w:t>.2.2</w:t>
      </w:r>
      <w:r w:rsidRPr="00CB027F">
        <w:rPr>
          <w:rFonts w:ascii="Times New Roman" w:hAnsi="Times New Roman"/>
        </w:rPr>
        <w:t xml:space="preserve"> </w:t>
      </w:r>
      <w:r w:rsidR="0027793C" w:rsidRPr="00CB027F">
        <w:rPr>
          <w:rFonts w:ascii="Times New Roman" w:hAnsi="Times New Roman"/>
        </w:rPr>
        <w:t>Caso Lucrécia Rossi vs. República Cardenal</w:t>
      </w:r>
      <w:bookmarkEnd w:id="15"/>
    </w:p>
    <w:p w:rsidR="00D87CB6" w:rsidRPr="00CB027F" w:rsidRDefault="00D87CB6" w:rsidP="005A443D">
      <w:pPr>
        <w:jc w:val="both"/>
        <w:rPr>
          <w:color w:val="141823"/>
          <w:szCs w:val="24"/>
          <w:shd w:val="clear" w:color="auto" w:fill="FFFFFF"/>
        </w:rPr>
      </w:pPr>
      <w:r w:rsidRPr="00CB027F">
        <w:rPr>
          <w:color w:val="141823"/>
          <w:szCs w:val="24"/>
          <w:shd w:val="clear" w:color="auto" w:fill="FFFFFF"/>
        </w:rPr>
        <w:t>Lucrécia Rossi</w:t>
      </w:r>
      <w:r w:rsidR="007102C2" w:rsidRPr="00CB027F">
        <w:rPr>
          <w:color w:val="141823"/>
          <w:szCs w:val="24"/>
          <w:shd w:val="clear" w:color="auto" w:fill="FFFFFF"/>
        </w:rPr>
        <w:t xml:space="preserve"> </w:t>
      </w:r>
      <w:r w:rsidRPr="00CB027F">
        <w:rPr>
          <w:color w:val="141823"/>
          <w:szCs w:val="24"/>
          <w:shd w:val="clear" w:color="auto" w:fill="FFFFFF"/>
        </w:rPr>
        <w:t>foi apontada como possível participante no caso do Sequestro</w:t>
      </w:r>
      <w:r w:rsidR="008E1F41" w:rsidRPr="00CB027F">
        <w:rPr>
          <w:color w:val="141823"/>
          <w:szCs w:val="24"/>
          <w:shd w:val="clear" w:color="auto" w:fill="FFFFFF"/>
        </w:rPr>
        <w:t xml:space="preserve"> dos Anjinhos</w:t>
      </w:r>
      <w:r w:rsidR="007102C2" w:rsidRPr="00CB027F">
        <w:rPr>
          <w:color w:val="141823"/>
          <w:szCs w:val="24"/>
          <w:shd w:val="clear" w:color="auto" w:fill="FFFFFF"/>
        </w:rPr>
        <w:t>.</w:t>
      </w:r>
      <w:r w:rsidRPr="00CB027F">
        <w:rPr>
          <w:color w:val="141823"/>
          <w:szCs w:val="24"/>
          <w:shd w:val="clear" w:color="auto" w:fill="FFFFFF"/>
        </w:rPr>
        <w:t xml:space="preserve"> Ressalta-se que se tratavam de meros indícios, não confirmados, uma vez que </w:t>
      </w:r>
      <w:r w:rsidR="005F613B" w:rsidRPr="00CB027F">
        <w:rPr>
          <w:color w:val="141823"/>
          <w:szCs w:val="24"/>
          <w:shd w:val="clear" w:color="auto" w:fill="FFFFFF"/>
        </w:rPr>
        <w:t xml:space="preserve">Rossi </w:t>
      </w:r>
      <w:r w:rsidRPr="00CB027F">
        <w:rPr>
          <w:color w:val="141823"/>
          <w:szCs w:val="24"/>
          <w:shd w:val="clear" w:color="auto" w:fill="FFFFFF"/>
        </w:rPr>
        <w:t xml:space="preserve">não foi encontrada no momento da invasão dos agentes públicos ao esconderijo dos sequestradores, nem havia sinais de sua participação no momento da libertação das crianças. </w:t>
      </w:r>
    </w:p>
    <w:p w:rsidR="003833A9" w:rsidRPr="00CB027F" w:rsidRDefault="009B2778" w:rsidP="005A443D">
      <w:pPr>
        <w:jc w:val="both"/>
        <w:rPr>
          <w:color w:val="141823"/>
          <w:szCs w:val="24"/>
          <w:shd w:val="clear" w:color="auto" w:fill="FFFFFF"/>
        </w:rPr>
      </w:pPr>
      <w:r w:rsidRPr="00CB027F">
        <w:rPr>
          <w:color w:val="141823"/>
          <w:szCs w:val="24"/>
          <w:shd w:val="clear" w:color="auto" w:fill="FFFFFF"/>
        </w:rPr>
        <w:t>A investigação</w:t>
      </w:r>
      <w:r w:rsidR="005F613B" w:rsidRPr="00CB027F">
        <w:rPr>
          <w:color w:val="141823"/>
          <w:szCs w:val="24"/>
          <w:shd w:val="clear" w:color="auto" w:fill="FFFFFF"/>
        </w:rPr>
        <w:t xml:space="preserve"> </w:t>
      </w:r>
      <w:r w:rsidR="00D87CB6" w:rsidRPr="00CB027F">
        <w:rPr>
          <w:color w:val="141823"/>
          <w:szCs w:val="24"/>
          <w:shd w:val="clear" w:color="auto" w:fill="FFFFFF"/>
        </w:rPr>
        <w:t>tomou rumos autoritários, feri</w:t>
      </w:r>
      <w:r w:rsidR="008A00A4" w:rsidRPr="00CB027F">
        <w:rPr>
          <w:color w:val="141823"/>
          <w:szCs w:val="24"/>
          <w:shd w:val="clear" w:color="auto" w:fill="FFFFFF"/>
        </w:rPr>
        <w:t>ndo</w:t>
      </w:r>
      <w:r w:rsidR="00D87CB6" w:rsidRPr="00CB027F">
        <w:rPr>
          <w:color w:val="141823"/>
          <w:szCs w:val="24"/>
          <w:shd w:val="clear" w:color="auto" w:fill="FFFFFF"/>
        </w:rPr>
        <w:t xml:space="preserve"> diretamente os direitos presentes na CADH, </w:t>
      </w:r>
      <w:r w:rsidR="008A00A4" w:rsidRPr="00CB027F">
        <w:rPr>
          <w:color w:val="141823"/>
          <w:szCs w:val="24"/>
          <w:shd w:val="clear" w:color="auto" w:fill="FFFFFF"/>
        </w:rPr>
        <w:t>como</w:t>
      </w:r>
      <w:r w:rsidR="00D87CB6" w:rsidRPr="00CB027F">
        <w:rPr>
          <w:color w:val="141823"/>
          <w:szCs w:val="24"/>
          <w:shd w:val="clear" w:color="auto" w:fill="FFFFFF"/>
        </w:rPr>
        <w:t xml:space="preserve"> comprovado através das inúmeras denúncias de </w:t>
      </w:r>
      <w:r w:rsidR="009F1ED4" w:rsidRPr="00CB027F">
        <w:rPr>
          <w:color w:val="141823"/>
          <w:szCs w:val="24"/>
          <w:shd w:val="clear" w:color="auto" w:fill="FFFFFF"/>
        </w:rPr>
        <w:t>invasões abusivas de moradias, torturas e detenções arbitr</w:t>
      </w:r>
      <w:r w:rsidR="008A00A4" w:rsidRPr="00CB027F">
        <w:rPr>
          <w:color w:val="141823"/>
          <w:szCs w:val="24"/>
          <w:shd w:val="clear" w:color="auto" w:fill="FFFFFF"/>
        </w:rPr>
        <w:t>á</w:t>
      </w:r>
      <w:r w:rsidR="009F1ED4" w:rsidRPr="00CB027F">
        <w:rPr>
          <w:color w:val="141823"/>
          <w:szCs w:val="24"/>
          <w:shd w:val="clear" w:color="auto" w:fill="FFFFFF"/>
        </w:rPr>
        <w:t>rias</w:t>
      </w:r>
      <w:r w:rsidR="00D87CB6" w:rsidRPr="00CB027F">
        <w:rPr>
          <w:rStyle w:val="FootnoteReference"/>
          <w:color w:val="141823"/>
          <w:szCs w:val="24"/>
          <w:shd w:val="clear" w:color="auto" w:fill="FFFFFF"/>
        </w:rPr>
        <w:footnoteReference w:id="59"/>
      </w:r>
      <w:r w:rsidR="00D87CB6" w:rsidRPr="00CB027F">
        <w:rPr>
          <w:color w:val="141823"/>
          <w:szCs w:val="24"/>
          <w:shd w:val="clear" w:color="auto" w:fill="FFFFFF"/>
        </w:rPr>
        <w:t xml:space="preserve">. Em tal cenário de verdadeira caçada, </w:t>
      </w:r>
      <w:r w:rsidR="005F613B" w:rsidRPr="00CB027F">
        <w:rPr>
          <w:color w:val="141823"/>
          <w:szCs w:val="24"/>
          <w:shd w:val="clear" w:color="auto" w:fill="FFFFFF"/>
        </w:rPr>
        <w:t>Rossi</w:t>
      </w:r>
      <w:r w:rsidR="00D87CB6" w:rsidRPr="00CB027F">
        <w:rPr>
          <w:color w:val="141823"/>
          <w:szCs w:val="24"/>
          <w:shd w:val="clear" w:color="auto" w:fill="FFFFFF"/>
        </w:rPr>
        <w:t xml:space="preserve"> foi encontrada morta </w:t>
      </w:r>
      <w:r w:rsidR="00D20624" w:rsidRPr="00CB027F">
        <w:rPr>
          <w:color w:val="141823"/>
          <w:szCs w:val="24"/>
          <w:shd w:val="clear" w:color="auto" w:fill="FFFFFF"/>
        </w:rPr>
        <w:t xml:space="preserve">e </w:t>
      </w:r>
      <w:r w:rsidR="00D20624" w:rsidRPr="00CB027F">
        <w:rPr>
          <w:color w:val="141823"/>
          <w:szCs w:val="24"/>
          <w:shd w:val="clear" w:color="auto" w:fill="FFFFFF"/>
        </w:rPr>
        <w:lastRenderedPageBreak/>
        <w:t xml:space="preserve">esquartejada </w:t>
      </w:r>
      <w:r w:rsidR="00D87CB6" w:rsidRPr="00CB027F">
        <w:rPr>
          <w:color w:val="141823"/>
          <w:szCs w:val="24"/>
          <w:shd w:val="clear" w:color="auto" w:fill="FFFFFF"/>
        </w:rPr>
        <w:t xml:space="preserve">em uma praça pública no centro da cidade. Seu cadáver mostrava </w:t>
      </w:r>
      <w:r w:rsidR="00D20624" w:rsidRPr="00CB027F">
        <w:rPr>
          <w:color w:val="141823"/>
          <w:szCs w:val="24"/>
          <w:shd w:val="clear" w:color="auto" w:fill="FFFFFF"/>
        </w:rPr>
        <w:t>sinais de</w:t>
      </w:r>
      <w:r w:rsidR="00D87CB6" w:rsidRPr="00CB027F">
        <w:rPr>
          <w:color w:val="141823"/>
          <w:szCs w:val="24"/>
          <w:shd w:val="clear" w:color="auto" w:fill="FFFFFF"/>
        </w:rPr>
        <w:t xml:space="preserve"> violência sexual e outras torturas, violações depois </w:t>
      </w:r>
      <w:r w:rsidR="00D20624" w:rsidRPr="00CB027F">
        <w:rPr>
          <w:color w:val="141823"/>
          <w:szCs w:val="24"/>
          <w:shd w:val="clear" w:color="auto" w:fill="FFFFFF"/>
        </w:rPr>
        <w:t>reconhecidas</w:t>
      </w:r>
      <w:r w:rsidR="00D87CB6" w:rsidRPr="00CB027F">
        <w:rPr>
          <w:color w:val="141823"/>
          <w:szCs w:val="24"/>
          <w:shd w:val="clear" w:color="auto" w:fill="FFFFFF"/>
        </w:rPr>
        <w:t xml:space="preserve"> pelo general João Otávio Pires</w:t>
      </w:r>
      <w:r w:rsidR="00D20624" w:rsidRPr="00CB027F">
        <w:rPr>
          <w:color w:val="141823"/>
          <w:szCs w:val="24"/>
          <w:shd w:val="clear" w:color="auto" w:fill="FFFFFF"/>
        </w:rPr>
        <w:t xml:space="preserve"> </w:t>
      </w:r>
      <w:r w:rsidR="00D87CB6" w:rsidRPr="00CB027F">
        <w:rPr>
          <w:color w:val="141823"/>
          <w:szCs w:val="24"/>
          <w:shd w:val="clear" w:color="auto" w:fill="FFFFFF"/>
        </w:rPr>
        <w:t>em declaração à Comissão da Verdade.</w:t>
      </w:r>
      <w:r w:rsidR="00D20624" w:rsidRPr="00CB027F">
        <w:rPr>
          <w:color w:val="141823"/>
          <w:szCs w:val="24"/>
          <w:shd w:val="clear" w:color="auto" w:fill="FFFFFF"/>
        </w:rPr>
        <w:t xml:space="preserve"> </w:t>
      </w:r>
      <w:r w:rsidR="003833A9" w:rsidRPr="00CB027F">
        <w:rPr>
          <w:color w:val="141823"/>
          <w:szCs w:val="24"/>
          <w:shd w:val="clear" w:color="auto" w:fill="FFFFFF"/>
        </w:rPr>
        <w:t xml:space="preserve">Tal confissão, no entanto, não resultou em investigação detalhada do caso e punição dos responsáveis, como </w:t>
      </w:r>
      <w:r w:rsidR="00D20624" w:rsidRPr="00CB027F">
        <w:rPr>
          <w:color w:val="141823"/>
          <w:szCs w:val="24"/>
          <w:shd w:val="clear" w:color="auto" w:fill="FFFFFF"/>
        </w:rPr>
        <w:t>esperado</w:t>
      </w:r>
      <w:r w:rsidR="003833A9" w:rsidRPr="00CB027F">
        <w:rPr>
          <w:color w:val="141823"/>
          <w:szCs w:val="24"/>
          <w:shd w:val="clear" w:color="auto" w:fill="FFFFFF"/>
        </w:rPr>
        <w:t xml:space="preserve">. O Gal. Pires não foi nem mesmo condenado </w:t>
      </w:r>
      <w:r w:rsidR="005F613B" w:rsidRPr="00CB027F">
        <w:rPr>
          <w:color w:val="141823"/>
          <w:szCs w:val="24"/>
          <w:shd w:val="clear" w:color="auto" w:fill="FFFFFF"/>
        </w:rPr>
        <w:t>à</w:t>
      </w:r>
      <w:r w:rsidR="003833A9" w:rsidRPr="00CB027F">
        <w:rPr>
          <w:color w:val="141823"/>
          <w:szCs w:val="24"/>
          <w:shd w:val="clear" w:color="auto" w:fill="FFFFFF"/>
        </w:rPr>
        <w:t xml:space="preserve"> prisão, sendo obrigado meramente a prestar serviços comunitários, sentença claramente desproporcional</w:t>
      </w:r>
      <w:r w:rsidR="005F613B" w:rsidRPr="00CB027F">
        <w:rPr>
          <w:color w:val="141823"/>
          <w:szCs w:val="24"/>
          <w:shd w:val="clear" w:color="auto" w:fill="FFFFFF"/>
        </w:rPr>
        <w:t xml:space="preserve"> à </w:t>
      </w:r>
      <w:r w:rsidR="00D20624" w:rsidRPr="00CB027F">
        <w:rPr>
          <w:color w:val="141823"/>
          <w:szCs w:val="24"/>
          <w:shd w:val="clear" w:color="auto" w:fill="FFFFFF"/>
        </w:rPr>
        <w:t>prática criminosa confessada</w:t>
      </w:r>
      <w:r w:rsidR="006956CC" w:rsidRPr="00CB027F">
        <w:rPr>
          <w:rStyle w:val="FootnoteReference"/>
          <w:color w:val="141823"/>
          <w:szCs w:val="24"/>
          <w:shd w:val="clear" w:color="auto" w:fill="FFFFFF"/>
        </w:rPr>
        <w:footnoteReference w:id="60"/>
      </w:r>
      <w:r w:rsidR="008E1F41" w:rsidRPr="00CB027F">
        <w:rPr>
          <w:color w:val="141823"/>
          <w:szCs w:val="24"/>
          <w:shd w:val="clear" w:color="auto" w:fill="FFFFFF"/>
        </w:rPr>
        <w:t>, o que constitui violação aos direitos humanos, como reforçou recentemente o TEDH</w:t>
      </w:r>
      <w:r w:rsidR="003833A9" w:rsidRPr="00CB027F">
        <w:rPr>
          <w:color w:val="141823"/>
          <w:szCs w:val="24"/>
          <w:shd w:val="clear" w:color="auto" w:fill="FFFFFF"/>
        </w:rPr>
        <w:t xml:space="preserve">. </w:t>
      </w:r>
      <w:r w:rsidRPr="00CB027F">
        <w:rPr>
          <w:color w:val="141823"/>
          <w:szCs w:val="24"/>
          <w:shd w:val="clear" w:color="auto" w:fill="FFFFFF"/>
        </w:rPr>
        <w:t xml:space="preserve"> </w:t>
      </w:r>
    </w:p>
    <w:p w:rsidR="00D87CB6" w:rsidRPr="00CB027F" w:rsidRDefault="00D87CB6" w:rsidP="005A443D">
      <w:pPr>
        <w:jc w:val="both"/>
        <w:rPr>
          <w:color w:val="141823"/>
          <w:szCs w:val="24"/>
          <w:shd w:val="clear" w:color="auto" w:fill="FFFFFF"/>
        </w:rPr>
      </w:pPr>
      <w:r w:rsidRPr="00CB027F">
        <w:rPr>
          <w:color w:val="141823"/>
          <w:szCs w:val="24"/>
          <w:shd w:val="clear" w:color="auto" w:fill="FFFFFF"/>
        </w:rPr>
        <w:t>Dessa forma, em razão da ausência de inquérito, sanção, castigo e devida reparação dos danos causados</w:t>
      </w:r>
      <w:r w:rsidR="003833A9" w:rsidRPr="00CB027F">
        <w:rPr>
          <w:color w:val="141823"/>
          <w:szCs w:val="24"/>
          <w:shd w:val="clear" w:color="auto" w:fill="FFFFFF"/>
        </w:rPr>
        <w:t xml:space="preserve"> a sua filha</w:t>
      </w:r>
      <w:r w:rsidRPr="00CB027F">
        <w:rPr>
          <w:color w:val="141823"/>
          <w:szCs w:val="24"/>
          <w:shd w:val="clear" w:color="auto" w:fill="FFFFFF"/>
        </w:rPr>
        <w:t>, Emily e Maximiliano Rossi apresent</w:t>
      </w:r>
      <w:r w:rsidR="009B129D" w:rsidRPr="00CB027F">
        <w:rPr>
          <w:color w:val="141823"/>
          <w:szCs w:val="24"/>
          <w:shd w:val="clear" w:color="auto" w:fill="FFFFFF"/>
        </w:rPr>
        <w:t>aram denú</w:t>
      </w:r>
      <w:r w:rsidRPr="00CB027F">
        <w:rPr>
          <w:color w:val="141823"/>
          <w:szCs w:val="24"/>
          <w:shd w:val="clear" w:color="auto" w:fill="FFFFFF"/>
        </w:rPr>
        <w:t>ncia contra Cardenal</w:t>
      </w:r>
      <w:r w:rsidRPr="00CB027F">
        <w:rPr>
          <w:rStyle w:val="FootnoteReference"/>
          <w:color w:val="141823"/>
          <w:szCs w:val="24"/>
          <w:shd w:val="clear" w:color="auto" w:fill="FFFFFF"/>
        </w:rPr>
        <w:footnoteReference w:id="61"/>
      </w:r>
      <w:r w:rsidRPr="00CB027F">
        <w:rPr>
          <w:color w:val="141823"/>
          <w:szCs w:val="24"/>
          <w:shd w:val="clear" w:color="auto" w:fill="FFFFFF"/>
        </w:rPr>
        <w:t>.</w:t>
      </w:r>
    </w:p>
    <w:p w:rsidR="00D87CB6" w:rsidRPr="00CB027F" w:rsidRDefault="00D87CB6" w:rsidP="005A443D">
      <w:pPr>
        <w:jc w:val="both"/>
        <w:rPr>
          <w:b/>
          <w:szCs w:val="24"/>
        </w:rPr>
      </w:pPr>
      <w:r w:rsidRPr="00CB027F">
        <w:rPr>
          <w:b/>
          <w:color w:val="000000"/>
          <w:szCs w:val="24"/>
        </w:rPr>
        <w:t>Artigo 4º - Direito à vida</w:t>
      </w:r>
      <w:r w:rsidRPr="00CB027F">
        <w:rPr>
          <w:b/>
          <w:szCs w:val="24"/>
        </w:rPr>
        <w:t xml:space="preserve"> </w:t>
      </w:r>
    </w:p>
    <w:p w:rsidR="00DF1705" w:rsidRPr="00CB027F" w:rsidRDefault="008D6E0F" w:rsidP="005A443D">
      <w:pPr>
        <w:jc w:val="both"/>
        <w:rPr>
          <w:szCs w:val="24"/>
        </w:rPr>
      </w:pPr>
      <w:r w:rsidRPr="00CB027F">
        <w:rPr>
          <w:szCs w:val="24"/>
        </w:rPr>
        <w:t xml:space="preserve">As ações perpetradas contra </w:t>
      </w:r>
      <w:r w:rsidR="00DF1705" w:rsidRPr="00CB027F">
        <w:rPr>
          <w:szCs w:val="24"/>
        </w:rPr>
        <w:t>Lucrécia Rossi se caracterizam como uma execução extrajudicial promovida pelos agentes do Estado, o que configura uma evidente violação ao artigo 4º da CADH. A CrIDH afirma em sua jurisprudência que “as execuções extrajudiciais são, por definição, arbitrárias e contrárias ao artigo 4.1 da Convenção”</w:t>
      </w:r>
      <w:r w:rsidR="00DF1705" w:rsidRPr="00CB027F">
        <w:rPr>
          <w:rStyle w:val="FootnoteReference"/>
          <w:szCs w:val="24"/>
        </w:rPr>
        <w:footnoteReference w:id="62"/>
      </w:r>
      <w:r w:rsidR="00DF1705" w:rsidRPr="00CB027F">
        <w:rPr>
          <w:szCs w:val="24"/>
        </w:rPr>
        <w:t>, entendimento que reforça o fato de Cardenal ter violado deliberadamente o dispositivo em questão. Segundo esta mesma Corte, “a proteção do indivíduo contra o exercício arbitrário do poder público é objeto primordial da proteção internacional dos direitos humanos”</w:t>
      </w:r>
      <w:r w:rsidRPr="00CB027F">
        <w:rPr>
          <w:rStyle w:val="FootnoteReference"/>
          <w:szCs w:val="24"/>
        </w:rPr>
        <w:footnoteReference w:id="63"/>
      </w:r>
      <w:r w:rsidR="00DF1705" w:rsidRPr="00CB027F">
        <w:rPr>
          <w:szCs w:val="24"/>
        </w:rPr>
        <w:t>, não sendo admissíveis, em nenhuma hipótese, práticas como as ocorridas com Lucrécia.</w:t>
      </w:r>
    </w:p>
    <w:p w:rsidR="00803F12" w:rsidRPr="00CB027F" w:rsidRDefault="00DF1705" w:rsidP="005A443D">
      <w:pPr>
        <w:jc w:val="both"/>
        <w:rPr>
          <w:szCs w:val="24"/>
        </w:rPr>
      </w:pPr>
      <w:r w:rsidRPr="00CB027F">
        <w:rPr>
          <w:szCs w:val="24"/>
        </w:rPr>
        <w:lastRenderedPageBreak/>
        <w:t>A CrIDH</w:t>
      </w:r>
      <w:r w:rsidR="00D87CB6" w:rsidRPr="00CB027F">
        <w:rPr>
          <w:szCs w:val="24"/>
        </w:rPr>
        <w:t xml:space="preserve"> entende</w:t>
      </w:r>
      <w:r w:rsidR="00080F4F" w:rsidRPr="00CB027F">
        <w:rPr>
          <w:szCs w:val="24"/>
        </w:rPr>
        <w:t xml:space="preserve"> ainda</w:t>
      </w:r>
      <w:r w:rsidR="00D87CB6" w:rsidRPr="00CB027F">
        <w:rPr>
          <w:szCs w:val="24"/>
        </w:rPr>
        <w:t xml:space="preserve"> que o cumprimento do artigo 4º da C</w:t>
      </w:r>
      <w:r w:rsidR="003D2ECD" w:rsidRPr="00CB027F">
        <w:rPr>
          <w:szCs w:val="24"/>
        </w:rPr>
        <w:t>ADH</w:t>
      </w:r>
      <w:r w:rsidR="00D87CB6" w:rsidRPr="00CB027F">
        <w:rPr>
          <w:szCs w:val="24"/>
        </w:rPr>
        <w:t>, em conjunto com o artigo 1.1 do mesmo documento, não só pressupõe que nenhuma pessoa pode ser privada de sua vida arbitrariamente (obrigação negativa), mas também exige que os Estados tomem todas as medidas apropriadas para proteger e preservar o direito à vida (obrigação positiva)</w:t>
      </w:r>
      <w:r w:rsidR="00D87CB6" w:rsidRPr="00CB027F">
        <w:rPr>
          <w:rStyle w:val="FootnoteReference"/>
          <w:szCs w:val="24"/>
        </w:rPr>
        <w:footnoteReference w:id="64"/>
      </w:r>
      <w:r w:rsidR="00D87CB6" w:rsidRPr="00CB027F">
        <w:rPr>
          <w:szCs w:val="24"/>
        </w:rPr>
        <w:t>, no âmbito do seu dever de garantir o livre e pleno exercício dos direitos de todas as pessoas sob sua jurisdição</w:t>
      </w:r>
      <w:r w:rsidR="00D87CB6" w:rsidRPr="00CB027F">
        <w:rPr>
          <w:rStyle w:val="FootnoteReference"/>
          <w:szCs w:val="24"/>
        </w:rPr>
        <w:footnoteReference w:id="65"/>
      </w:r>
      <w:r w:rsidR="00D87CB6" w:rsidRPr="00CB027F">
        <w:rPr>
          <w:szCs w:val="24"/>
        </w:rPr>
        <w:t xml:space="preserve">. </w:t>
      </w:r>
    </w:p>
    <w:p w:rsidR="00803F12" w:rsidRPr="00CB027F" w:rsidRDefault="00803F12" w:rsidP="005A443D">
      <w:pPr>
        <w:jc w:val="both"/>
        <w:rPr>
          <w:szCs w:val="24"/>
        </w:rPr>
      </w:pPr>
      <w:r w:rsidRPr="00CB027F">
        <w:rPr>
          <w:szCs w:val="24"/>
        </w:rPr>
        <w:t>O dever de</w:t>
      </w:r>
      <w:r w:rsidR="00D87CB6" w:rsidRPr="00CB027F">
        <w:rPr>
          <w:szCs w:val="24"/>
        </w:rPr>
        <w:t xml:space="preserve"> proteção integral</w:t>
      </w:r>
      <w:r w:rsidR="003A2A20" w:rsidRPr="00CB027F">
        <w:rPr>
          <w:szCs w:val="24"/>
        </w:rPr>
        <w:t xml:space="preserve"> </w:t>
      </w:r>
      <w:r w:rsidRPr="00CB027F">
        <w:rPr>
          <w:szCs w:val="24"/>
        </w:rPr>
        <w:t xml:space="preserve">do Estado </w:t>
      </w:r>
      <w:r w:rsidR="003A2A20" w:rsidRPr="00CB027F">
        <w:rPr>
          <w:szCs w:val="24"/>
        </w:rPr>
        <w:t xml:space="preserve">envolve </w:t>
      </w:r>
      <w:r w:rsidRPr="00CB027F">
        <w:rPr>
          <w:szCs w:val="24"/>
        </w:rPr>
        <w:t xml:space="preserve">essencialmente </w:t>
      </w:r>
      <w:r w:rsidR="003A2A20" w:rsidRPr="00CB027F">
        <w:rPr>
          <w:szCs w:val="24"/>
        </w:rPr>
        <w:t>a</w:t>
      </w:r>
      <w:r w:rsidR="00D87CB6" w:rsidRPr="00CB027F">
        <w:rPr>
          <w:szCs w:val="24"/>
        </w:rPr>
        <w:t>queles que devem resguardar a segurança, sejam suas forças policiais ou suas forças armadas</w:t>
      </w:r>
      <w:r w:rsidR="00D87CB6" w:rsidRPr="00CB027F">
        <w:rPr>
          <w:rStyle w:val="FootnoteReference"/>
          <w:szCs w:val="24"/>
        </w:rPr>
        <w:footnoteReference w:id="66"/>
      </w:r>
      <w:r w:rsidR="00D87CB6" w:rsidRPr="00CB027F">
        <w:rPr>
          <w:szCs w:val="24"/>
        </w:rPr>
        <w:t xml:space="preserve">. Em razão disso, </w:t>
      </w:r>
      <w:r w:rsidR="007E4EA0" w:rsidRPr="00CB027F">
        <w:rPr>
          <w:szCs w:val="24"/>
        </w:rPr>
        <w:t>“</w:t>
      </w:r>
      <w:r w:rsidR="00D87CB6" w:rsidRPr="00CB027F">
        <w:rPr>
          <w:szCs w:val="24"/>
        </w:rPr>
        <w:t>os Estados devem tomar todas as medidas necessárias para prevenir, reprimir e punir a privação da vida como resultado de atos criminosos em geral e</w:t>
      </w:r>
      <w:r w:rsidRPr="00CB027F">
        <w:rPr>
          <w:szCs w:val="24"/>
        </w:rPr>
        <w:t>,</w:t>
      </w:r>
      <w:r w:rsidR="00D87CB6" w:rsidRPr="00CB027F">
        <w:rPr>
          <w:szCs w:val="24"/>
        </w:rPr>
        <w:t xml:space="preserve"> principalmente, para evitar execuções arbitrárias pelos seus próprios agentes de segurança</w:t>
      </w:r>
      <w:r w:rsidR="007E4EA0" w:rsidRPr="00CB027F">
        <w:rPr>
          <w:szCs w:val="24"/>
        </w:rPr>
        <w:t>”</w:t>
      </w:r>
      <w:r w:rsidR="00785F33" w:rsidRPr="00CB027F">
        <w:rPr>
          <w:szCs w:val="24"/>
        </w:rPr>
        <w:t xml:space="preserve">, como reforçou a Corte no caso </w:t>
      </w:r>
      <w:r w:rsidR="00785F33" w:rsidRPr="00CB027F">
        <w:t xml:space="preserve">19 Comerciantes </w:t>
      </w:r>
      <w:r w:rsidRPr="00CB027F">
        <w:t>V</w:t>
      </w:r>
      <w:r w:rsidR="00785F33" w:rsidRPr="00CB027F">
        <w:t>s. Colômbia</w:t>
      </w:r>
      <w:r w:rsidR="00785F33" w:rsidRPr="00CB027F">
        <w:rPr>
          <w:rStyle w:val="FootnoteReference"/>
        </w:rPr>
        <w:footnoteReference w:id="67"/>
      </w:r>
      <w:r w:rsidR="00785F33" w:rsidRPr="00CB027F">
        <w:rPr>
          <w:b/>
        </w:rPr>
        <w:t xml:space="preserve">, </w:t>
      </w:r>
      <w:r w:rsidR="00785F33" w:rsidRPr="00CB027F">
        <w:rPr>
          <w:szCs w:val="24"/>
        </w:rPr>
        <w:t>dentre outros</w:t>
      </w:r>
      <w:r w:rsidR="00D87CB6" w:rsidRPr="00CB027F">
        <w:rPr>
          <w:rStyle w:val="FootnoteReference"/>
          <w:szCs w:val="24"/>
        </w:rPr>
        <w:footnoteReference w:id="68"/>
      </w:r>
      <w:r w:rsidR="00D87CB6" w:rsidRPr="00CB027F">
        <w:rPr>
          <w:szCs w:val="24"/>
        </w:rPr>
        <w:t xml:space="preserve">. </w:t>
      </w:r>
      <w:r w:rsidR="007E4EA0" w:rsidRPr="00CB027F">
        <w:rPr>
          <w:szCs w:val="24"/>
        </w:rPr>
        <w:t>As práticas relatadas no presente caso explicitam que não houve a observância de tal mandamento</w:t>
      </w:r>
      <w:r w:rsidR="008D6E0F" w:rsidRPr="00CB027F">
        <w:rPr>
          <w:szCs w:val="24"/>
        </w:rPr>
        <w:t xml:space="preserve">, das </w:t>
      </w:r>
      <w:r w:rsidR="007E4EA0" w:rsidRPr="00CB027F">
        <w:rPr>
          <w:szCs w:val="24"/>
        </w:rPr>
        <w:t>medidas que o Estado deveria ter tomado, fato comprovado por terem sido os próprios agentes estatais os responsáveis diretos pelas violações ocorridas em prejuízo de Lucrécia e por estes não terem sido punidos devidamente.</w:t>
      </w:r>
    </w:p>
    <w:p w:rsidR="007E4EA0" w:rsidRPr="00CB027F" w:rsidRDefault="007E4EA0" w:rsidP="005A443D">
      <w:pPr>
        <w:jc w:val="both"/>
        <w:rPr>
          <w:szCs w:val="24"/>
        </w:rPr>
      </w:pPr>
      <w:r w:rsidRPr="00CB027F">
        <w:rPr>
          <w:szCs w:val="24"/>
        </w:rPr>
        <w:lastRenderedPageBreak/>
        <w:t xml:space="preserve">Aqueles que, precipuamente, têm o dever de salvaguardar a vida dos cidadãos de Cardenal foram os mesmos a atentarem contra a vida de Lucrécia, fato confirmado na confissão feita pelo Gal. Pires. Diante disso, e considerando o posicionamento da Corte supracitado, resta clara a violação </w:t>
      </w:r>
      <w:r w:rsidR="00012484" w:rsidRPr="00CB027F">
        <w:rPr>
          <w:szCs w:val="24"/>
        </w:rPr>
        <w:t>do artigo 4º da CADH, em concorrência com o</w:t>
      </w:r>
      <w:r w:rsidR="003B373B" w:rsidRPr="00CB027F">
        <w:rPr>
          <w:szCs w:val="24"/>
        </w:rPr>
        <w:t>s</w:t>
      </w:r>
      <w:r w:rsidR="00012484" w:rsidRPr="00CB027F">
        <w:rPr>
          <w:szCs w:val="24"/>
        </w:rPr>
        <w:t xml:space="preserve"> artigo</w:t>
      </w:r>
      <w:r w:rsidR="003B373B" w:rsidRPr="00CB027F">
        <w:rPr>
          <w:szCs w:val="24"/>
        </w:rPr>
        <w:t>s</w:t>
      </w:r>
      <w:r w:rsidR="00012484" w:rsidRPr="00CB027F">
        <w:rPr>
          <w:szCs w:val="24"/>
        </w:rPr>
        <w:t xml:space="preserve"> 1.1</w:t>
      </w:r>
      <w:r w:rsidR="003B373B" w:rsidRPr="00CB027F">
        <w:rPr>
          <w:szCs w:val="24"/>
        </w:rPr>
        <w:t xml:space="preserve"> e 2</w:t>
      </w:r>
      <w:r w:rsidR="00012484" w:rsidRPr="00CB027F">
        <w:rPr>
          <w:szCs w:val="24"/>
        </w:rPr>
        <w:t xml:space="preserve"> deste mesmo documento</w:t>
      </w:r>
      <w:r w:rsidR="00D975D7" w:rsidRPr="00CB027F">
        <w:rPr>
          <w:szCs w:val="24"/>
        </w:rPr>
        <w:t>.</w:t>
      </w:r>
      <w:r w:rsidR="00012484" w:rsidRPr="00CB027F">
        <w:rPr>
          <w:szCs w:val="24"/>
        </w:rPr>
        <w:t xml:space="preserve"> </w:t>
      </w:r>
    </w:p>
    <w:p w:rsidR="007E3328" w:rsidRPr="00CB027F" w:rsidRDefault="007E3328" w:rsidP="005A443D">
      <w:pPr>
        <w:jc w:val="both"/>
        <w:rPr>
          <w:b/>
          <w:color w:val="000000"/>
          <w:szCs w:val="24"/>
        </w:rPr>
      </w:pPr>
      <w:r w:rsidRPr="00CB027F">
        <w:rPr>
          <w:b/>
          <w:color w:val="000000"/>
          <w:szCs w:val="24"/>
        </w:rPr>
        <w:t>Artigo 8º - Garantias judiciais e Artigo 25 - Proteção judicial</w:t>
      </w:r>
    </w:p>
    <w:p w:rsidR="00012484" w:rsidRPr="00CB027F" w:rsidRDefault="003D2ECD" w:rsidP="005A443D">
      <w:pPr>
        <w:jc w:val="both"/>
        <w:rPr>
          <w:szCs w:val="24"/>
        </w:rPr>
      </w:pPr>
      <w:r w:rsidRPr="00CB027F">
        <w:rPr>
          <w:szCs w:val="24"/>
        </w:rPr>
        <w:t>Com relação aos artigos 8</w:t>
      </w:r>
      <w:r w:rsidR="00803F12" w:rsidRPr="00CB027F">
        <w:rPr>
          <w:szCs w:val="24"/>
        </w:rPr>
        <w:t>º</w:t>
      </w:r>
      <w:r w:rsidRPr="00CB027F">
        <w:rPr>
          <w:szCs w:val="24"/>
        </w:rPr>
        <w:t xml:space="preserve"> e 25, h</w:t>
      </w:r>
      <w:r w:rsidR="007E3328" w:rsidRPr="00CB027F">
        <w:rPr>
          <w:szCs w:val="24"/>
        </w:rPr>
        <w:t>ouve violação por parte do Estado em prejuízo d</w:t>
      </w:r>
      <w:r w:rsidRPr="00CB027F">
        <w:rPr>
          <w:szCs w:val="24"/>
        </w:rPr>
        <w:t xml:space="preserve">e Lucrécia, </w:t>
      </w:r>
      <w:r w:rsidR="00803F12" w:rsidRPr="00CB027F">
        <w:rPr>
          <w:szCs w:val="24"/>
        </w:rPr>
        <w:t xml:space="preserve">e de seus familiares </w:t>
      </w:r>
      <w:r w:rsidR="007E3328" w:rsidRPr="00CB027F">
        <w:rPr>
          <w:color w:val="000000"/>
          <w:szCs w:val="24"/>
        </w:rPr>
        <w:t xml:space="preserve">Emily e Maximiliano Rossi. </w:t>
      </w:r>
      <w:r w:rsidRPr="00CB027F">
        <w:rPr>
          <w:color w:val="000000"/>
          <w:szCs w:val="24"/>
        </w:rPr>
        <w:t>Isto porque, c</w:t>
      </w:r>
      <w:r w:rsidR="007E3328" w:rsidRPr="00CB027F">
        <w:rPr>
          <w:color w:val="000000"/>
          <w:szCs w:val="24"/>
        </w:rPr>
        <w:t>onforme já ressaltado no caso Bolt, se depreende d</w:t>
      </w:r>
      <w:r w:rsidR="00803F12" w:rsidRPr="00CB027F">
        <w:rPr>
          <w:color w:val="000000"/>
          <w:szCs w:val="24"/>
        </w:rPr>
        <w:t>e tais</w:t>
      </w:r>
      <w:r w:rsidR="007E3328" w:rsidRPr="00CB027F">
        <w:rPr>
          <w:color w:val="000000"/>
          <w:szCs w:val="24"/>
        </w:rPr>
        <w:t xml:space="preserve"> artigos a obrigação estatal de uma investigação detalhada</w:t>
      </w:r>
      <w:r w:rsidR="00803F12" w:rsidRPr="00CB027F">
        <w:rPr>
          <w:color w:val="000000"/>
          <w:szCs w:val="24"/>
        </w:rPr>
        <w:t xml:space="preserve"> e diligente</w:t>
      </w:r>
      <w:r w:rsidR="007E3328" w:rsidRPr="00CB027F">
        <w:rPr>
          <w:color w:val="000000"/>
          <w:szCs w:val="24"/>
        </w:rPr>
        <w:t xml:space="preserve">, com </w:t>
      </w:r>
      <w:r w:rsidR="00803F12" w:rsidRPr="00CB027F">
        <w:rPr>
          <w:color w:val="000000"/>
          <w:szCs w:val="24"/>
        </w:rPr>
        <w:t xml:space="preserve">amplo </w:t>
      </w:r>
      <w:r w:rsidR="007E3328" w:rsidRPr="00CB027F">
        <w:rPr>
          <w:color w:val="000000"/>
          <w:szCs w:val="24"/>
        </w:rPr>
        <w:t xml:space="preserve">esclarecimento do ocorrido e </w:t>
      </w:r>
      <w:r w:rsidR="00FE4AB2" w:rsidRPr="00CB027F">
        <w:rPr>
          <w:color w:val="000000"/>
          <w:szCs w:val="24"/>
        </w:rPr>
        <w:t>reparações</w:t>
      </w:r>
      <w:r w:rsidR="007E3328" w:rsidRPr="00CB027F">
        <w:rPr>
          <w:color w:val="000000"/>
          <w:szCs w:val="24"/>
        </w:rPr>
        <w:t xml:space="preserve"> proporcionais</w:t>
      </w:r>
      <w:r w:rsidR="007E3328" w:rsidRPr="00CB027F">
        <w:rPr>
          <w:rStyle w:val="FootnoteReference"/>
          <w:color w:val="000000"/>
        </w:rPr>
        <w:footnoteReference w:id="69"/>
      </w:r>
      <w:r w:rsidR="00012484" w:rsidRPr="00CB027F">
        <w:rPr>
          <w:color w:val="000000"/>
          <w:szCs w:val="24"/>
        </w:rPr>
        <w:t xml:space="preserve">. </w:t>
      </w:r>
      <w:r w:rsidR="00012484" w:rsidRPr="00CB027F">
        <w:rPr>
          <w:szCs w:val="24"/>
        </w:rPr>
        <w:t>“Os familiares das vítimas têm o direito, e os Estados a obrigação, a que o sucedido a estas seja efetivamente investigado pelas autoridades estatais; seja seguido um processo contra os prováveis responsáveis desses ilícitos e, se for o caso, lhes imponham as sanções pertinentes; e reparem os danos e prejuízos que esses familiares sofreram”, afirm</w:t>
      </w:r>
      <w:r w:rsidR="00063196" w:rsidRPr="00CB027F">
        <w:rPr>
          <w:szCs w:val="24"/>
        </w:rPr>
        <w:t>ou</w:t>
      </w:r>
      <w:r w:rsidR="00012484" w:rsidRPr="00CB027F">
        <w:rPr>
          <w:szCs w:val="24"/>
        </w:rPr>
        <w:t xml:space="preserve"> a CrIDH no caso Garibaldi vs. Brasil</w:t>
      </w:r>
      <w:r w:rsidR="00012484" w:rsidRPr="00CB027F">
        <w:rPr>
          <w:rStyle w:val="FootnoteReference"/>
          <w:szCs w:val="24"/>
        </w:rPr>
        <w:footnoteReference w:id="70"/>
      </w:r>
      <w:r w:rsidR="00012484" w:rsidRPr="00CB027F">
        <w:rPr>
          <w:szCs w:val="24"/>
        </w:rPr>
        <w:t xml:space="preserve"> e em outros</w:t>
      </w:r>
      <w:r w:rsidR="00012484" w:rsidRPr="00CB027F">
        <w:rPr>
          <w:rStyle w:val="FootnoteReference"/>
          <w:szCs w:val="24"/>
        </w:rPr>
        <w:footnoteReference w:id="71"/>
      </w:r>
      <w:r w:rsidR="00012484" w:rsidRPr="00CB027F">
        <w:rPr>
          <w:szCs w:val="24"/>
        </w:rPr>
        <w:t xml:space="preserve"> reiterando os diversos elementos do dever infringido por Cardenal.</w:t>
      </w:r>
    </w:p>
    <w:p w:rsidR="007E3328" w:rsidRPr="00CB027F" w:rsidRDefault="003D2ECD" w:rsidP="005A443D">
      <w:pPr>
        <w:jc w:val="both"/>
        <w:rPr>
          <w:color w:val="000000"/>
          <w:szCs w:val="24"/>
        </w:rPr>
      </w:pPr>
      <w:r w:rsidRPr="00CB027F">
        <w:rPr>
          <w:color w:val="000000"/>
          <w:szCs w:val="24"/>
        </w:rPr>
        <w:t>Assim como no caso de Bolt</w:t>
      </w:r>
      <w:r w:rsidR="007E3328" w:rsidRPr="00CB027F">
        <w:rPr>
          <w:color w:val="000000"/>
          <w:szCs w:val="24"/>
        </w:rPr>
        <w:t xml:space="preserve">, no entanto, em nenhum momento houve esclarecimentos precisos a respeito do que teria ocorrido com </w:t>
      </w:r>
      <w:r w:rsidRPr="00CB027F">
        <w:rPr>
          <w:color w:val="000000"/>
          <w:szCs w:val="24"/>
        </w:rPr>
        <w:t>Rossi</w:t>
      </w:r>
      <w:r w:rsidR="007E3328" w:rsidRPr="00CB027F">
        <w:rPr>
          <w:color w:val="000000"/>
          <w:szCs w:val="24"/>
        </w:rPr>
        <w:t>. O Estado não investigou de maneira exaustiva os fatos ou puniu os responsáveis</w:t>
      </w:r>
      <w:r w:rsidR="00063196" w:rsidRPr="00CB027F">
        <w:rPr>
          <w:rStyle w:val="FootnoteReference"/>
          <w:color w:val="000000"/>
          <w:szCs w:val="24"/>
        </w:rPr>
        <w:footnoteReference w:id="72"/>
      </w:r>
      <w:r w:rsidR="007E3328" w:rsidRPr="00CB027F">
        <w:rPr>
          <w:color w:val="000000"/>
          <w:szCs w:val="24"/>
        </w:rPr>
        <w:t xml:space="preserve">, tendo o Gal. Pires, </w:t>
      </w:r>
      <w:r w:rsidR="00803F12" w:rsidRPr="00CB027F">
        <w:rPr>
          <w:color w:val="000000"/>
          <w:szCs w:val="24"/>
        </w:rPr>
        <w:t>participante confesso das violações</w:t>
      </w:r>
      <w:r w:rsidR="007E3328" w:rsidRPr="00CB027F">
        <w:rPr>
          <w:color w:val="000000"/>
          <w:szCs w:val="24"/>
        </w:rPr>
        <w:t>, sido sentenciado meramente a serviços comunitários. Não houve o devido processo legal para es</w:t>
      </w:r>
      <w:r w:rsidR="008D6E0F" w:rsidRPr="00CB027F">
        <w:rPr>
          <w:color w:val="000000"/>
          <w:szCs w:val="24"/>
        </w:rPr>
        <w:t xml:space="preserve">clarecer </w:t>
      </w:r>
      <w:r w:rsidR="007E3328" w:rsidRPr="00CB027F">
        <w:rPr>
          <w:color w:val="000000"/>
          <w:szCs w:val="24"/>
        </w:rPr>
        <w:t>o ocorrido, identificar os responsáveis e pun</w:t>
      </w:r>
      <w:r w:rsidR="008D6E0F" w:rsidRPr="00CB027F">
        <w:rPr>
          <w:color w:val="000000"/>
          <w:szCs w:val="24"/>
        </w:rPr>
        <w:t>i</w:t>
      </w:r>
      <w:r w:rsidR="007E3328" w:rsidRPr="00CB027F">
        <w:rPr>
          <w:color w:val="000000"/>
          <w:szCs w:val="24"/>
        </w:rPr>
        <w:t xml:space="preserve">-los de maneira </w:t>
      </w:r>
      <w:r w:rsidRPr="00CB027F">
        <w:rPr>
          <w:color w:val="000000"/>
          <w:szCs w:val="24"/>
        </w:rPr>
        <w:t>proporcional à</w:t>
      </w:r>
      <w:r w:rsidR="00803F12" w:rsidRPr="00CB027F">
        <w:rPr>
          <w:color w:val="000000"/>
          <w:szCs w:val="24"/>
        </w:rPr>
        <w:t>s</w:t>
      </w:r>
      <w:r w:rsidRPr="00CB027F">
        <w:rPr>
          <w:color w:val="000000"/>
          <w:szCs w:val="24"/>
        </w:rPr>
        <w:t xml:space="preserve"> </w:t>
      </w:r>
      <w:r w:rsidR="007E3328" w:rsidRPr="00CB027F">
        <w:rPr>
          <w:color w:val="000000"/>
          <w:szCs w:val="24"/>
        </w:rPr>
        <w:t xml:space="preserve">suas </w:t>
      </w:r>
      <w:r w:rsidR="007E3328" w:rsidRPr="00CB027F">
        <w:rPr>
          <w:color w:val="000000"/>
          <w:szCs w:val="24"/>
        </w:rPr>
        <w:lastRenderedPageBreak/>
        <w:t xml:space="preserve">ações. </w:t>
      </w:r>
      <w:r w:rsidR="00F15370" w:rsidRPr="00CB027F">
        <w:rPr>
          <w:szCs w:val="24"/>
        </w:rPr>
        <w:t>Segundo o entendimento da CrIDH no caso Huilce Tecse</w:t>
      </w:r>
      <w:r w:rsidR="00E124D6" w:rsidRPr="00CB027F">
        <w:rPr>
          <w:szCs w:val="24"/>
        </w:rPr>
        <w:t xml:space="preserve"> vs. Perú</w:t>
      </w:r>
      <w:r w:rsidR="00F15370" w:rsidRPr="00CB027F">
        <w:rPr>
          <w:szCs w:val="24"/>
        </w:rPr>
        <w:t xml:space="preserve">  e do TEDH, no caso Gongadze v</w:t>
      </w:r>
      <w:r w:rsidR="00E124D6" w:rsidRPr="00CB027F">
        <w:rPr>
          <w:szCs w:val="24"/>
        </w:rPr>
        <w:t>s</w:t>
      </w:r>
      <w:r w:rsidR="00F15370" w:rsidRPr="00CB027F">
        <w:rPr>
          <w:szCs w:val="24"/>
        </w:rPr>
        <w:t>. Ucrânia, é dever do Estado “conduzir uma investigação oficial eficaz em casos de execuções extrajudiciais, ilegais, arbitrárias ou sumárias”</w:t>
      </w:r>
      <w:r w:rsidR="00F15370" w:rsidRPr="00CB027F">
        <w:rPr>
          <w:rStyle w:val="FootnoteReference"/>
          <w:szCs w:val="24"/>
        </w:rPr>
        <w:footnoteReference w:id="73"/>
      </w:r>
      <w:r w:rsidR="00F15370" w:rsidRPr="00CB027F">
        <w:rPr>
          <w:szCs w:val="24"/>
        </w:rPr>
        <w:t>, fato não observado no caso em voga.</w:t>
      </w:r>
    </w:p>
    <w:p w:rsidR="007E3328" w:rsidRPr="00CB027F" w:rsidRDefault="007E3328" w:rsidP="005A443D">
      <w:pPr>
        <w:jc w:val="both"/>
        <w:rPr>
          <w:szCs w:val="24"/>
        </w:rPr>
      </w:pPr>
      <w:r w:rsidRPr="00CB027F">
        <w:rPr>
          <w:color w:val="000000"/>
          <w:szCs w:val="24"/>
        </w:rPr>
        <w:t>Reforce-se que</w:t>
      </w:r>
      <w:r w:rsidRPr="00CB027F">
        <w:rPr>
          <w:szCs w:val="24"/>
        </w:rPr>
        <w:t xml:space="preserve"> investigar adequadamente não significa </w:t>
      </w:r>
      <w:r w:rsidR="003D2ECD" w:rsidRPr="00CB027F">
        <w:rPr>
          <w:szCs w:val="24"/>
        </w:rPr>
        <w:t xml:space="preserve">necessariamente </w:t>
      </w:r>
      <w:r w:rsidRPr="00CB027F">
        <w:rPr>
          <w:szCs w:val="24"/>
        </w:rPr>
        <w:t xml:space="preserve">encontrar e punir todos </w:t>
      </w:r>
      <w:r w:rsidR="003D2ECD" w:rsidRPr="00CB027F">
        <w:rPr>
          <w:szCs w:val="24"/>
        </w:rPr>
        <w:t xml:space="preserve">os envolvidos, </w:t>
      </w:r>
      <w:r w:rsidRPr="00CB027F">
        <w:rPr>
          <w:szCs w:val="24"/>
        </w:rPr>
        <w:t xml:space="preserve">mas </w:t>
      </w:r>
      <w:r w:rsidR="003D2ECD" w:rsidRPr="00CB027F">
        <w:rPr>
          <w:szCs w:val="24"/>
        </w:rPr>
        <w:t xml:space="preserve">adotar </w:t>
      </w:r>
      <w:r w:rsidRPr="00CB027F">
        <w:rPr>
          <w:szCs w:val="24"/>
        </w:rPr>
        <w:t>esforços minimamente concretos</w:t>
      </w:r>
      <w:r w:rsidR="00803F12" w:rsidRPr="00CB027F">
        <w:rPr>
          <w:rStyle w:val="FootnoteReference"/>
          <w:szCs w:val="24"/>
        </w:rPr>
        <w:footnoteReference w:id="74"/>
      </w:r>
      <w:r w:rsidRPr="00CB027F">
        <w:rPr>
          <w:szCs w:val="24"/>
        </w:rPr>
        <w:t xml:space="preserve"> nesse sentido</w:t>
      </w:r>
      <w:r w:rsidR="00803F12" w:rsidRPr="00CB027F">
        <w:rPr>
          <w:szCs w:val="24"/>
        </w:rPr>
        <w:t>, especialmente quando há o envolvimento de agentes estatais</w:t>
      </w:r>
      <w:r w:rsidR="00DA77ED" w:rsidRPr="00CB027F">
        <w:rPr>
          <w:rStyle w:val="FootnoteReference"/>
          <w:szCs w:val="24"/>
        </w:rPr>
        <w:footnoteReference w:id="75"/>
      </w:r>
      <w:r w:rsidR="00803F12" w:rsidRPr="00CB027F">
        <w:rPr>
          <w:szCs w:val="24"/>
        </w:rPr>
        <w:t>.</w:t>
      </w:r>
      <w:r w:rsidRPr="00CB027F">
        <w:rPr>
          <w:szCs w:val="24"/>
        </w:rPr>
        <w:t xml:space="preserve"> As obrigações de investiga</w:t>
      </w:r>
      <w:r w:rsidR="003D2ECD" w:rsidRPr="00CB027F">
        <w:rPr>
          <w:szCs w:val="24"/>
        </w:rPr>
        <w:t xml:space="preserve">r, esclarecer o ocorrido e punir de forma proporcional os responsáveis, </w:t>
      </w:r>
      <w:r w:rsidRPr="00CB027F">
        <w:rPr>
          <w:szCs w:val="24"/>
        </w:rPr>
        <w:t>inclusive</w:t>
      </w:r>
      <w:r w:rsidR="003D2ECD" w:rsidRPr="00CB027F">
        <w:rPr>
          <w:szCs w:val="24"/>
        </w:rPr>
        <w:t xml:space="preserve"> com o objetivo de </w:t>
      </w:r>
      <w:r w:rsidRPr="00CB027F">
        <w:rPr>
          <w:szCs w:val="24"/>
        </w:rPr>
        <w:t>evitar o incentivo de violações semelhantes</w:t>
      </w:r>
      <w:r w:rsidR="003D2ECD" w:rsidRPr="00CB027F">
        <w:rPr>
          <w:szCs w:val="24"/>
        </w:rPr>
        <w:t xml:space="preserve"> no futuro</w:t>
      </w:r>
      <w:r w:rsidR="00F2770E" w:rsidRPr="00CB027F">
        <w:rPr>
          <w:szCs w:val="24"/>
        </w:rPr>
        <w:t>, reiteradamente reforçadas por esta Corte,</w:t>
      </w:r>
      <w:r w:rsidRPr="00CB027F">
        <w:rPr>
          <w:rStyle w:val="FootnoteReference"/>
          <w:color w:val="000000"/>
        </w:rPr>
        <w:footnoteReference w:id="76"/>
      </w:r>
      <w:r w:rsidRPr="00CB027F">
        <w:rPr>
          <w:szCs w:val="24"/>
        </w:rPr>
        <w:t xml:space="preserve"> não foram, aqui cumpridas por Cardenal.</w:t>
      </w:r>
    </w:p>
    <w:p w:rsidR="007E3328" w:rsidRPr="00CB027F" w:rsidRDefault="005A443D" w:rsidP="005A443D">
      <w:pPr>
        <w:pStyle w:val="Heading3"/>
        <w:rPr>
          <w:rFonts w:ascii="Times New Roman" w:hAnsi="Times New Roman"/>
        </w:rPr>
      </w:pPr>
      <w:bookmarkStart w:id="18" w:name="_Toc414890817"/>
      <w:r>
        <w:rPr>
          <w:rFonts w:ascii="Times New Roman" w:hAnsi="Times New Roman"/>
        </w:rPr>
        <w:t>2.2.3</w:t>
      </w:r>
      <w:r w:rsidR="005E4E2E" w:rsidRPr="00CB027F">
        <w:rPr>
          <w:rFonts w:ascii="Times New Roman" w:hAnsi="Times New Roman"/>
        </w:rPr>
        <w:t xml:space="preserve"> </w:t>
      </w:r>
      <w:r w:rsidR="007E3328" w:rsidRPr="00CB027F">
        <w:rPr>
          <w:rFonts w:ascii="Times New Roman" w:hAnsi="Times New Roman"/>
        </w:rPr>
        <w:t xml:space="preserve">Caso </w:t>
      </w:r>
      <w:r w:rsidR="00DA77ED" w:rsidRPr="00CB027F">
        <w:rPr>
          <w:rFonts w:ascii="Times New Roman" w:hAnsi="Times New Roman"/>
        </w:rPr>
        <w:t>Aníbal</w:t>
      </w:r>
      <w:r w:rsidR="007E3328" w:rsidRPr="00CB027F">
        <w:rPr>
          <w:rFonts w:ascii="Times New Roman" w:hAnsi="Times New Roman"/>
        </w:rPr>
        <w:t xml:space="preserve"> L</w:t>
      </w:r>
      <w:r w:rsidR="00DA77ED" w:rsidRPr="00CB027F">
        <w:rPr>
          <w:rFonts w:ascii="Times New Roman" w:hAnsi="Times New Roman"/>
        </w:rPr>
        <w:t>ó</w:t>
      </w:r>
      <w:r w:rsidR="007E3328" w:rsidRPr="00CB027F">
        <w:rPr>
          <w:rFonts w:ascii="Times New Roman" w:hAnsi="Times New Roman"/>
        </w:rPr>
        <w:t>pez vs. República Cardenal</w:t>
      </w:r>
      <w:bookmarkEnd w:id="18"/>
      <w:r w:rsidR="007E3328" w:rsidRPr="00CB027F">
        <w:rPr>
          <w:rFonts w:ascii="Times New Roman" w:hAnsi="Times New Roman"/>
        </w:rPr>
        <w:t xml:space="preserve"> </w:t>
      </w:r>
    </w:p>
    <w:p w:rsidR="007E3328" w:rsidRPr="00CB027F" w:rsidRDefault="007E3328" w:rsidP="00012EB0">
      <w:pPr>
        <w:jc w:val="both"/>
        <w:rPr>
          <w:color w:val="141823"/>
          <w:szCs w:val="24"/>
          <w:shd w:val="clear" w:color="auto" w:fill="FFFFFF"/>
        </w:rPr>
      </w:pPr>
      <w:r w:rsidRPr="00CB027F">
        <w:rPr>
          <w:color w:val="141823"/>
          <w:szCs w:val="24"/>
          <w:shd w:val="clear" w:color="auto" w:fill="FFFFFF"/>
        </w:rPr>
        <w:t>Aníbal López foi uma das crianças encontradas mortas no cativeiro do Sequestro</w:t>
      </w:r>
      <w:r w:rsidR="00F2770E" w:rsidRPr="00CB027F">
        <w:rPr>
          <w:color w:val="141823"/>
          <w:szCs w:val="24"/>
          <w:shd w:val="clear" w:color="auto" w:fill="FFFFFF"/>
        </w:rPr>
        <w:t xml:space="preserve"> dos Anjinhos</w:t>
      </w:r>
      <w:r w:rsidRPr="00CB027F">
        <w:rPr>
          <w:color w:val="141823"/>
          <w:szCs w:val="24"/>
          <w:shd w:val="clear" w:color="auto" w:fill="FFFFFF"/>
        </w:rPr>
        <w:t xml:space="preserve">. Como já ressaltado, tratou-se de episódio em que as forças públicas de Cardenal receberam ordens de tomar quaisquer providências necessárias a fim de descobrir o paradeiro das crianças. </w:t>
      </w:r>
    </w:p>
    <w:p w:rsidR="007E3328" w:rsidRPr="00CB027F" w:rsidRDefault="007E3328" w:rsidP="00012EB0">
      <w:pPr>
        <w:jc w:val="both"/>
        <w:rPr>
          <w:color w:val="141823"/>
          <w:szCs w:val="24"/>
          <w:shd w:val="clear" w:color="auto" w:fill="FFFFFF"/>
        </w:rPr>
      </w:pPr>
      <w:r w:rsidRPr="00CB027F">
        <w:rPr>
          <w:color w:val="141823"/>
          <w:szCs w:val="24"/>
          <w:shd w:val="clear" w:color="auto" w:fill="FFFFFF"/>
        </w:rPr>
        <w:t xml:space="preserve">Como consequência, as ações dos agentes do estado contra o MRLB extrapolaram em larga medida o limite de razoabilidade </w:t>
      </w:r>
      <w:r w:rsidR="003D2ECD" w:rsidRPr="00CB027F">
        <w:rPr>
          <w:color w:val="141823"/>
          <w:szCs w:val="24"/>
          <w:shd w:val="clear" w:color="auto" w:fill="FFFFFF"/>
        </w:rPr>
        <w:t>de</w:t>
      </w:r>
      <w:r w:rsidRPr="00CB027F">
        <w:rPr>
          <w:color w:val="141823"/>
          <w:szCs w:val="24"/>
          <w:shd w:val="clear" w:color="auto" w:fill="FFFFFF"/>
        </w:rPr>
        <w:t xml:space="preserve"> operação policial.</w:t>
      </w:r>
      <w:r w:rsidR="00DA77ED" w:rsidRPr="00CB027F">
        <w:rPr>
          <w:color w:val="141823"/>
          <w:szCs w:val="24"/>
          <w:shd w:val="clear" w:color="auto" w:fill="FFFFFF"/>
        </w:rPr>
        <w:t xml:space="preserve"> </w:t>
      </w:r>
      <w:r w:rsidRPr="00CB027F">
        <w:rPr>
          <w:color w:val="141823"/>
          <w:szCs w:val="24"/>
          <w:shd w:val="clear" w:color="auto" w:fill="FFFFFF"/>
        </w:rPr>
        <w:t>A chegada das forças policiais ao paradeiro das vítimas culminou na explosão de granadas e em um enfrentamento da força policial com os sequestradores, resulta</w:t>
      </w:r>
      <w:r w:rsidR="003D2ECD" w:rsidRPr="00CB027F">
        <w:rPr>
          <w:color w:val="141823"/>
          <w:szCs w:val="24"/>
          <w:shd w:val="clear" w:color="auto" w:fill="FFFFFF"/>
        </w:rPr>
        <w:t>n</w:t>
      </w:r>
      <w:r w:rsidRPr="00CB027F">
        <w:rPr>
          <w:color w:val="141823"/>
          <w:szCs w:val="24"/>
          <w:shd w:val="clear" w:color="auto" w:fill="FFFFFF"/>
        </w:rPr>
        <w:t xml:space="preserve">do </w:t>
      </w:r>
      <w:r w:rsidR="003D2ECD" w:rsidRPr="00CB027F">
        <w:rPr>
          <w:color w:val="141823"/>
          <w:szCs w:val="24"/>
          <w:shd w:val="clear" w:color="auto" w:fill="FFFFFF"/>
        </w:rPr>
        <w:t xml:space="preserve">em mortes, como a de </w:t>
      </w:r>
      <w:r w:rsidRPr="00CB027F">
        <w:rPr>
          <w:color w:val="141823"/>
          <w:szCs w:val="24"/>
          <w:shd w:val="clear" w:color="auto" w:fill="FFFFFF"/>
        </w:rPr>
        <w:t xml:space="preserve">Aníbal. </w:t>
      </w:r>
    </w:p>
    <w:p w:rsidR="007E3328" w:rsidRPr="00CB027F" w:rsidRDefault="007E3328" w:rsidP="00012EB0">
      <w:pPr>
        <w:jc w:val="both"/>
        <w:rPr>
          <w:szCs w:val="24"/>
        </w:rPr>
      </w:pPr>
      <w:r w:rsidRPr="00CB027F">
        <w:rPr>
          <w:szCs w:val="24"/>
        </w:rPr>
        <w:lastRenderedPageBreak/>
        <w:t>Não obstante, não houve investigação detalhada ou punição satisfatória dos responsáveis pelos assassinatos. Embora a Comissão da Verdade tenha analisado o caso e Mukundi tenha confessado a responsabilidade pelo sequestro, não houve investigação detalhada ou punição efetiva pelo Estado. Mukundi foi apenas condenado a uma pena de trabalho comunitário, tendo passado poucos anos em reclusão at</w:t>
      </w:r>
      <w:r w:rsidR="003D2ECD" w:rsidRPr="00CB027F">
        <w:rPr>
          <w:szCs w:val="24"/>
        </w:rPr>
        <w:t>é</w:t>
      </w:r>
      <w:r w:rsidRPr="00CB027F">
        <w:rPr>
          <w:szCs w:val="24"/>
        </w:rPr>
        <w:t xml:space="preserve"> seu julgamento</w:t>
      </w:r>
      <w:r w:rsidR="005B5DB4" w:rsidRPr="00CB027F">
        <w:rPr>
          <w:szCs w:val="24"/>
        </w:rPr>
        <w:t>, e n</w:t>
      </w:r>
      <w:r w:rsidRPr="00CB027F">
        <w:rPr>
          <w:szCs w:val="24"/>
        </w:rPr>
        <w:t>ão houve</w:t>
      </w:r>
      <w:r w:rsidR="005B5DB4" w:rsidRPr="00CB027F">
        <w:rPr>
          <w:szCs w:val="24"/>
        </w:rPr>
        <w:t xml:space="preserve"> maiores  </w:t>
      </w:r>
      <w:r w:rsidRPr="00CB027F">
        <w:rPr>
          <w:szCs w:val="24"/>
        </w:rPr>
        <w:t xml:space="preserve"> investigaç</w:t>
      </w:r>
      <w:r w:rsidR="005B5DB4" w:rsidRPr="00CB027F">
        <w:rPr>
          <w:szCs w:val="24"/>
        </w:rPr>
        <w:t xml:space="preserve">ões </w:t>
      </w:r>
      <w:r w:rsidRPr="00CB027F">
        <w:rPr>
          <w:szCs w:val="24"/>
        </w:rPr>
        <w:t>sobre como se deu o sequestro</w:t>
      </w:r>
      <w:r w:rsidR="003D2ECD" w:rsidRPr="00CB027F">
        <w:rPr>
          <w:szCs w:val="24"/>
        </w:rPr>
        <w:t xml:space="preserve"> e a tentativa de resgate </w:t>
      </w:r>
      <w:r w:rsidRPr="00CB027F">
        <w:rPr>
          <w:szCs w:val="24"/>
        </w:rPr>
        <w:t>que ocasionara</w:t>
      </w:r>
      <w:r w:rsidR="003D2ECD" w:rsidRPr="00CB027F">
        <w:rPr>
          <w:szCs w:val="24"/>
        </w:rPr>
        <w:t>m</w:t>
      </w:r>
      <w:r w:rsidRPr="00CB027F">
        <w:rPr>
          <w:szCs w:val="24"/>
        </w:rPr>
        <w:t xml:space="preserve"> a morte de An</w:t>
      </w:r>
      <w:r w:rsidR="00DA77ED" w:rsidRPr="00CB027F">
        <w:rPr>
          <w:szCs w:val="24"/>
        </w:rPr>
        <w:t>í</w:t>
      </w:r>
      <w:r w:rsidRPr="00CB027F">
        <w:rPr>
          <w:szCs w:val="24"/>
        </w:rPr>
        <w:t>bal.</w:t>
      </w:r>
    </w:p>
    <w:p w:rsidR="007E3328" w:rsidRPr="00CB027F" w:rsidRDefault="007E3328" w:rsidP="00012EB0">
      <w:pPr>
        <w:jc w:val="both"/>
        <w:rPr>
          <w:szCs w:val="24"/>
        </w:rPr>
      </w:pPr>
      <w:r w:rsidRPr="00CB027F">
        <w:rPr>
          <w:szCs w:val="24"/>
        </w:rPr>
        <w:t>Diante de tais acontecimentos</w:t>
      </w:r>
      <w:r w:rsidR="0060207C" w:rsidRPr="00CB027F">
        <w:rPr>
          <w:szCs w:val="24"/>
        </w:rPr>
        <w:t>,</w:t>
      </w:r>
      <w:r w:rsidRPr="00CB027F">
        <w:rPr>
          <w:szCs w:val="24"/>
        </w:rPr>
        <w:t xml:space="preserve"> Lupita López procurou o SIDH alegando a violação dos artigos 4º, 8º e 25, todos relacionados ao artigo 1.1 da CADH, em prejuízo</w:t>
      </w:r>
      <w:r w:rsidR="0060207C" w:rsidRPr="00CB027F">
        <w:rPr>
          <w:szCs w:val="24"/>
        </w:rPr>
        <w:t xml:space="preserve"> próprio e</w:t>
      </w:r>
      <w:r w:rsidRPr="00CB027F">
        <w:rPr>
          <w:szCs w:val="24"/>
        </w:rPr>
        <w:t xml:space="preserve"> de seu filho. </w:t>
      </w:r>
    </w:p>
    <w:p w:rsidR="007E3328" w:rsidRPr="00CB027F" w:rsidRDefault="007E3328" w:rsidP="00012EB0">
      <w:pPr>
        <w:jc w:val="both"/>
        <w:rPr>
          <w:b/>
          <w:color w:val="000000"/>
          <w:szCs w:val="24"/>
        </w:rPr>
      </w:pPr>
      <w:r w:rsidRPr="00CB027F">
        <w:rPr>
          <w:b/>
          <w:color w:val="000000"/>
          <w:szCs w:val="24"/>
        </w:rPr>
        <w:t>Artigo 4º - Direito à vida</w:t>
      </w:r>
    </w:p>
    <w:p w:rsidR="007E3328" w:rsidRPr="00CB027F" w:rsidRDefault="007E3328" w:rsidP="00012EB0">
      <w:pPr>
        <w:jc w:val="both"/>
        <w:rPr>
          <w:color w:val="000000"/>
          <w:szCs w:val="24"/>
        </w:rPr>
      </w:pPr>
      <w:r w:rsidRPr="00CB027F">
        <w:rPr>
          <w:color w:val="000000"/>
          <w:szCs w:val="24"/>
        </w:rPr>
        <w:t>O direito à vida, consagrado no artigo 4º da CADH, é um direito fundamental, devendo ser tutelado em maior grau e atenção, uma vez que sem ele os demais direitos perdem a razão de serem protegidos</w:t>
      </w:r>
      <w:r w:rsidR="002F33D2" w:rsidRPr="00CB027F">
        <w:rPr>
          <w:rStyle w:val="FootnoteReference"/>
          <w:color w:val="000000"/>
          <w:szCs w:val="24"/>
        </w:rPr>
        <w:footnoteReference w:id="77"/>
      </w:r>
      <w:r w:rsidRPr="00CB027F">
        <w:rPr>
          <w:color w:val="000000"/>
          <w:szCs w:val="24"/>
        </w:rPr>
        <w:t>. A esse respeito, a jurisprudência da CrIDH é incisiva, conforme demonstrado</w:t>
      </w:r>
      <w:r w:rsidRPr="00CB027F">
        <w:rPr>
          <w:szCs w:val="24"/>
        </w:rPr>
        <w:t xml:space="preserve"> no caso Herrera Ulloa vs. Costa Rica, no sentido de que todo Estado é internacionalmente responsável por toda e qualquer ação ou omissão de qualquer um de seus poderes ou órgãos em violação dos direitos internacionalmente consagrados</w:t>
      </w:r>
      <w:r w:rsidRPr="00CB027F">
        <w:rPr>
          <w:rStyle w:val="FootnoteReference"/>
          <w:szCs w:val="24"/>
        </w:rPr>
        <w:footnoteReference w:id="78"/>
      </w:r>
      <w:r w:rsidRPr="00CB027F">
        <w:rPr>
          <w:szCs w:val="24"/>
        </w:rPr>
        <w:t>, sendo este um princípio básico do direito referente à responsabilidade internacional do Estado, amparado pelo Direito Internacional dos Direitos Humanos.</w:t>
      </w:r>
    </w:p>
    <w:p w:rsidR="007E3328" w:rsidRPr="00CB027F" w:rsidRDefault="007E3328" w:rsidP="00012EB0">
      <w:pPr>
        <w:jc w:val="both"/>
        <w:rPr>
          <w:szCs w:val="24"/>
        </w:rPr>
      </w:pPr>
      <w:r w:rsidRPr="00CB027F">
        <w:rPr>
          <w:szCs w:val="24"/>
        </w:rPr>
        <w:t xml:space="preserve">No caso de Aníbal López, o Estado Cardenal não foi capaz de cumprir este dever. A força policial foi omissa, no momento em que não agiu da maneira que possibilitasse o retorno de </w:t>
      </w:r>
      <w:r w:rsidRPr="00CB027F">
        <w:rPr>
          <w:szCs w:val="24"/>
        </w:rPr>
        <w:lastRenderedPageBreak/>
        <w:t>Aníbal com vida para sua família. Além de violar o artigo 4º através de sua omissão, o Estado o fez também por ação inepta na operação policial no dia da descoberta do paradeiro das crianças</w:t>
      </w:r>
      <w:r w:rsidR="005B5DB4" w:rsidRPr="00CB027F">
        <w:rPr>
          <w:szCs w:val="24"/>
        </w:rPr>
        <w:t>.</w:t>
      </w:r>
    </w:p>
    <w:p w:rsidR="003066D4" w:rsidRPr="00CB027F" w:rsidRDefault="009D4D62" w:rsidP="00012EB0">
      <w:pPr>
        <w:jc w:val="both"/>
        <w:rPr>
          <w:szCs w:val="24"/>
        </w:rPr>
      </w:pPr>
      <w:r w:rsidRPr="00CB027F">
        <w:rPr>
          <w:szCs w:val="24"/>
        </w:rPr>
        <w:t xml:space="preserve">Tal violação é particularmente grave uma vez que esta Corte, no caso </w:t>
      </w:r>
      <w:r w:rsidR="003066D4" w:rsidRPr="00CB027F">
        <w:rPr>
          <w:szCs w:val="24"/>
        </w:rPr>
        <w:t xml:space="preserve">Meninos de Rua Vs. Guatemala, </w:t>
      </w:r>
      <w:r w:rsidR="005B5DB4" w:rsidRPr="00CB027F">
        <w:rPr>
          <w:szCs w:val="24"/>
        </w:rPr>
        <w:t xml:space="preserve">ressaltou </w:t>
      </w:r>
      <w:r w:rsidRPr="00CB027F">
        <w:rPr>
          <w:szCs w:val="24"/>
        </w:rPr>
        <w:t>que a obrigação de proteger o direito à vida “</w:t>
      </w:r>
      <w:r w:rsidR="003066D4" w:rsidRPr="00CB027F">
        <w:rPr>
          <w:szCs w:val="24"/>
        </w:rPr>
        <w:t>tem modalidades especiais no caso dos menores de idade, considerando-se as regras relativas à proteção das crianças estabelecidas na Convenção Americana e na Convenção sobre os Direitos das Crianças”</w:t>
      </w:r>
      <w:r w:rsidR="003066D4" w:rsidRPr="00CB027F">
        <w:rPr>
          <w:rStyle w:val="FootnoteReference"/>
          <w:szCs w:val="24"/>
        </w:rPr>
        <w:footnoteReference w:id="79"/>
      </w:r>
      <w:r w:rsidR="003066D4" w:rsidRPr="00CB027F">
        <w:rPr>
          <w:szCs w:val="24"/>
        </w:rPr>
        <w:t xml:space="preserve"> e completou afirmando que “a condição que o Estado tem de garantidor com relação a este direito o obriga a prevenir situações que possam conduzir, por ação ou omissão, à afetação daquele”</w:t>
      </w:r>
      <w:r w:rsidR="00CE15E9" w:rsidRPr="00CB027F">
        <w:rPr>
          <w:rStyle w:val="FootnoteReference"/>
          <w:szCs w:val="24"/>
        </w:rPr>
        <w:footnoteReference w:id="80"/>
      </w:r>
      <w:r w:rsidR="003066D4" w:rsidRPr="00CB027F">
        <w:rPr>
          <w:szCs w:val="24"/>
        </w:rPr>
        <w:t>.</w:t>
      </w:r>
    </w:p>
    <w:p w:rsidR="007E3328" w:rsidRPr="00CB027F" w:rsidRDefault="007E3328" w:rsidP="00012EB0">
      <w:pPr>
        <w:jc w:val="both"/>
        <w:rPr>
          <w:szCs w:val="24"/>
        </w:rPr>
      </w:pPr>
      <w:r w:rsidRPr="00CB027F">
        <w:rPr>
          <w:szCs w:val="24"/>
        </w:rPr>
        <w:t>Aníbal foi privado de seu direito à vida por conta das terríveis consequências da atitude irresponsável do comando antisse</w:t>
      </w:r>
      <w:r w:rsidR="00F36E41" w:rsidRPr="00CB027F">
        <w:rPr>
          <w:szCs w:val="24"/>
        </w:rPr>
        <w:t>questro. Dessa forma, não resta qualquer dúvida de</w:t>
      </w:r>
      <w:r w:rsidRPr="00CB027F">
        <w:rPr>
          <w:szCs w:val="24"/>
        </w:rPr>
        <w:t xml:space="preserve"> que o Estado</w:t>
      </w:r>
      <w:r w:rsidR="00F36E41" w:rsidRPr="00CB027F">
        <w:rPr>
          <w:szCs w:val="24"/>
        </w:rPr>
        <w:t xml:space="preserve"> de Cardenal</w:t>
      </w:r>
      <w:r w:rsidRPr="00CB027F">
        <w:rPr>
          <w:szCs w:val="24"/>
        </w:rPr>
        <w:t xml:space="preserve"> é responsável pela violação do artigo 4º da CADH, em relação ao</w:t>
      </w:r>
      <w:r w:rsidR="00845397" w:rsidRPr="00CB027F">
        <w:rPr>
          <w:szCs w:val="24"/>
        </w:rPr>
        <w:t>s</w:t>
      </w:r>
      <w:r w:rsidRPr="00CB027F">
        <w:rPr>
          <w:szCs w:val="24"/>
        </w:rPr>
        <w:t xml:space="preserve"> seu</w:t>
      </w:r>
      <w:r w:rsidR="003B373B" w:rsidRPr="00CB027F">
        <w:rPr>
          <w:szCs w:val="24"/>
        </w:rPr>
        <w:t>s</w:t>
      </w:r>
      <w:r w:rsidRPr="00CB027F">
        <w:rPr>
          <w:szCs w:val="24"/>
        </w:rPr>
        <w:t xml:space="preserve"> artigo</w:t>
      </w:r>
      <w:r w:rsidR="003B373B" w:rsidRPr="00CB027F">
        <w:rPr>
          <w:szCs w:val="24"/>
        </w:rPr>
        <w:t>s</w:t>
      </w:r>
      <w:r w:rsidRPr="00CB027F">
        <w:rPr>
          <w:szCs w:val="24"/>
        </w:rPr>
        <w:t xml:space="preserve"> 1.1</w:t>
      </w:r>
      <w:r w:rsidR="003B373B" w:rsidRPr="00CB027F">
        <w:rPr>
          <w:szCs w:val="24"/>
        </w:rPr>
        <w:t xml:space="preserve"> e 2</w:t>
      </w:r>
      <w:r w:rsidR="00D975D7" w:rsidRPr="00CB027F">
        <w:rPr>
          <w:szCs w:val="24"/>
        </w:rPr>
        <w:t xml:space="preserve"> do mesmo documento</w:t>
      </w:r>
      <w:r w:rsidRPr="00CB027F">
        <w:rPr>
          <w:szCs w:val="24"/>
        </w:rPr>
        <w:t xml:space="preserve">. </w:t>
      </w:r>
    </w:p>
    <w:p w:rsidR="007E3328" w:rsidRPr="00CB027F" w:rsidRDefault="007E3328" w:rsidP="00012EB0">
      <w:pPr>
        <w:jc w:val="both"/>
        <w:rPr>
          <w:b/>
          <w:szCs w:val="24"/>
        </w:rPr>
      </w:pPr>
      <w:r w:rsidRPr="00CB027F">
        <w:rPr>
          <w:b/>
          <w:szCs w:val="24"/>
        </w:rPr>
        <w:t>Artigo 8º - Garantias Judiciais e Artigo 25 – Proteção Judicial</w:t>
      </w:r>
    </w:p>
    <w:p w:rsidR="007E3328" w:rsidRPr="00CB027F" w:rsidRDefault="007E3328" w:rsidP="007E3328">
      <w:pPr>
        <w:jc w:val="both"/>
        <w:rPr>
          <w:szCs w:val="24"/>
        </w:rPr>
      </w:pPr>
      <w:r w:rsidRPr="00CB027F">
        <w:rPr>
          <w:szCs w:val="24"/>
        </w:rPr>
        <w:t>Conforme já tratado nos casos Bolt e Rossi, o artigo 8º da CADH dispõe sobre as garantias judiciais inerentes a todo cidadão submetido à jurisdição de um Estado-parte, enquanto o artigo 25 trata d</w:t>
      </w:r>
      <w:r w:rsidR="00845397" w:rsidRPr="00CB027F">
        <w:rPr>
          <w:szCs w:val="24"/>
        </w:rPr>
        <w:t>os recursos</w:t>
      </w:r>
      <w:r w:rsidR="002F33D2" w:rsidRPr="00CB027F">
        <w:rPr>
          <w:szCs w:val="24"/>
        </w:rPr>
        <w:t xml:space="preserve"> </w:t>
      </w:r>
      <w:r w:rsidRPr="00CB027F">
        <w:rPr>
          <w:szCs w:val="24"/>
        </w:rPr>
        <w:t>efetivos</w:t>
      </w:r>
      <w:r w:rsidR="00845397" w:rsidRPr="00CB027F">
        <w:rPr>
          <w:szCs w:val="24"/>
        </w:rPr>
        <w:t>, não apenas formalmente,</w:t>
      </w:r>
      <w:r w:rsidR="002F33D2" w:rsidRPr="00CB027F">
        <w:rPr>
          <w:rStyle w:val="FootnoteReference"/>
          <w:szCs w:val="24"/>
        </w:rPr>
        <w:footnoteReference w:id="81"/>
      </w:r>
      <w:r w:rsidRPr="00CB027F">
        <w:rPr>
          <w:szCs w:val="24"/>
        </w:rPr>
        <w:t xml:space="preserve"> que o Estado deve possibilitar às vítimas. </w:t>
      </w:r>
      <w:r w:rsidR="00845397" w:rsidRPr="00CB027F">
        <w:rPr>
          <w:szCs w:val="24"/>
        </w:rPr>
        <w:t>Dos</w:t>
      </w:r>
      <w:r w:rsidRPr="00CB027F">
        <w:rPr>
          <w:szCs w:val="24"/>
        </w:rPr>
        <w:t xml:space="preserve"> dois artigos </w:t>
      </w:r>
      <w:r w:rsidRPr="00CB027F">
        <w:rPr>
          <w:color w:val="000000"/>
          <w:szCs w:val="24"/>
        </w:rPr>
        <w:t>se depreende a obrigação estatal de uma investigação detalhada, com esclarecimento d</w:t>
      </w:r>
      <w:r w:rsidR="00845397" w:rsidRPr="00CB027F">
        <w:rPr>
          <w:color w:val="000000"/>
          <w:szCs w:val="24"/>
        </w:rPr>
        <w:t>o ocorrido e reparações</w:t>
      </w:r>
      <w:r w:rsidRPr="00CB027F">
        <w:rPr>
          <w:color w:val="000000"/>
          <w:szCs w:val="24"/>
        </w:rPr>
        <w:t xml:space="preserve"> proporcionais</w:t>
      </w:r>
      <w:r w:rsidRPr="00CB027F">
        <w:rPr>
          <w:rStyle w:val="FootnoteReference"/>
          <w:color w:val="000000"/>
        </w:rPr>
        <w:footnoteReference w:id="82"/>
      </w:r>
      <w:r w:rsidRPr="00CB027F">
        <w:rPr>
          <w:color w:val="000000"/>
          <w:szCs w:val="24"/>
        </w:rPr>
        <w:t xml:space="preserve"> o que, assim como nos casos de Bolt e </w:t>
      </w:r>
      <w:r w:rsidRPr="00CB027F">
        <w:rPr>
          <w:color w:val="000000"/>
          <w:szCs w:val="24"/>
        </w:rPr>
        <w:lastRenderedPageBreak/>
        <w:t>Rossi, não ocorreu</w:t>
      </w:r>
      <w:r w:rsidR="002F33D2" w:rsidRPr="00CB027F">
        <w:rPr>
          <w:color w:val="000000"/>
          <w:szCs w:val="24"/>
        </w:rPr>
        <w:t xml:space="preserve"> no caso de Aníbal</w:t>
      </w:r>
      <w:r w:rsidRPr="00CB027F">
        <w:rPr>
          <w:color w:val="000000"/>
          <w:szCs w:val="24"/>
        </w:rPr>
        <w:t>, acarretando violação dos artigos 8</w:t>
      </w:r>
      <w:r w:rsidR="00845397" w:rsidRPr="00CB027F">
        <w:rPr>
          <w:color w:val="000000"/>
          <w:szCs w:val="24"/>
        </w:rPr>
        <w:t>º e 25 em seu detrimento</w:t>
      </w:r>
      <w:r w:rsidRPr="00CB027F">
        <w:rPr>
          <w:color w:val="000000"/>
          <w:szCs w:val="24"/>
        </w:rPr>
        <w:t xml:space="preserve"> e de sua mãe.</w:t>
      </w:r>
    </w:p>
    <w:p w:rsidR="007E3328" w:rsidRPr="00CB027F" w:rsidRDefault="007E3328" w:rsidP="00012EB0">
      <w:pPr>
        <w:jc w:val="both"/>
        <w:rPr>
          <w:szCs w:val="24"/>
        </w:rPr>
      </w:pPr>
      <w:r w:rsidRPr="00CB027F">
        <w:rPr>
          <w:szCs w:val="24"/>
        </w:rPr>
        <w:t xml:space="preserve">Ao não investigar devidamente os responsáveis pelo sequestro, </w:t>
      </w:r>
      <w:r w:rsidR="00845397" w:rsidRPr="00CB027F">
        <w:rPr>
          <w:szCs w:val="24"/>
        </w:rPr>
        <w:t>acaba</w:t>
      </w:r>
      <w:r w:rsidRPr="00CB027F">
        <w:rPr>
          <w:szCs w:val="24"/>
        </w:rPr>
        <w:t xml:space="preserve"> violado o direito </w:t>
      </w:r>
      <w:r w:rsidR="002F33D2" w:rsidRPr="00CB027F">
        <w:rPr>
          <w:szCs w:val="24"/>
        </w:rPr>
        <w:t xml:space="preserve">das vítimas </w:t>
      </w:r>
      <w:r w:rsidRPr="00CB027F">
        <w:rPr>
          <w:szCs w:val="24"/>
        </w:rPr>
        <w:t xml:space="preserve">de obter do Estado uma resposta satisfatória e esclarecedora quanto aos crimes. </w:t>
      </w:r>
      <w:r w:rsidR="00845397" w:rsidRPr="00CB027F">
        <w:rPr>
          <w:szCs w:val="24"/>
        </w:rPr>
        <w:t>Como já exposto</w:t>
      </w:r>
      <w:r w:rsidRPr="00CB027F">
        <w:rPr>
          <w:szCs w:val="24"/>
        </w:rPr>
        <w:t>, um dos principais objetivos do artigo 8º é</w:t>
      </w:r>
      <w:r w:rsidR="002F33D2" w:rsidRPr="00CB027F">
        <w:rPr>
          <w:szCs w:val="24"/>
        </w:rPr>
        <w:t xml:space="preserve"> exatamente</w:t>
      </w:r>
      <w:r w:rsidRPr="00CB027F">
        <w:rPr>
          <w:szCs w:val="24"/>
        </w:rPr>
        <w:t xml:space="preserve"> garantir que, em caso de crimes</w:t>
      </w:r>
      <w:r w:rsidR="002F33D2" w:rsidRPr="00CB027F">
        <w:rPr>
          <w:szCs w:val="24"/>
        </w:rPr>
        <w:t xml:space="preserve"> como estes</w:t>
      </w:r>
      <w:r w:rsidRPr="00CB027F">
        <w:rPr>
          <w:szCs w:val="24"/>
        </w:rPr>
        <w:t xml:space="preserve">, seja possível a obtenção de uma detalhada investigação pautada na clareza e na apuração dos fatos ocorridos, </w:t>
      </w:r>
      <w:r w:rsidR="00845397" w:rsidRPr="00CB027F">
        <w:rPr>
          <w:szCs w:val="24"/>
        </w:rPr>
        <w:t>para a elucidação</w:t>
      </w:r>
      <w:r w:rsidRPr="00CB027F">
        <w:rPr>
          <w:szCs w:val="24"/>
        </w:rPr>
        <w:t xml:space="preserve"> dos acontecimentos</w:t>
      </w:r>
      <w:r w:rsidR="00845397" w:rsidRPr="00CB027F">
        <w:rPr>
          <w:szCs w:val="24"/>
        </w:rPr>
        <w:t>, identificação e punição dos responsáveis</w:t>
      </w:r>
      <w:r w:rsidRPr="00CB027F">
        <w:rPr>
          <w:szCs w:val="24"/>
        </w:rPr>
        <w:t>. Não ocorrendo a investigação mínima e</w:t>
      </w:r>
      <w:r w:rsidR="001E2834" w:rsidRPr="00CB027F">
        <w:rPr>
          <w:szCs w:val="24"/>
        </w:rPr>
        <w:t xml:space="preserve"> a sanção adequada</w:t>
      </w:r>
      <w:r w:rsidRPr="00CB027F">
        <w:rPr>
          <w:szCs w:val="24"/>
        </w:rPr>
        <w:t xml:space="preserve"> ao </w:t>
      </w:r>
      <w:r w:rsidR="001E2834" w:rsidRPr="00CB027F">
        <w:rPr>
          <w:szCs w:val="24"/>
        </w:rPr>
        <w:t>crime</w:t>
      </w:r>
      <w:r w:rsidRPr="00CB027F">
        <w:rPr>
          <w:szCs w:val="24"/>
        </w:rPr>
        <w:t xml:space="preserve"> praticado, como no presente caso, está o Estado infringindo as garantias judiciais presentes na Convenção. </w:t>
      </w:r>
    </w:p>
    <w:p w:rsidR="00CD2067" w:rsidRPr="00CB027F" w:rsidRDefault="007E3328" w:rsidP="00012EB0">
      <w:pPr>
        <w:jc w:val="both"/>
        <w:rPr>
          <w:szCs w:val="24"/>
        </w:rPr>
      </w:pPr>
      <w:r w:rsidRPr="00CB027F">
        <w:rPr>
          <w:szCs w:val="24"/>
        </w:rPr>
        <w:t xml:space="preserve">Aníbal foi morto, e não houve apuração </w:t>
      </w:r>
      <w:r w:rsidR="004301E2" w:rsidRPr="00CB027F">
        <w:rPr>
          <w:szCs w:val="24"/>
        </w:rPr>
        <w:t xml:space="preserve">detalhada </w:t>
      </w:r>
      <w:r w:rsidRPr="00CB027F">
        <w:rPr>
          <w:szCs w:val="24"/>
        </w:rPr>
        <w:t>dos fatos e nem se sabe</w:t>
      </w:r>
      <w:r w:rsidR="004301E2" w:rsidRPr="00CB027F">
        <w:rPr>
          <w:szCs w:val="24"/>
        </w:rPr>
        <w:t xml:space="preserve"> exatamente</w:t>
      </w:r>
      <w:r w:rsidRPr="00CB027F">
        <w:rPr>
          <w:szCs w:val="24"/>
        </w:rPr>
        <w:t xml:space="preserve"> o que ocorreu no resgate. Os únicos responsáveis encontrados pelo Estado, Guadamuz e Mukundi, não receberam penas adequadas pelo crime, não tendo sido feitas investigações aprofundadas quanto ao primeiro, e tendo o segundo sido condenado meramente à prestação de serviços comunitários.</w:t>
      </w:r>
      <w:r w:rsidR="000C49DA" w:rsidRPr="00CB027F">
        <w:rPr>
          <w:szCs w:val="24"/>
        </w:rPr>
        <w:t xml:space="preserve"> </w:t>
      </w:r>
      <w:r w:rsidRPr="00CB027F">
        <w:rPr>
          <w:szCs w:val="24"/>
        </w:rPr>
        <w:t>Fica clara, assim, a violação do Estado em seu dever de investigar e punir os responsáveis, em violação aos artigos 8</w:t>
      </w:r>
      <w:r w:rsidR="001E2834" w:rsidRPr="00CB027F">
        <w:rPr>
          <w:szCs w:val="24"/>
        </w:rPr>
        <w:t>º</w:t>
      </w:r>
      <w:r w:rsidRPr="00CB027F">
        <w:rPr>
          <w:szCs w:val="24"/>
        </w:rPr>
        <w:t xml:space="preserve"> e 25 da CADH.</w:t>
      </w:r>
    </w:p>
    <w:p w:rsidR="00CD2067" w:rsidRPr="00CB027F" w:rsidRDefault="005A443D" w:rsidP="005E4E2E">
      <w:pPr>
        <w:pStyle w:val="Heading1"/>
        <w:rPr>
          <w:rFonts w:ascii="Times New Roman" w:hAnsi="Times New Roman"/>
        </w:rPr>
      </w:pPr>
      <w:bookmarkStart w:id="20" w:name="_Toc414890818"/>
      <w:r>
        <w:rPr>
          <w:rFonts w:ascii="Times New Roman" w:hAnsi="Times New Roman"/>
        </w:rPr>
        <w:t>3</w:t>
      </w:r>
      <w:r w:rsidR="005E4E2E" w:rsidRPr="00CB027F">
        <w:rPr>
          <w:rFonts w:ascii="Times New Roman" w:hAnsi="Times New Roman"/>
        </w:rPr>
        <w:t>.</w:t>
      </w:r>
      <w:r w:rsidR="00CD2067" w:rsidRPr="00CB027F">
        <w:rPr>
          <w:rFonts w:ascii="Times New Roman" w:hAnsi="Times New Roman"/>
        </w:rPr>
        <w:t>DAS REPARAÇÕES</w:t>
      </w:r>
      <w:r w:rsidR="001F37A3" w:rsidRPr="00CB027F">
        <w:rPr>
          <w:rFonts w:ascii="Times New Roman" w:hAnsi="Times New Roman"/>
        </w:rPr>
        <w:t xml:space="preserve"> NOS CASOS BOLT, ROSSI E LÓPEZ</w:t>
      </w:r>
      <w:r w:rsidR="00CD2067" w:rsidRPr="00CB027F">
        <w:rPr>
          <w:rFonts w:ascii="Times New Roman" w:hAnsi="Times New Roman"/>
        </w:rPr>
        <w:t>:</w:t>
      </w:r>
      <w:bookmarkEnd w:id="20"/>
    </w:p>
    <w:p w:rsidR="00CD2067" w:rsidRPr="00CB027F" w:rsidRDefault="00CD2067" w:rsidP="00CD2067">
      <w:pPr>
        <w:jc w:val="both"/>
        <w:rPr>
          <w:szCs w:val="24"/>
        </w:rPr>
      </w:pPr>
      <w:r w:rsidRPr="00CB027F">
        <w:rPr>
          <w:szCs w:val="24"/>
        </w:rPr>
        <w:t>As famílias das três vítimas fatais, Ricardo Bolt, Lucrécia Rossi e Aníbal López receberam, a título de indenização, o valor de US$ 20 mil</w:t>
      </w:r>
      <w:r w:rsidR="004301E2" w:rsidRPr="00CB027F">
        <w:rPr>
          <w:szCs w:val="24"/>
        </w:rPr>
        <w:t xml:space="preserve"> por pessoa</w:t>
      </w:r>
      <w:r w:rsidRPr="00CB027F">
        <w:rPr>
          <w:szCs w:val="24"/>
        </w:rPr>
        <w:t>,</w:t>
      </w:r>
      <w:r w:rsidR="004301E2" w:rsidRPr="00CB027F">
        <w:rPr>
          <w:szCs w:val="24"/>
        </w:rPr>
        <w:t xml:space="preserve"> </w:t>
      </w:r>
      <w:r w:rsidRPr="00CB027F">
        <w:rPr>
          <w:szCs w:val="24"/>
        </w:rPr>
        <w:t>conforme estabelecido na Lei de Reparações em casos de morte. Annika Bolt recebeu ainda um complemento de US$ 10 mil p</w:t>
      </w:r>
      <w:r w:rsidR="004301E2" w:rsidRPr="00CB027F">
        <w:rPr>
          <w:szCs w:val="24"/>
        </w:rPr>
        <w:t xml:space="preserve">or </w:t>
      </w:r>
      <w:r w:rsidRPr="00CB027F">
        <w:rPr>
          <w:szCs w:val="24"/>
        </w:rPr>
        <w:t>via administrativa pela responsabilidade patrimonial do Estado em relação às violações contra seu cônjuge. A Emily e Max</w:t>
      </w:r>
      <w:r w:rsidR="001E2834" w:rsidRPr="00CB027F">
        <w:rPr>
          <w:szCs w:val="24"/>
        </w:rPr>
        <w:t>imiliano Rossi foram outorgados</w:t>
      </w:r>
      <w:r w:rsidR="004301E2" w:rsidRPr="00CB027F">
        <w:rPr>
          <w:szCs w:val="24"/>
        </w:rPr>
        <w:t xml:space="preserve"> administrativamente </w:t>
      </w:r>
      <w:r w:rsidR="001E2834" w:rsidRPr="00CB027F">
        <w:rPr>
          <w:szCs w:val="24"/>
        </w:rPr>
        <w:t xml:space="preserve">mais </w:t>
      </w:r>
      <w:r w:rsidRPr="00CB027F">
        <w:rPr>
          <w:szCs w:val="24"/>
        </w:rPr>
        <w:t xml:space="preserve">US$ 5 mil, em valores não-pecuniários, em troca da renúncia de demandar do Estado pela via contenciosa. </w:t>
      </w:r>
      <w:r w:rsidR="004301E2" w:rsidRPr="00CB027F">
        <w:rPr>
          <w:szCs w:val="24"/>
        </w:rPr>
        <w:t xml:space="preserve">As três famílias </w:t>
      </w:r>
      <w:r w:rsidRPr="00CB027F">
        <w:rPr>
          <w:szCs w:val="24"/>
        </w:rPr>
        <w:t>declararam sua irresignação com os valores recebidos.</w:t>
      </w:r>
    </w:p>
    <w:p w:rsidR="00CD2067" w:rsidRPr="00CB027F" w:rsidRDefault="00CD2067" w:rsidP="00CD2067">
      <w:pPr>
        <w:jc w:val="both"/>
        <w:rPr>
          <w:szCs w:val="24"/>
        </w:rPr>
      </w:pPr>
      <w:r w:rsidRPr="00CB027F">
        <w:rPr>
          <w:szCs w:val="24"/>
        </w:rPr>
        <w:lastRenderedPageBreak/>
        <w:t>De acordo com o artigo 63.1 da CADH e a jurisprudência da CrIDH</w:t>
      </w:r>
      <w:r w:rsidRPr="00CB027F">
        <w:rPr>
          <w:rStyle w:val="FootnoteReference"/>
          <w:szCs w:val="24"/>
        </w:rPr>
        <w:footnoteReference w:id="83"/>
      </w:r>
      <w:r w:rsidRPr="00CB027F">
        <w:rPr>
          <w:szCs w:val="24"/>
        </w:rPr>
        <w:t>, cabe ao Estado, quando responsabilizado internacionalmente por violações aos direitos humanos, o dever de reparar adequadamente os danos causados. A despeito das louváveis iniciativas do Estado para indenizar as vítimas, há que se reconhecer a insuficiência dos valores disponibilizados, fora de consonância com os parâmetros do SIDH. Cumpre lembrar ainda que as reparações não devem se restringir à indenização pecuniária, mas incluir a adoção de uma série medidas de interrupção e de não repetição</w:t>
      </w:r>
      <w:r w:rsidRPr="00CB027F">
        <w:rPr>
          <w:rStyle w:val="FootnoteReference"/>
          <w:szCs w:val="24"/>
        </w:rPr>
        <w:footnoteReference w:id="84"/>
      </w:r>
      <w:r w:rsidRPr="00CB027F">
        <w:rPr>
          <w:szCs w:val="24"/>
        </w:rPr>
        <w:t>, fundamentais para combater as consequências imateriais nefastas das graves violações de direitos humanos.</w:t>
      </w:r>
    </w:p>
    <w:p w:rsidR="00CD2067" w:rsidRPr="00CB027F" w:rsidRDefault="00CD2067" w:rsidP="00CD2067">
      <w:pPr>
        <w:jc w:val="both"/>
        <w:rPr>
          <w:szCs w:val="24"/>
        </w:rPr>
      </w:pPr>
      <w:r w:rsidRPr="00CB027F">
        <w:rPr>
          <w:szCs w:val="24"/>
        </w:rPr>
        <w:t>A Lei de Reparações, instrumento orientador do pagamento das indenizações, não prevê quais os danos por ela compreendidos, nem diferencia as reparações entre danos materiais e imateriais. Ressalta-se também que, segundo o que a CrIDH definiu no caso Blanco Romero Vs. Venezuela</w:t>
      </w:r>
      <w:r w:rsidRPr="00CB027F">
        <w:rPr>
          <w:rStyle w:val="FootnoteReference"/>
          <w:szCs w:val="24"/>
        </w:rPr>
        <w:footnoteReference w:id="85"/>
      </w:r>
      <w:r w:rsidRPr="00CB027F">
        <w:rPr>
          <w:szCs w:val="24"/>
        </w:rPr>
        <w:t>, “o montante indenizatório deve ser definido com base na gravidade dos fatos do caso, na situação de impunidade, na intensidade do sofrimento das vítimas e seus familiares e as alterações de condições de existência produzidas imputáveis ao Estado”. Sendo assim, em vista das indenizações outorgadas por Cardenal às vítimas, dos critérios da Corte para a fixação dos valores de compensação e das circunstâncias particulares do presente caso, a quantia paga deve ser considerada destoante dos montantes substancialmente maiores ordenados pela CrIDH em casos semelhantes</w:t>
      </w:r>
      <w:r w:rsidRPr="00CB027F">
        <w:rPr>
          <w:rStyle w:val="FootnoteReference"/>
          <w:szCs w:val="24"/>
        </w:rPr>
        <w:footnoteReference w:id="86"/>
      </w:r>
      <w:r w:rsidRPr="00CB027F">
        <w:rPr>
          <w:szCs w:val="24"/>
        </w:rPr>
        <w:t xml:space="preserve"> de gravíssimas violações aos direitos humanos.</w:t>
      </w:r>
    </w:p>
    <w:p w:rsidR="00CD2067" w:rsidRPr="00CB027F" w:rsidRDefault="00CD2067" w:rsidP="00CD2067">
      <w:pPr>
        <w:jc w:val="both"/>
        <w:rPr>
          <w:szCs w:val="24"/>
        </w:rPr>
      </w:pPr>
      <w:r w:rsidRPr="00CB027F">
        <w:rPr>
          <w:szCs w:val="24"/>
        </w:rPr>
        <w:lastRenderedPageBreak/>
        <w:t xml:space="preserve">A reparação adicional recebida por Annika Bolt pela via contenciosa administrativa, a título de indenização pela responsabilidade patrimonial do Estado, foi </w:t>
      </w:r>
      <w:r w:rsidR="001F37A3" w:rsidRPr="00CB027F">
        <w:rPr>
          <w:szCs w:val="24"/>
        </w:rPr>
        <w:t xml:space="preserve">também </w:t>
      </w:r>
      <w:r w:rsidRPr="00CB027F">
        <w:rPr>
          <w:szCs w:val="24"/>
        </w:rPr>
        <w:t>estipulada em dissonância com os critérios do SIDH. A CrIDH, em sua jurisprudência, definiu parâmetros claros para o quantum indenizatório, quais sejam a compensação por danos imateriais</w:t>
      </w:r>
      <w:r w:rsidR="000B1523" w:rsidRPr="00CB027F">
        <w:rPr>
          <w:szCs w:val="24"/>
        </w:rPr>
        <w:t xml:space="preserve"> -como </w:t>
      </w:r>
      <w:r w:rsidRPr="00CB027F">
        <w:rPr>
          <w:szCs w:val="24"/>
        </w:rPr>
        <w:t>sofrimentos causados à vítima e aos seus familiares e outros prejuízos morais</w:t>
      </w:r>
      <w:r w:rsidR="000B1523" w:rsidRPr="00CB027F">
        <w:rPr>
          <w:szCs w:val="24"/>
        </w:rPr>
        <w:t>,</w:t>
      </w:r>
      <w:r w:rsidRPr="00CB027F">
        <w:rPr>
          <w:rStyle w:val="FootnoteReference"/>
          <w:szCs w:val="24"/>
        </w:rPr>
        <w:footnoteReference w:id="87"/>
      </w:r>
      <w:r w:rsidR="000B1523" w:rsidRPr="00CB027F">
        <w:rPr>
          <w:szCs w:val="24"/>
        </w:rPr>
        <w:t xml:space="preserve"> como por exemplo </w:t>
      </w:r>
      <w:r w:rsidRPr="00CB027F">
        <w:rPr>
          <w:szCs w:val="24"/>
        </w:rPr>
        <w:t>ao projeto de vida da vítima</w:t>
      </w:r>
      <w:r w:rsidRPr="00CB027F">
        <w:rPr>
          <w:rStyle w:val="FootnoteReference"/>
          <w:szCs w:val="24"/>
        </w:rPr>
        <w:footnoteReference w:id="88"/>
      </w:r>
      <w:r w:rsidR="000B1523" w:rsidRPr="00CB027F">
        <w:rPr>
          <w:szCs w:val="24"/>
        </w:rPr>
        <w:t>-</w:t>
      </w:r>
      <w:r w:rsidRPr="00CB027F">
        <w:rPr>
          <w:szCs w:val="24"/>
        </w:rPr>
        <w:t xml:space="preserve"> assim como por danos materiais, correspondentes às consequências pecuniárias que tenham nexo causal com os fatos do caso</w:t>
      </w:r>
      <w:r w:rsidRPr="00CB027F">
        <w:rPr>
          <w:rStyle w:val="FootnoteReference"/>
          <w:szCs w:val="24"/>
        </w:rPr>
        <w:footnoteReference w:id="89"/>
      </w:r>
      <w:r w:rsidRPr="00CB027F">
        <w:rPr>
          <w:szCs w:val="24"/>
        </w:rPr>
        <w:t>. Dado que a decisão administrativa levou em consideração outros fatores, sem sequer mencionar as diretrizes consolidadas no SIDH, o valor outorgado não pode ser tido como adequado.</w:t>
      </w:r>
    </w:p>
    <w:p w:rsidR="00CD2067" w:rsidRPr="00CB027F" w:rsidRDefault="001F37A3" w:rsidP="00CD2067">
      <w:pPr>
        <w:jc w:val="both"/>
        <w:rPr>
          <w:szCs w:val="24"/>
        </w:rPr>
      </w:pPr>
      <w:r w:rsidRPr="00CB027F">
        <w:rPr>
          <w:szCs w:val="24"/>
        </w:rPr>
        <w:t>Já o</w:t>
      </w:r>
      <w:r w:rsidR="00CD2067" w:rsidRPr="00CB027F">
        <w:rPr>
          <w:szCs w:val="24"/>
        </w:rPr>
        <w:t xml:space="preserve"> valor adicional de US$ 5 mil de reparação administrativa pago a Emily e Maximiliano Rossi, derivado da renúncia de demandar contra o Estado em relação à responsabilidade patrimonial constitui um acordo contrário aos ditames do SIDH. Segundo a CmIDH, “a adoção de reparações administrativas não pode impedir o acesso à via judicial para pleitear uma compensação mais abrangente e detalhada, posto que são complementares e sua utilização tem propósitos distintos”</w:t>
      </w:r>
      <w:r w:rsidRPr="00CB027F">
        <w:rPr>
          <w:rStyle w:val="FootnoteReference"/>
          <w:szCs w:val="24"/>
        </w:rPr>
        <w:footnoteReference w:id="90"/>
      </w:r>
      <w:r w:rsidR="00CD2067" w:rsidRPr="00CB027F">
        <w:rPr>
          <w:szCs w:val="24"/>
        </w:rPr>
        <w:t>. Por conseguinte, as circunstâncias do acordo celebrado pelos familiares de Lucrécia deixam claro que, para receber uma quantia ligeiramente mais alta, eles precisaram abrir mão de outras possibilidades de alcançar uma reparação verdadeiramente integral, adequada e satisfatória.</w:t>
      </w:r>
    </w:p>
    <w:p w:rsidR="00CD2067" w:rsidRPr="00CB027F" w:rsidRDefault="00CD2067" w:rsidP="00CD2067">
      <w:pPr>
        <w:jc w:val="both"/>
        <w:rPr>
          <w:szCs w:val="24"/>
        </w:rPr>
      </w:pPr>
      <w:r w:rsidRPr="00CB027F">
        <w:rPr>
          <w:szCs w:val="24"/>
        </w:rPr>
        <w:lastRenderedPageBreak/>
        <w:t>Outrossim, a referida soma complementar não foi disponibilizada em pecúnia, mas em diferentes modalidades de políticas sociais. Todavia, a CmIDH se pronunciou também a esse respeito, no sentido de que, ao estabelecer uma política de reparações administrativas, o Estado deve ter como objetivo corrigir os males causados pelas violações, sem prejuízo de outras formas não-pecuniárias de reparações, como programas sociais direcionados às populações afetadas</w:t>
      </w:r>
      <w:r w:rsidRPr="00CB027F">
        <w:rPr>
          <w:rStyle w:val="FootnoteReference"/>
          <w:szCs w:val="24"/>
        </w:rPr>
        <w:footnoteReference w:id="91"/>
      </w:r>
      <w:r w:rsidRPr="00CB027F">
        <w:rPr>
          <w:szCs w:val="24"/>
        </w:rPr>
        <w:t>. Sendo assim, ao impor tais serviços como instrumento da compensação à família Rossi, o Estado viola a garantia preconizada pela CmIDH, obstaculizando o acesso a medidas não-pecuniárias de reparação.</w:t>
      </w:r>
    </w:p>
    <w:p w:rsidR="00AB7A9B" w:rsidRPr="00CB027F" w:rsidRDefault="00AB7A9B" w:rsidP="00AB7A9B">
      <w:pPr>
        <w:jc w:val="both"/>
        <w:rPr>
          <w:szCs w:val="24"/>
        </w:rPr>
      </w:pPr>
      <w:r w:rsidRPr="00CB027F">
        <w:rPr>
          <w:szCs w:val="24"/>
        </w:rPr>
        <w:t>Por todo o exposto, para que cumpra com os princípios de reparação in</w:t>
      </w:r>
      <w:r w:rsidR="001E2834" w:rsidRPr="00CB027F">
        <w:rPr>
          <w:szCs w:val="24"/>
        </w:rPr>
        <w:t>tegral preconizados</w:t>
      </w:r>
      <w:r w:rsidRPr="00CB027F">
        <w:rPr>
          <w:szCs w:val="24"/>
        </w:rPr>
        <w:t xml:space="preserve"> </w:t>
      </w:r>
      <w:r w:rsidR="001E2834" w:rsidRPr="00CB027F">
        <w:rPr>
          <w:szCs w:val="24"/>
        </w:rPr>
        <w:t xml:space="preserve"> por </w:t>
      </w:r>
      <w:r w:rsidRPr="00CB027F">
        <w:rPr>
          <w:szCs w:val="24"/>
        </w:rPr>
        <w:t>esta Corte, adotando-se medidas de reabilitação, satisfação e não repetição, faz-se necessário que o Estado de Cardenal</w:t>
      </w:r>
      <w:r w:rsidR="000B1523" w:rsidRPr="00CB027F">
        <w:rPr>
          <w:szCs w:val="24"/>
        </w:rPr>
        <w:t>:</w:t>
      </w:r>
      <w:r w:rsidRPr="00CB027F">
        <w:rPr>
          <w:szCs w:val="24"/>
        </w:rPr>
        <w:t xml:space="preserve"> a) pesquise de maneira completa, imparcial e efetiva o paradeiro de Ricardo Bolt</w:t>
      </w:r>
      <w:r w:rsidR="000B1523" w:rsidRPr="00CB027F">
        <w:rPr>
          <w:szCs w:val="24"/>
        </w:rPr>
        <w:t xml:space="preserve"> e, c</w:t>
      </w:r>
      <w:r w:rsidRPr="00CB027F">
        <w:rPr>
          <w:szCs w:val="24"/>
        </w:rPr>
        <w:t>aso fique estabelecido que a vítima não está viva, adot</w:t>
      </w:r>
      <w:r w:rsidR="00072F0E" w:rsidRPr="00CB027F">
        <w:rPr>
          <w:szCs w:val="24"/>
        </w:rPr>
        <w:t xml:space="preserve">e </w:t>
      </w:r>
      <w:r w:rsidRPr="00CB027F">
        <w:rPr>
          <w:szCs w:val="24"/>
        </w:rPr>
        <w:t xml:space="preserve">medidas necessárias para entregar o corpo à família; b) realize os procedimentos internos </w:t>
      </w:r>
      <w:r w:rsidR="00072F0E" w:rsidRPr="00CB027F">
        <w:rPr>
          <w:szCs w:val="24"/>
        </w:rPr>
        <w:t xml:space="preserve">devidos quanto </w:t>
      </w:r>
      <w:r w:rsidR="000B1523" w:rsidRPr="00CB027F">
        <w:rPr>
          <w:szCs w:val="24"/>
        </w:rPr>
        <w:t>à</w:t>
      </w:r>
      <w:r w:rsidR="00072F0E" w:rsidRPr="00CB027F">
        <w:rPr>
          <w:szCs w:val="24"/>
        </w:rPr>
        <w:t xml:space="preserve">s </w:t>
      </w:r>
      <w:r w:rsidRPr="00CB027F">
        <w:rPr>
          <w:szCs w:val="24"/>
        </w:rPr>
        <w:t xml:space="preserve">violações aos direitos humanos </w:t>
      </w:r>
      <w:r w:rsidR="00072F0E" w:rsidRPr="00CB027F">
        <w:rPr>
          <w:szCs w:val="24"/>
        </w:rPr>
        <w:t xml:space="preserve">aqui descritas, investigando diligentemente e punindo os responsáveis, </w:t>
      </w:r>
      <w:r w:rsidRPr="00CB027F">
        <w:rPr>
          <w:szCs w:val="24"/>
        </w:rPr>
        <w:t>de maneira imparcial, efetiva e dentro d</w:t>
      </w:r>
      <w:r w:rsidR="000B1523" w:rsidRPr="00CB027F">
        <w:rPr>
          <w:szCs w:val="24"/>
        </w:rPr>
        <w:t>e</w:t>
      </w:r>
      <w:r w:rsidRPr="00CB027F">
        <w:rPr>
          <w:szCs w:val="24"/>
        </w:rPr>
        <w:t xml:space="preserve"> prazo razoável, com o objetivo de esclar</w:t>
      </w:r>
      <w:r w:rsidR="00072F0E" w:rsidRPr="00CB027F">
        <w:rPr>
          <w:szCs w:val="24"/>
        </w:rPr>
        <w:t>ecer os fatos de forma completa;</w:t>
      </w:r>
      <w:r w:rsidRPr="00CB027F">
        <w:rPr>
          <w:szCs w:val="24"/>
        </w:rPr>
        <w:t xml:space="preserve"> c) ofereça reparação integral às </w:t>
      </w:r>
      <w:r w:rsidR="00072F0E" w:rsidRPr="00CB027F">
        <w:rPr>
          <w:szCs w:val="24"/>
        </w:rPr>
        <w:t>vítimas d</w:t>
      </w:r>
      <w:r w:rsidR="000B1523" w:rsidRPr="00CB027F">
        <w:rPr>
          <w:szCs w:val="24"/>
        </w:rPr>
        <w:t>as</w:t>
      </w:r>
      <w:r w:rsidR="00072F0E" w:rsidRPr="00CB027F">
        <w:rPr>
          <w:szCs w:val="24"/>
        </w:rPr>
        <w:t xml:space="preserve"> </w:t>
      </w:r>
      <w:r w:rsidRPr="00CB027F">
        <w:rPr>
          <w:szCs w:val="24"/>
        </w:rPr>
        <w:t xml:space="preserve">violações aos direitos humanos </w:t>
      </w:r>
      <w:r w:rsidR="00A7699C" w:rsidRPr="00CB027F">
        <w:rPr>
          <w:szCs w:val="24"/>
        </w:rPr>
        <w:t>analisadas</w:t>
      </w:r>
      <w:r w:rsidR="00072F0E" w:rsidRPr="00CB027F">
        <w:rPr>
          <w:szCs w:val="24"/>
        </w:rPr>
        <w:t xml:space="preserve">, </w:t>
      </w:r>
      <w:r w:rsidRPr="00CB027F">
        <w:rPr>
          <w:szCs w:val="24"/>
        </w:rPr>
        <w:t xml:space="preserve">tanto no aspecto material como moral, incluindo a justa compensação, o estabelecimento e difusão </w:t>
      </w:r>
      <w:r w:rsidR="00072F0E" w:rsidRPr="00CB027F">
        <w:rPr>
          <w:szCs w:val="24"/>
        </w:rPr>
        <w:t>da verdade histórica dos fatos,</w:t>
      </w:r>
      <w:r w:rsidRPr="00CB027F">
        <w:rPr>
          <w:szCs w:val="24"/>
        </w:rPr>
        <w:t xml:space="preserve"> a implementação de um programa adequado de atenção psicossocial a seus familiares</w:t>
      </w:r>
      <w:r w:rsidR="00072F0E" w:rsidRPr="00CB027F">
        <w:rPr>
          <w:szCs w:val="24"/>
        </w:rPr>
        <w:t xml:space="preserve"> e, no caso de Ricardo Bolt, a recuperação da memória da vítima desaparecida</w:t>
      </w:r>
      <w:r w:rsidRPr="00CB027F">
        <w:rPr>
          <w:szCs w:val="24"/>
        </w:rPr>
        <w:t xml:space="preserve">; d) adeque a legislação interna aos padrões interamericanos; e) adote as medidas necessárias para evitar que no futuro aconteçam fatos semelhantes, em consonância com o dever de prevenção e garantia dos direitos humanos reconhecidos na </w:t>
      </w:r>
      <w:r w:rsidRPr="00CB027F">
        <w:rPr>
          <w:szCs w:val="24"/>
        </w:rPr>
        <w:lastRenderedPageBreak/>
        <w:t>Convenção Americana e demais instrumentos interamericanos aplicáveis”</w:t>
      </w:r>
      <w:r w:rsidRPr="00CB027F">
        <w:rPr>
          <w:rStyle w:val="FootnoteReference"/>
          <w:szCs w:val="24"/>
        </w:rPr>
        <w:footnoteReference w:id="92"/>
      </w:r>
      <w:r w:rsidRPr="00CB027F">
        <w:rPr>
          <w:szCs w:val="24"/>
        </w:rPr>
        <w:t>.</w:t>
      </w:r>
      <w:r w:rsidR="00072F0E" w:rsidRPr="00CB027F">
        <w:rPr>
          <w:szCs w:val="24"/>
        </w:rPr>
        <w:t xml:space="preserve"> Por fim, é necessário ainda que o Estado realize ato público de reconhecimento de sua responsabilidade pelas violações ocorridas na presença das mais altas autoridades do país</w:t>
      </w:r>
      <w:r w:rsidR="00072F0E" w:rsidRPr="00CB027F">
        <w:rPr>
          <w:rStyle w:val="FootnoteReference"/>
          <w:szCs w:val="24"/>
        </w:rPr>
        <w:footnoteReference w:id="93"/>
      </w:r>
      <w:r w:rsidR="00072F0E" w:rsidRPr="00CB027F">
        <w:rPr>
          <w:szCs w:val="24"/>
        </w:rPr>
        <w:t>;  e publique a decisão desta Corte, dentro de seis meses, a partir da data da notificação da presente decisão, pelo menos uma vez , no Jornal Oficial e em outro jornal de grande circulação nacional</w:t>
      </w:r>
      <w:r w:rsidR="00072F0E" w:rsidRPr="00CB027F">
        <w:rPr>
          <w:rStyle w:val="FootnoteReference"/>
          <w:szCs w:val="24"/>
        </w:rPr>
        <w:footnoteReference w:id="94"/>
      </w:r>
      <w:r w:rsidR="00072F0E" w:rsidRPr="00CB027F">
        <w:rPr>
          <w:szCs w:val="24"/>
        </w:rPr>
        <w:t>.</w:t>
      </w:r>
    </w:p>
    <w:p w:rsidR="00CD2067" w:rsidRPr="00CB027F" w:rsidRDefault="005A443D" w:rsidP="00CD2067">
      <w:pPr>
        <w:pStyle w:val="Heading1"/>
        <w:rPr>
          <w:rFonts w:ascii="Times New Roman" w:hAnsi="Times New Roman"/>
        </w:rPr>
      </w:pPr>
      <w:bookmarkStart w:id="21" w:name="_Toc414890819"/>
      <w:r>
        <w:rPr>
          <w:rFonts w:ascii="Times New Roman" w:hAnsi="Times New Roman"/>
        </w:rPr>
        <w:t>4</w:t>
      </w:r>
      <w:r w:rsidR="005E4E2E" w:rsidRPr="00CB027F">
        <w:rPr>
          <w:rFonts w:ascii="Times New Roman" w:hAnsi="Times New Roman"/>
        </w:rPr>
        <w:t>.</w:t>
      </w:r>
      <w:r w:rsidR="00CD2067" w:rsidRPr="00CB027F">
        <w:rPr>
          <w:rFonts w:ascii="Times New Roman" w:hAnsi="Times New Roman"/>
        </w:rPr>
        <w:t>SOLICITAÇÃO DE ASSISTÊNCIA</w:t>
      </w:r>
      <w:bookmarkEnd w:id="21"/>
    </w:p>
    <w:p w:rsidR="00DF4576" w:rsidRPr="0085461F" w:rsidRDefault="00CD2067" w:rsidP="00EA22EE">
      <w:pPr>
        <w:jc w:val="both"/>
        <w:rPr>
          <w:sz w:val="22"/>
        </w:rPr>
      </w:pPr>
      <w:r w:rsidRPr="00CB027F">
        <w:rPr>
          <w:szCs w:val="24"/>
        </w:rPr>
        <w:t xml:space="preserve">Por todo o exposto, </w:t>
      </w:r>
      <w:r w:rsidR="00D164C7" w:rsidRPr="00CB027F">
        <w:rPr>
          <w:szCs w:val="24"/>
        </w:rPr>
        <w:t>requer-se respeitosamente a esta honorável Corte, inicialmente, o reconhecimento de admissibilidad</w:t>
      </w:r>
      <w:r w:rsidR="00EB608D" w:rsidRPr="00CB027F">
        <w:rPr>
          <w:szCs w:val="24"/>
        </w:rPr>
        <w:t>e dos casos Bolt, Rossi e López.</w:t>
      </w:r>
      <w:r w:rsidR="00D164C7" w:rsidRPr="00CB027F">
        <w:rPr>
          <w:szCs w:val="24"/>
        </w:rPr>
        <w:t xml:space="preserve"> </w:t>
      </w:r>
      <w:r w:rsidR="00EB608D" w:rsidRPr="00CB027F">
        <w:rPr>
          <w:szCs w:val="24"/>
        </w:rPr>
        <w:t>N</w:t>
      </w:r>
      <w:r w:rsidR="00D164C7" w:rsidRPr="00CB027F">
        <w:rPr>
          <w:szCs w:val="24"/>
        </w:rPr>
        <w:t xml:space="preserve">o mérito, </w:t>
      </w:r>
      <w:r w:rsidR="00EB608D" w:rsidRPr="00CB027F">
        <w:rPr>
          <w:szCs w:val="24"/>
        </w:rPr>
        <w:t xml:space="preserve">solicita-se </w:t>
      </w:r>
      <w:r w:rsidRPr="00CB027F">
        <w:rPr>
          <w:szCs w:val="24"/>
        </w:rPr>
        <w:t xml:space="preserve">a responsabilização internacional do Estado de Cardenal pelas violações, aos artigos </w:t>
      </w:r>
      <w:r w:rsidR="00D164C7" w:rsidRPr="00CB027F">
        <w:rPr>
          <w:szCs w:val="24"/>
        </w:rPr>
        <w:t xml:space="preserve">a) </w:t>
      </w:r>
      <w:r w:rsidRPr="00CB027F">
        <w:rPr>
          <w:szCs w:val="24"/>
        </w:rPr>
        <w:t xml:space="preserve">3, 4, 5, 7, 8, 24 e 25 da Convenção Americana, </w:t>
      </w:r>
      <w:r w:rsidR="00D164C7" w:rsidRPr="00CB027F">
        <w:rPr>
          <w:szCs w:val="24"/>
        </w:rPr>
        <w:t xml:space="preserve">todos relacionados aos artigos 1.1 e 2 do mesmo documento, em prejuízo de </w:t>
      </w:r>
      <w:r w:rsidRPr="00CB027F">
        <w:rPr>
          <w:szCs w:val="24"/>
        </w:rPr>
        <w:t xml:space="preserve">Ricardo </w:t>
      </w:r>
      <w:r w:rsidR="00D164C7" w:rsidRPr="00CB027F">
        <w:rPr>
          <w:szCs w:val="24"/>
        </w:rPr>
        <w:t>e A</w:t>
      </w:r>
      <w:r w:rsidR="001E2834" w:rsidRPr="00CB027F">
        <w:rPr>
          <w:szCs w:val="24"/>
        </w:rPr>
        <w:t>n</w:t>
      </w:r>
      <w:r w:rsidR="00D164C7" w:rsidRPr="00CB027F">
        <w:rPr>
          <w:szCs w:val="24"/>
        </w:rPr>
        <w:t xml:space="preserve">nika </w:t>
      </w:r>
      <w:r w:rsidRPr="00CB027F">
        <w:rPr>
          <w:szCs w:val="24"/>
        </w:rPr>
        <w:t>Bolt; b) 4, 5, 8 e 25 da Convenção, relacionad</w:t>
      </w:r>
      <w:r w:rsidR="00D164C7" w:rsidRPr="00CB027F">
        <w:rPr>
          <w:szCs w:val="24"/>
        </w:rPr>
        <w:t>o</w:t>
      </w:r>
      <w:r w:rsidRPr="00CB027F">
        <w:rPr>
          <w:szCs w:val="24"/>
        </w:rPr>
        <w:t>s</w:t>
      </w:r>
      <w:r w:rsidR="00D164C7" w:rsidRPr="00CB027F">
        <w:rPr>
          <w:szCs w:val="24"/>
        </w:rPr>
        <w:t xml:space="preserve"> aos artigos 1.1 e 2 da mesma, em detrimento de </w:t>
      </w:r>
      <w:r w:rsidRPr="00CB027F">
        <w:rPr>
          <w:szCs w:val="24"/>
        </w:rPr>
        <w:t>Lucrécia</w:t>
      </w:r>
      <w:r w:rsidR="00D164C7" w:rsidRPr="00CB027F">
        <w:rPr>
          <w:szCs w:val="24"/>
        </w:rPr>
        <w:t>, Emily e Maximiliano</w:t>
      </w:r>
      <w:r w:rsidRPr="00CB027F">
        <w:rPr>
          <w:szCs w:val="24"/>
        </w:rPr>
        <w:t xml:space="preserve"> Rossi; c) 4, 8 e 25, relacionadas </w:t>
      </w:r>
      <w:r w:rsidR="00D164C7" w:rsidRPr="00CB027F">
        <w:rPr>
          <w:szCs w:val="24"/>
        </w:rPr>
        <w:t xml:space="preserve">aos artigos 1.1 e 2 da CADH, em detrimento de </w:t>
      </w:r>
      <w:r w:rsidRPr="00CB027F">
        <w:rPr>
          <w:szCs w:val="24"/>
        </w:rPr>
        <w:t>Aníbal</w:t>
      </w:r>
      <w:r w:rsidR="00D164C7" w:rsidRPr="00CB027F">
        <w:rPr>
          <w:szCs w:val="24"/>
        </w:rPr>
        <w:t xml:space="preserve"> e</w:t>
      </w:r>
      <w:r w:rsidRPr="00CB027F">
        <w:rPr>
          <w:szCs w:val="24"/>
        </w:rPr>
        <w:t xml:space="preserve"> </w:t>
      </w:r>
      <w:r w:rsidR="00D164C7" w:rsidRPr="00CB027F">
        <w:rPr>
          <w:szCs w:val="24"/>
        </w:rPr>
        <w:t xml:space="preserve">Lupita </w:t>
      </w:r>
      <w:r w:rsidRPr="00CB027F">
        <w:rPr>
          <w:szCs w:val="24"/>
        </w:rPr>
        <w:t>López.</w:t>
      </w:r>
      <w:r w:rsidR="00072F0E" w:rsidRPr="00CB027F">
        <w:rPr>
          <w:szCs w:val="24"/>
        </w:rPr>
        <w:t xml:space="preserve"> </w:t>
      </w:r>
      <w:r w:rsidR="00EB608D" w:rsidRPr="00CB027F">
        <w:rPr>
          <w:szCs w:val="24"/>
        </w:rPr>
        <w:t xml:space="preserve">Requer-se, ainda </w:t>
      </w:r>
      <w:r w:rsidR="00072F0E" w:rsidRPr="00CB027F">
        <w:rPr>
          <w:szCs w:val="24"/>
        </w:rPr>
        <w:t xml:space="preserve">o arbitramento das reparações </w:t>
      </w:r>
      <w:r w:rsidR="00EB608D" w:rsidRPr="00CB027F">
        <w:rPr>
          <w:szCs w:val="24"/>
        </w:rPr>
        <w:t xml:space="preserve">que esta Corte considerar </w:t>
      </w:r>
      <w:r w:rsidR="00072F0E" w:rsidRPr="00CB027F">
        <w:rPr>
          <w:szCs w:val="24"/>
        </w:rPr>
        <w:t xml:space="preserve">cabíveis, </w:t>
      </w:r>
      <w:r w:rsidR="00EB608D" w:rsidRPr="00CB027F">
        <w:rPr>
          <w:szCs w:val="24"/>
        </w:rPr>
        <w:t>e, por fim, a condenação do Estado a</w:t>
      </w:r>
      <w:r w:rsidR="00072F0E" w:rsidRPr="00CB027F">
        <w:rPr>
          <w:szCs w:val="24"/>
        </w:rPr>
        <w:t>o pagamento de todas as custas judiciais referentes tanto a processos internos quanto a esta demanda perante a Corte IDH.</w:t>
      </w:r>
      <w:r w:rsidR="00072F0E" w:rsidRPr="0085461F">
        <w:rPr>
          <w:szCs w:val="24"/>
        </w:rPr>
        <w:t xml:space="preserve"> </w:t>
      </w:r>
    </w:p>
    <w:sectPr w:rsidR="00DF4576" w:rsidRPr="0085461F" w:rsidSect="00B46D95">
      <w:headerReference w:type="default" r:id="rId8"/>
      <w:footerReference w:type="default" r:id="rId9"/>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41" w:rsidRDefault="008A2D41" w:rsidP="00857358">
      <w:pPr>
        <w:spacing w:line="240" w:lineRule="auto"/>
      </w:pPr>
      <w:r>
        <w:separator/>
      </w:r>
    </w:p>
  </w:endnote>
  <w:endnote w:type="continuationSeparator" w:id="0">
    <w:p w:rsidR="008A2D41" w:rsidRDefault="008A2D41" w:rsidP="00857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81" w:rsidRDefault="00C52D81">
    <w:pPr>
      <w:pStyle w:val="Footer"/>
      <w:jc w:val="center"/>
    </w:pPr>
    <w:r>
      <w:fldChar w:fldCharType="begin"/>
    </w:r>
    <w:r>
      <w:instrText>PAGE   \* MERGEFORMAT</w:instrText>
    </w:r>
    <w:r>
      <w:fldChar w:fldCharType="separate"/>
    </w:r>
    <w:r w:rsidR="006977C6">
      <w:rPr>
        <w:noProof/>
      </w:rPr>
      <w:t>1</w:t>
    </w:r>
    <w:r>
      <w:fldChar w:fldCharType="end"/>
    </w:r>
  </w:p>
  <w:p w:rsidR="00A842A7" w:rsidRDefault="00A84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41" w:rsidRDefault="008A2D41" w:rsidP="00857358">
      <w:pPr>
        <w:spacing w:line="240" w:lineRule="auto"/>
      </w:pPr>
      <w:r>
        <w:separator/>
      </w:r>
    </w:p>
  </w:footnote>
  <w:footnote w:type="continuationSeparator" w:id="0">
    <w:p w:rsidR="008A2D41" w:rsidRDefault="008A2D41" w:rsidP="00857358">
      <w:pPr>
        <w:spacing w:line="240" w:lineRule="auto"/>
      </w:pPr>
      <w:r>
        <w:continuationSeparator/>
      </w:r>
    </w:p>
  </w:footnote>
  <w:footnote w:id="1">
    <w:p w:rsidR="00A842A7" w:rsidRPr="00CB027F" w:rsidRDefault="00A842A7" w:rsidP="00713FB4">
      <w:pPr>
        <w:pStyle w:val="FootnoteText"/>
        <w:jc w:val="both"/>
      </w:pPr>
      <w:r w:rsidRPr="00CB027F">
        <w:rPr>
          <w:rStyle w:val="FootnoteReference"/>
        </w:rPr>
        <w:footnoteRef/>
      </w:r>
      <w:r w:rsidRPr="00CB027F">
        <w:t xml:space="preserve"> </w:t>
      </w:r>
      <w:r w:rsidRPr="00CB027F">
        <w:rPr>
          <w:b/>
        </w:rPr>
        <w:t>Caso Bolt e outros Vs. República Cardenal</w:t>
      </w:r>
      <w:r w:rsidRPr="00CB027F">
        <w:t>, §§ 35 e 36.</w:t>
      </w:r>
    </w:p>
  </w:footnote>
  <w:footnote w:id="2">
    <w:p w:rsidR="00A842A7" w:rsidRPr="00CB027F" w:rsidRDefault="00A842A7" w:rsidP="00477EC5">
      <w:pPr>
        <w:pStyle w:val="FootnoteText"/>
        <w:jc w:val="both"/>
      </w:pPr>
      <w:r w:rsidRPr="00CB027F">
        <w:rPr>
          <w:rStyle w:val="FootnoteReference"/>
        </w:rPr>
        <w:footnoteRef/>
      </w:r>
      <w:r w:rsidRPr="00CB027F">
        <w:t xml:space="preserve"> </w:t>
      </w:r>
      <w:r w:rsidRPr="00CB027F">
        <w:rPr>
          <w:b/>
        </w:rPr>
        <w:t>Caso Bolt e outros vs República de Cardenal</w:t>
      </w:r>
      <w:r w:rsidRPr="00CB027F">
        <w:t>, § 58.</w:t>
      </w:r>
    </w:p>
  </w:footnote>
  <w:footnote w:id="3">
    <w:p w:rsidR="00A842A7" w:rsidRPr="00CB027F" w:rsidRDefault="00A842A7" w:rsidP="00713FB4">
      <w:pPr>
        <w:spacing w:line="240" w:lineRule="auto"/>
        <w:jc w:val="both"/>
        <w:rPr>
          <w:sz w:val="20"/>
          <w:szCs w:val="20"/>
          <w:lang w:val="en-US"/>
        </w:rPr>
      </w:pPr>
      <w:r w:rsidRPr="00CB027F">
        <w:rPr>
          <w:rStyle w:val="FootnoteReference"/>
          <w:sz w:val="20"/>
          <w:szCs w:val="20"/>
        </w:rPr>
        <w:footnoteRef/>
      </w:r>
      <w:r w:rsidRPr="00CB027F">
        <w:rPr>
          <w:sz w:val="20"/>
          <w:szCs w:val="20"/>
        </w:rPr>
        <w:t xml:space="preserve"> CrIDH. </w:t>
      </w:r>
      <w:r w:rsidRPr="00CB027F">
        <w:rPr>
          <w:b/>
          <w:sz w:val="20"/>
          <w:szCs w:val="20"/>
        </w:rPr>
        <w:t xml:space="preserve">Caso Baena Ricardo e outros (270 trabalhadores Vs. Panamá) Vs. </w:t>
      </w:r>
      <w:r w:rsidRPr="00CB027F">
        <w:rPr>
          <w:b/>
          <w:sz w:val="20"/>
          <w:szCs w:val="20"/>
          <w:lang w:val="en-US"/>
        </w:rPr>
        <w:t>Panamá.</w:t>
      </w:r>
      <w:r w:rsidRPr="00CB027F">
        <w:rPr>
          <w:sz w:val="20"/>
          <w:szCs w:val="20"/>
          <w:lang w:val="en-US"/>
        </w:rPr>
        <w:t xml:space="preserve"> Sent. 18/11/1999 (Exceções Preliminares). Série C, No. 61, §53.</w:t>
      </w:r>
    </w:p>
  </w:footnote>
  <w:footnote w:id="4">
    <w:p w:rsidR="00A842A7" w:rsidRPr="00CB027F" w:rsidRDefault="00A842A7" w:rsidP="00713FB4">
      <w:pPr>
        <w:pStyle w:val="FootnoteText"/>
        <w:jc w:val="both"/>
        <w:rPr>
          <w:lang w:val="en-US"/>
        </w:rPr>
      </w:pPr>
      <w:r w:rsidRPr="00CB027F">
        <w:rPr>
          <w:rStyle w:val="FootnoteReference"/>
        </w:rPr>
        <w:footnoteRef/>
      </w:r>
      <w:r w:rsidRPr="00CB027F">
        <w:rPr>
          <w:lang w:val="en-US"/>
        </w:rPr>
        <w:t xml:space="preserve"> PASQUALUCCI, Jo M. </w:t>
      </w:r>
      <w:r w:rsidRPr="00CB027F">
        <w:rPr>
          <w:b/>
          <w:lang w:val="en-US"/>
        </w:rPr>
        <w:t>The practice and procedure of the Inter-American Court of Human Rights.</w:t>
      </w:r>
      <w:r w:rsidRPr="00CB027F">
        <w:rPr>
          <w:lang w:val="en-US"/>
        </w:rPr>
        <w:t xml:space="preserve"> 2</w:t>
      </w:r>
      <w:r w:rsidRPr="00CB027F">
        <w:rPr>
          <w:vertAlign w:val="superscript"/>
          <w:lang w:val="en-US"/>
        </w:rPr>
        <w:t>nd</w:t>
      </w:r>
      <w:r w:rsidRPr="00CB027F">
        <w:rPr>
          <w:lang w:val="en-US"/>
        </w:rPr>
        <w:t xml:space="preserve"> edition. New York: Cambridge University Press Inc., 2012, p. 169.</w:t>
      </w:r>
    </w:p>
  </w:footnote>
  <w:footnote w:id="5">
    <w:p w:rsidR="00A842A7" w:rsidRPr="00CB027F" w:rsidRDefault="00A842A7" w:rsidP="00713FB4">
      <w:pPr>
        <w:pStyle w:val="FootnoteText"/>
        <w:jc w:val="both"/>
      </w:pPr>
      <w:r w:rsidRPr="00CB027F">
        <w:rPr>
          <w:rStyle w:val="FootnoteReference"/>
        </w:rPr>
        <w:footnoteRef/>
      </w:r>
      <w:r w:rsidRPr="00462775">
        <w:t xml:space="preserve"> CrIDH. </w:t>
      </w:r>
      <w:r w:rsidRPr="00CB027F">
        <w:rPr>
          <w:b/>
        </w:rPr>
        <w:t>Caso Castillo Petruzzi e outros Vs. Peru</w:t>
      </w:r>
      <w:r w:rsidRPr="00CB027F">
        <w:t xml:space="preserve">. Sent. 04/09/1998 (Exceções Preliminares). Série C No. 41, § 56 e </w:t>
      </w:r>
      <w:r w:rsidRPr="00CB027F">
        <w:rPr>
          <w:b/>
        </w:rPr>
        <w:t>Caso Velásquez Rodríguez Vs. Honduras</w:t>
      </w:r>
      <w:r w:rsidRPr="00CB027F">
        <w:t>. Sent. 26/06/1987 (Exceções Preliminares). Série C No. 1, § 88.</w:t>
      </w:r>
    </w:p>
  </w:footnote>
  <w:footnote w:id="6">
    <w:p w:rsidR="00A842A7" w:rsidRPr="00CB027F" w:rsidRDefault="00A842A7" w:rsidP="00477EC5">
      <w:pPr>
        <w:pStyle w:val="FootnoteText"/>
        <w:jc w:val="both"/>
      </w:pPr>
      <w:r w:rsidRPr="00CB027F">
        <w:rPr>
          <w:rStyle w:val="FootnoteReference"/>
        </w:rPr>
        <w:footnoteRef/>
      </w:r>
      <w:r w:rsidRPr="00CB027F">
        <w:t xml:space="preserve"> </w:t>
      </w:r>
      <w:r w:rsidRPr="00CB027F">
        <w:rPr>
          <w:b/>
        </w:rPr>
        <w:t>Caso Bolt e outros Vs. República de Cardenal</w:t>
      </w:r>
      <w:r w:rsidRPr="00CB027F">
        <w:t>, § 40.</w:t>
      </w:r>
    </w:p>
  </w:footnote>
  <w:footnote w:id="7">
    <w:p w:rsidR="00A842A7" w:rsidRPr="00CB027F" w:rsidRDefault="00A842A7" w:rsidP="00477EC5">
      <w:pPr>
        <w:pStyle w:val="FootnoteText"/>
        <w:jc w:val="both"/>
      </w:pPr>
      <w:r w:rsidRPr="00CB027F">
        <w:rPr>
          <w:rStyle w:val="FootnoteReference"/>
        </w:rPr>
        <w:footnoteRef/>
      </w:r>
      <w:r w:rsidRPr="00CB027F">
        <w:t xml:space="preserve"> </w:t>
      </w:r>
      <w:r w:rsidRPr="00CB027F">
        <w:rPr>
          <w:b/>
        </w:rPr>
        <w:t>Caso Bolt e outros Vs. República Cardenal</w:t>
      </w:r>
      <w:r w:rsidRPr="00CB027F">
        <w:t>, § 47.</w:t>
      </w:r>
    </w:p>
  </w:footnote>
  <w:footnote w:id="8">
    <w:p w:rsidR="00A842A7" w:rsidRPr="00CB027F" w:rsidRDefault="00A842A7">
      <w:pPr>
        <w:pStyle w:val="FootnoteText"/>
        <w:jc w:val="both"/>
      </w:pPr>
      <w:r w:rsidRPr="00CB027F">
        <w:rPr>
          <w:rStyle w:val="FootnoteReference"/>
        </w:rPr>
        <w:footnoteRef/>
      </w:r>
      <w:r w:rsidRPr="00CB027F">
        <w:t xml:space="preserve"> CrIDH. </w:t>
      </w:r>
      <w:r w:rsidRPr="00CB027F">
        <w:rPr>
          <w:b/>
        </w:rPr>
        <w:t>Caso Godínez Cruz Vs. Honduras</w:t>
      </w:r>
      <w:r w:rsidRPr="00CB027F">
        <w:t xml:space="preserve">. Sent. 20/01/1989 (Mérito), Série C Nº5, §69 e </w:t>
      </w:r>
      <w:r w:rsidRPr="00CB027F">
        <w:rPr>
          <w:b/>
        </w:rPr>
        <w:t>Caso Velásquez Rodríguez Vs. Honduras</w:t>
      </w:r>
      <w:r w:rsidRPr="00CB027F">
        <w:t>. Sent. 29/07/1988 (Mérito). Série C No. 4, § 66.</w:t>
      </w:r>
    </w:p>
  </w:footnote>
  <w:footnote w:id="9">
    <w:p w:rsidR="00A842A7" w:rsidRPr="00CB027F" w:rsidRDefault="00A842A7">
      <w:pPr>
        <w:pStyle w:val="FootnoteText"/>
        <w:jc w:val="both"/>
      </w:pPr>
      <w:r w:rsidRPr="00CB027F">
        <w:rPr>
          <w:rStyle w:val="FootnoteReference"/>
        </w:rPr>
        <w:footnoteRef/>
      </w:r>
      <w:r w:rsidRPr="00CB027F">
        <w:t xml:space="preserve"> CrIDH. </w:t>
      </w:r>
      <w:r w:rsidRPr="00CB027F">
        <w:rPr>
          <w:b/>
        </w:rPr>
        <w:t>Caso Bámaca Velásquez Vs. Guatemala</w:t>
      </w:r>
      <w:r w:rsidRPr="00CB027F">
        <w:t xml:space="preserve">. Sent.25/11/2000 (Mérito). Série C No. 70, § 191 e </w:t>
      </w:r>
      <w:r w:rsidRPr="00CB027F">
        <w:rPr>
          <w:b/>
        </w:rPr>
        <w:t>Caso Juan Humberto Sánchez Vs. Honduras</w:t>
      </w:r>
      <w:r w:rsidRPr="00CB027F">
        <w:t>. Sent. 07/07/2003 (Mérito). Série C No. 99, § 135.</w:t>
      </w:r>
    </w:p>
  </w:footnote>
  <w:footnote w:id="10">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Opinião Consultiva OC-9/87</w:t>
      </w:r>
      <w:r w:rsidRPr="00CB027F">
        <w:t>, de 06/10/1987, Série A No. 9</w:t>
      </w:r>
    </w:p>
  </w:footnote>
  <w:footnote w:id="11">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Opinião Consultiva OC-11/90</w:t>
      </w:r>
      <w:r w:rsidRPr="00CB027F">
        <w:t>, de 10/08/1990. Série A Nº 11</w:t>
      </w:r>
    </w:p>
  </w:footnote>
  <w:footnote w:id="12">
    <w:p w:rsidR="00A842A7" w:rsidRPr="00CB027F" w:rsidRDefault="00A842A7">
      <w:pPr>
        <w:pStyle w:val="FootnoteText"/>
        <w:jc w:val="both"/>
      </w:pPr>
      <w:r w:rsidRPr="00CB027F">
        <w:rPr>
          <w:rStyle w:val="FootnoteReference"/>
        </w:rPr>
        <w:footnoteRef/>
      </w:r>
      <w:r w:rsidRPr="00462775">
        <w:rPr>
          <w:lang w:val="es-CO"/>
        </w:rPr>
        <w:t xml:space="preserve"> CrIDH. </w:t>
      </w:r>
      <w:r w:rsidRPr="00462775">
        <w:rPr>
          <w:b/>
          <w:lang w:val="es-CO"/>
        </w:rPr>
        <w:t xml:space="preserve">Caso Loyaza Tomayo Vs. </w:t>
      </w:r>
      <w:r w:rsidRPr="00CB027F">
        <w:rPr>
          <w:b/>
        </w:rPr>
        <w:t>Peru</w:t>
      </w:r>
      <w:r w:rsidRPr="00CB027F">
        <w:t xml:space="preserve">. Sent. 31/01/1996 (Exceções Preliminares). Série C Nº 25, §§ 42 e 44 e </w:t>
      </w:r>
      <w:r w:rsidRPr="00CB027F">
        <w:rPr>
          <w:b/>
        </w:rPr>
        <w:t>Caso Gomes Lund e Outros Vs. Brasil</w:t>
      </w:r>
      <w:r w:rsidRPr="00CB027F">
        <w:t>. Sent. 24/11/2010 (Exceções Preliminares, Mérito, Reparações e Custas). Série C Nº 219, §38.</w:t>
      </w:r>
    </w:p>
  </w:footnote>
  <w:footnote w:id="13">
    <w:p w:rsidR="00A842A7" w:rsidRPr="00CB027F" w:rsidRDefault="00A842A7">
      <w:pPr>
        <w:pStyle w:val="FootnoteText"/>
        <w:jc w:val="both"/>
      </w:pPr>
      <w:r w:rsidRPr="00CB027F">
        <w:rPr>
          <w:rStyle w:val="FootnoteReference"/>
        </w:rPr>
        <w:footnoteRef/>
      </w:r>
      <w:r w:rsidRPr="00B46D95">
        <w:t xml:space="preserve"> CrIDH. </w:t>
      </w:r>
      <w:r w:rsidRPr="00B46D95">
        <w:rPr>
          <w:b/>
        </w:rPr>
        <w:t xml:space="preserve">Caso Loyaza Tomayo Vs. </w:t>
      </w:r>
      <w:r w:rsidRPr="00CB027F">
        <w:rPr>
          <w:b/>
        </w:rPr>
        <w:t>Peru</w:t>
      </w:r>
      <w:r w:rsidRPr="00CB027F">
        <w:t xml:space="preserve">. Sent. 31/01/1996 (Exceções Preliminares). Série C Nº 25, §§ 42 e 44 e </w:t>
      </w:r>
      <w:r w:rsidRPr="00CB027F">
        <w:rPr>
          <w:b/>
        </w:rPr>
        <w:t>Caso Gomes Lund e Outros Vs. Brasil</w:t>
      </w:r>
      <w:r w:rsidRPr="00CB027F">
        <w:t>. Sent. 24/11/2010 (Exceções Preliminares, Mérito, Reparações e Custas). Série C Nº 219, §38.</w:t>
      </w:r>
    </w:p>
  </w:footnote>
  <w:footnote w:id="14">
    <w:p w:rsidR="00A842A7" w:rsidRPr="00CB027F" w:rsidRDefault="00A842A7" w:rsidP="00477EC5">
      <w:pPr>
        <w:pStyle w:val="FootnoteText"/>
        <w:jc w:val="both"/>
      </w:pPr>
      <w:r w:rsidRPr="00CB027F">
        <w:rPr>
          <w:rStyle w:val="FootnoteReference"/>
        </w:rPr>
        <w:footnoteRef/>
      </w:r>
      <w:r w:rsidRPr="00CB027F">
        <w:t xml:space="preserve"> CrIDH. </w:t>
      </w:r>
      <w:r w:rsidRPr="00CB027F">
        <w:rPr>
          <w:b/>
          <w:iCs/>
        </w:rPr>
        <w:t>Caso Bámaca Velásquez Vs. Guatemala.</w:t>
      </w:r>
      <w:r w:rsidRPr="00CB027F">
        <w:rPr>
          <w:iCs/>
        </w:rPr>
        <w:t xml:space="preserve"> </w:t>
      </w:r>
      <w:r w:rsidRPr="00CB027F">
        <w:t>Sent.25/11/2000 (Mérito). Série C No. 70, § 180.</w:t>
      </w:r>
    </w:p>
  </w:footnote>
  <w:footnote w:id="15">
    <w:p w:rsidR="00A842A7" w:rsidRPr="00CB027F" w:rsidRDefault="00A842A7" w:rsidP="00477EC5">
      <w:pPr>
        <w:pStyle w:val="FootnoteText"/>
        <w:jc w:val="both"/>
      </w:pPr>
      <w:r w:rsidRPr="00CB027F">
        <w:rPr>
          <w:rStyle w:val="FootnoteReference"/>
        </w:rPr>
        <w:footnoteRef/>
      </w:r>
      <w:r w:rsidRPr="00FA5FC8">
        <w:rPr>
          <w:lang w:val="es-CO"/>
        </w:rPr>
        <w:t xml:space="preserve"> CrIDH. </w:t>
      </w:r>
      <w:r w:rsidRPr="00FA5FC8">
        <w:rPr>
          <w:b/>
          <w:iCs/>
          <w:lang w:val="es-CO"/>
        </w:rPr>
        <w:t xml:space="preserve">Caso Radilla Pacheco Vs. </w:t>
      </w:r>
      <w:r w:rsidRPr="00CB027F">
        <w:rPr>
          <w:b/>
          <w:iCs/>
        </w:rPr>
        <w:t>México</w:t>
      </w:r>
      <w:r w:rsidRPr="00CB027F">
        <w:t>. Sent. 23/11/2009 (Exceções Preliminares, Mérito, Reparações e Custas), Série C No. 209, § 156.</w:t>
      </w:r>
    </w:p>
  </w:footnote>
  <w:footnote w:id="16">
    <w:p w:rsidR="00A842A7" w:rsidRPr="00CB027F" w:rsidRDefault="00A842A7" w:rsidP="00D73193">
      <w:pPr>
        <w:pStyle w:val="FootnoteText"/>
        <w:jc w:val="both"/>
      </w:pPr>
      <w:r w:rsidRPr="00CB027F">
        <w:rPr>
          <w:rStyle w:val="FootnoteReference"/>
        </w:rPr>
        <w:footnoteRef/>
      </w:r>
      <w:r w:rsidRPr="00CB027F">
        <w:t xml:space="preserve"> CrIDH. </w:t>
      </w:r>
      <w:r w:rsidRPr="00CB027F">
        <w:rPr>
          <w:b/>
          <w:iCs/>
        </w:rPr>
        <w:t>Caso Anzualdo Castro Vs. Per</w:t>
      </w:r>
      <w:r w:rsidRPr="00CB027F">
        <w:rPr>
          <w:b/>
        </w:rPr>
        <w:t>u</w:t>
      </w:r>
      <w:r w:rsidRPr="00CB027F">
        <w:t>. Sent. 22/09/2009 (Exceções Preliminares, Mérito, Reparações e Custas). Série C, No. 202, § 57.</w:t>
      </w:r>
    </w:p>
  </w:footnote>
  <w:footnote w:id="17">
    <w:p w:rsidR="00A842A7" w:rsidRPr="00CB027F" w:rsidRDefault="00A842A7" w:rsidP="00D73193">
      <w:pPr>
        <w:pStyle w:val="FootnoteText"/>
        <w:jc w:val="both"/>
      </w:pPr>
      <w:r w:rsidRPr="00CB027F">
        <w:rPr>
          <w:rStyle w:val="FootnoteReference"/>
        </w:rPr>
        <w:footnoteRef/>
      </w:r>
      <w:r w:rsidRPr="00FA5FC8">
        <w:rPr>
          <w:lang w:val="es-CO"/>
        </w:rPr>
        <w:t xml:space="preserve"> CrIDH. </w:t>
      </w:r>
      <w:r w:rsidRPr="00FA5FC8">
        <w:rPr>
          <w:b/>
          <w:lang w:val="es-CO"/>
        </w:rPr>
        <w:t xml:space="preserve">Caso González Medina Vs. </w:t>
      </w:r>
      <w:r w:rsidRPr="00CB027F">
        <w:rPr>
          <w:b/>
        </w:rPr>
        <w:t>República Dominicana</w:t>
      </w:r>
      <w:r w:rsidRPr="00CB027F">
        <w:t>. Sent. 27/02/2012 (Exceções Preliminares, Mérito, Reparações e Custas), Série C No. 240, § 188.</w:t>
      </w:r>
    </w:p>
  </w:footnote>
  <w:footnote w:id="18">
    <w:p w:rsidR="00A842A7" w:rsidRPr="00CB027F" w:rsidRDefault="00A842A7" w:rsidP="00D73193">
      <w:pPr>
        <w:pStyle w:val="FootnoteText"/>
        <w:jc w:val="both"/>
      </w:pPr>
      <w:r w:rsidRPr="00CB027F">
        <w:rPr>
          <w:rStyle w:val="FootnoteReference"/>
        </w:rPr>
        <w:footnoteRef/>
      </w:r>
      <w:r w:rsidRPr="00CB027F">
        <w:t xml:space="preserve"> CrIDH. </w:t>
      </w:r>
      <w:r w:rsidRPr="00CB027F">
        <w:rPr>
          <w:b/>
        </w:rPr>
        <w:t>Caso dos Meninos de Rua (Villagrán Morales e outros) Vs. Guatemala</w:t>
      </w:r>
      <w:r w:rsidRPr="00CB027F">
        <w:t>. Sent. 19/11/1999 (Mérito). Série C No. 63, § 144.</w:t>
      </w:r>
    </w:p>
  </w:footnote>
  <w:footnote w:id="19">
    <w:p w:rsidR="00A842A7" w:rsidRPr="00CB027F" w:rsidRDefault="00A842A7" w:rsidP="00713FB4">
      <w:pPr>
        <w:pStyle w:val="FootnoteText"/>
        <w:jc w:val="both"/>
      </w:pPr>
      <w:r w:rsidRPr="00CB027F">
        <w:rPr>
          <w:rStyle w:val="FootnoteReference"/>
        </w:rPr>
        <w:footnoteRef/>
      </w:r>
      <w:r w:rsidRPr="00462775">
        <w:rPr>
          <w:lang w:val="es-CO"/>
        </w:rPr>
        <w:t xml:space="preserve"> CrIDH. </w:t>
      </w:r>
      <w:r w:rsidRPr="00462775">
        <w:rPr>
          <w:b/>
          <w:iCs/>
          <w:lang w:val="es-CO"/>
        </w:rPr>
        <w:t xml:space="preserve">Caso Velásquez Rodríguez Vs. </w:t>
      </w:r>
      <w:r w:rsidRPr="00CB027F">
        <w:rPr>
          <w:b/>
          <w:iCs/>
        </w:rPr>
        <w:t>Honduras</w:t>
      </w:r>
      <w:r w:rsidRPr="00CB027F">
        <w:rPr>
          <w:iCs/>
        </w:rPr>
        <w:t xml:space="preserve">. </w:t>
      </w:r>
      <w:r w:rsidRPr="00CB027F">
        <w:t>Sent. 29/07/1988 (Mérito). Série C No. 4</w:t>
      </w:r>
      <w:r w:rsidRPr="00CB027F">
        <w:rPr>
          <w:iCs/>
        </w:rPr>
        <w:t xml:space="preserve">, </w:t>
      </w:r>
      <w:r w:rsidRPr="00CB027F">
        <w:t xml:space="preserve">§157; </w:t>
      </w:r>
      <w:r w:rsidRPr="00CB027F">
        <w:rPr>
          <w:b/>
          <w:iCs/>
        </w:rPr>
        <w:t>Caso Gelman Vs. Uruguai</w:t>
      </w:r>
      <w:r w:rsidRPr="00CB027F">
        <w:rPr>
          <w:iCs/>
        </w:rPr>
        <w:t xml:space="preserve">. </w:t>
      </w:r>
      <w:r w:rsidRPr="00CB027F">
        <w:t xml:space="preserve">Sent. 24/02/2011 (Mérito e Reparações), Série C No. 221, § 96; </w:t>
      </w:r>
      <w:r w:rsidRPr="00CB027F">
        <w:rPr>
          <w:b/>
        </w:rPr>
        <w:t>Caso Juan Humberto Sánchez Vs. Honduras.</w:t>
      </w:r>
      <w:r w:rsidRPr="00CB027F">
        <w:t xml:space="preserve"> Sent. 07/07/2003 (Mérito), Série C, Nº 99, §123 e </w:t>
      </w:r>
      <w:r w:rsidRPr="00CB027F">
        <w:rPr>
          <w:b/>
        </w:rPr>
        <w:t>Caso dos Meninos de Rua (Villagrán e outros) Vs. Nicarágua.</w:t>
      </w:r>
      <w:r w:rsidRPr="00CB027F">
        <w:t xml:space="preserve"> Sent. 19/11/1999 (Mérito), Série C Nº63, §123.</w:t>
      </w:r>
    </w:p>
  </w:footnote>
  <w:footnote w:id="20">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Godínez Cruz vs. Honduras</w:t>
      </w:r>
      <w:r w:rsidRPr="00CB027F">
        <w:t>. Sent. 20/01/1989 (Mérito). Séries C No. 5, §§ 136 e 137.</w:t>
      </w:r>
    </w:p>
  </w:footnote>
  <w:footnote w:id="21">
    <w:p w:rsidR="00A842A7" w:rsidRPr="00CB027F" w:rsidRDefault="00A842A7" w:rsidP="00713FB4">
      <w:pPr>
        <w:pStyle w:val="FootnoteText"/>
        <w:jc w:val="both"/>
        <w:rPr>
          <w:iCs/>
        </w:rPr>
      </w:pPr>
      <w:r w:rsidRPr="00CB027F">
        <w:rPr>
          <w:rStyle w:val="FootnoteReference"/>
        </w:rPr>
        <w:footnoteRef/>
      </w:r>
      <w:r w:rsidRPr="00CB027F">
        <w:t xml:space="preserve"> CrIDH. </w:t>
      </w:r>
      <w:r w:rsidRPr="00CB027F">
        <w:rPr>
          <w:b/>
          <w:iCs/>
        </w:rPr>
        <w:t>Caso Bámaca Velásquez Vs. Guatemala.</w:t>
      </w:r>
      <w:r w:rsidRPr="00CB027F">
        <w:rPr>
          <w:iCs/>
        </w:rPr>
        <w:t xml:space="preserve"> Mérito, 25/11/2000, Série C Nº70, §130 e </w:t>
      </w:r>
      <w:r w:rsidRPr="00CB027F">
        <w:rPr>
          <w:b/>
          <w:iCs/>
        </w:rPr>
        <w:t>Caso La Cantuta Vs. Peru</w:t>
      </w:r>
      <w:r w:rsidRPr="00CB027F">
        <w:rPr>
          <w:iCs/>
        </w:rPr>
        <w:t xml:space="preserve">. Sent. 29/11/2006 </w:t>
      </w:r>
      <w:r w:rsidRPr="00CB027F">
        <w:t>(Mérito, Reparações e Custas.)</w:t>
      </w:r>
      <w:r w:rsidRPr="00CB027F">
        <w:rPr>
          <w:iCs/>
        </w:rPr>
        <w:t>, Série C Nº162, §83.</w:t>
      </w:r>
    </w:p>
  </w:footnote>
  <w:footnote w:id="22">
    <w:p w:rsidR="00A842A7" w:rsidRPr="00CB027F" w:rsidRDefault="00A842A7" w:rsidP="00713FB4">
      <w:pPr>
        <w:spacing w:line="240" w:lineRule="auto"/>
        <w:jc w:val="both"/>
        <w:rPr>
          <w:sz w:val="20"/>
          <w:szCs w:val="20"/>
        </w:rPr>
      </w:pPr>
      <w:r w:rsidRPr="00CB027F">
        <w:rPr>
          <w:rStyle w:val="FootnoteReference"/>
          <w:sz w:val="20"/>
          <w:szCs w:val="20"/>
        </w:rPr>
        <w:footnoteRef/>
      </w:r>
      <w:r w:rsidRPr="00CB027F">
        <w:rPr>
          <w:sz w:val="20"/>
          <w:szCs w:val="20"/>
        </w:rPr>
        <w:t xml:space="preserve"> CmADHP. </w:t>
      </w:r>
      <w:r w:rsidRPr="00CB027F">
        <w:rPr>
          <w:b/>
          <w:sz w:val="20"/>
          <w:szCs w:val="20"/>
        </w:rPr>
        <w:t>Caso Noah Kazingachire Vs. Zimbábue</w:t>
      </w:r>
      <w:r w:rsidRPr="00CB027F">
        <w:rPr>
          <w:sz w:val="20"/>
          <w:szCs w:val="20"/>
        </w:rPr>
        <w:t>. Relatório de 18/04/2012, §§ 96 e 97.</w:t>
      </w:r>
    </w:p>
  </w:footnote>
  <w:footnote w:id="23">
    <w:p w:rsidR="00A842A7" w:rsidRPr="00CB027F" w:rsidRDefault="00A842A7" w:rsidP="00713FB4">
      <w:pPr>
        <w:pStyle w:val="FootnoteText"/>
        <w:jc w:val="both"/>
      </w:pPr>
      <w:r w:rsidRPr="00CB027F">
        <w:rPr>
          <w:rStyle w:val="FootnoteReference"/>
        </w:rPr>
        <w:footnoteRef/>
      </w:r>
      <w:r w:rsidRPr="00462775">
        <w:rPr>
          <w:lang w:val="es-CO"/>
        </w:rPr>
        <w:t xml:space="preserve"> CrIDH. </w:t>
      </w:r>
      <w:r w:rsidRPr="00462775">
        <w:rPr>
          <w:b/>
          <w:lang w:val="es-CO"/>
        </w:rPr>
        <w:t>Caso Ibsen Cárdenas e Ibsen Peña Vs Bolívia</w:t>
      </w:r>
      <w:r w:rsidRPr="00462775">
        <w:rPr>
          <w:lang w:val="es-CO"/>
        </w:rPr>
        <w:t xml:space="preserve">. </w:t>
      </w:r>
      <w:r w:rsidRPr="00CB027F">
        <w:t xml:space="preserve">Sent. 01/09/2010 (Mérito, Reparações e Custas), Série C, No. 217,  </w:t>
      </w:r>
      <w:r w:rsidRPr="00CB027F">
        <w:rPr>
          <w:iCs/>
        </w:rPr>
        <w:t xml:space="preserve">§ </w:t>
      </w:r>
      <w:r w:rsidRPr="00CB027F">
        <w:t>95.</w:t>
      </w:r>
    </w:p>
  </w:footnote>
  <w:footnote w:id="24">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Caso Suárez Rosero Vs. Equador</w:t>
      </w:r>
      <w:r w:rsidRPr="00CB027F">
        <w:t>. Sent. 12/11/1997 (Mérito). Série C Nº 35, §90.</w:t>
      </w:r>
    </w:p>
  </w:footnote>
  <w:footnote w:id="25">
    <w:p w:rsidR="00A842A7" w:rsidRPr="00CB027F" w:rsidRDefault="00A842A7" w:rsidP="00477EC5">
      <w:pPr>
        <w:autoSpaceDE w:val="0"/>
        <w:autoSpaceDN w:val="0"/>
        <w:adjustRightInd w:val="0"/>
        <w:spacing w:line="240" w:lineRule="auto"/>
        <w:jc w:val="both"/>
        <w:rPr>
          <w:sz w:val="20"/>
          <w:szCs w:val="20"/>
        </w:rPr>
      </w:pPr>
      <w:r w:rsidRPr="00CB027F">
        <w:rPr>
          <w:rStyle w:val="FootnoteReference"/>
          <w:sz w:val="20"/>
          <w:szCs w:val="20"/>
        </w:rPr>
        <w:footnoteRef/>
      </w:r>
      <w:r w:rsidRPr="00FA5FC8">
        <w:rPr>
          <w:sz w:val="20"/>
          <w:szCs w:val="20"/>
          <w:lang w:val="es-CO"/>
        </w:rPr>
        <w:t xml:space="preserve"> CrIDH. </w:t>
      </w:r>
      <w:r w:rsidRPr="00FA5FC8">
        <w:rPr>
          <w:b/>
          <w:sz w:val="20"/>
          <w:szCs w:val="20"/>
          <w:lang w:val="es-CO"/>
        </w:rPr>
        <w:t xml:space="preserve">Caso González Medina Vs. </w:t>
      </w:r>
      <w:r w:rsidRPr="00CB027F">
        <w:rPr>
          <w:b/>
          <w:sz w:val="20"/>
          <w:szCs w:val="20"/>
        </w:rPr>
        <w:t>República Dominicana</w:t>
      </w:r>
      <w:r w:rsidRPr="00CB027F">
        <w:rPr>
          <w:sz w:val="20"/>
          <w:szCs w:val="20"/>
        </w:rPr>
        <w:t xml:space="preserve">. Sent. 27/02/2012 (Exceções Preliminares, Mérito, Reparações e Custas), Série C No. 240, </w:t>
      </w:r>
      <w:r w:rsidRPr="00CB027F">
        <w:rPr>
          <w:iCs/>
          <w:sz w:val="20"/>
          <w:szCs w:val="20"/>
        </w:rPr>
        <w:t xml:space="preserve">§ </w:t>
      </w:r>
      <w:r w:rsidRPr="00CB027F">
        <w:rPr>
          <w:sz w:val="20"/>
          <w:szCs w:val="20"/>
        </w:rPr>
        <w:t xml:space="preserve">180; </w:t>
      </w:r>
      <w:r w:rsidRPr="00CB027F">
        <w:rPr>
          <w:b/>
          <w:iCs/>
          <w:sz w:val="20"/>
          <w:szCs w:val="20"/>
        </w:rPr>
        <w:t>Caso Velásquez Rodríguez Vs. Honduras</w:t>
      </w:r>
      <w:r w:rsidRPr="00CB027F">
        <w:rPr>
          <w:iCs/>
          <w:sz w:val="20"/>
          <w:szCs w:val="20"/>
        </w:rPr>
        <w:t xml:space="preserve">. </w:t>
      </w:r>
      <w:r w:rsidRPr="00CB027F">
        <w:rPr>
          <w:sz w:val="20"/>
          <w:szCs w:val="20"/>
        </w:rPr>
        <w:t>Sent. 29/07/1988 (Mérito). Série C No. 4</w:t>
      </w:r>
      <w:r w:rsidRPr="00CB027F">
        <w:rPr>
          <w:i/>
          <w:iCs/>
          <w:sz w:val="20"/>
          <w:szCs w:val="20"/>
        </w:rPr>
        <w:t xml:space="preserve">, </w:t>
      </w:r>
      <w:r w:rsidRPr="00CB027F">
        <w:rPr>
          <w:iCs/>
          <w:sz w:val="20"/>
          <w:szCs w:val="20"/>
        </w:rPr>
        <w:t>§</w:t>
      </w:r>
      <w:r w:rsidRPr="00CB027F">
        <w:rPr>
          <w:sz w:val="20"/>
          <w:szCs w:val="20"/>
        </w:rPr>
        <w:t xml:space="preserve"> 175 e </w:t>
      </w:r>
      <w:r w:rsidRPr="00CB027F">
        <w:rPr>
          <w:b/>
          <w:iCs/>
          <w:sz w:val="20"/>
          <w:szCs w:val="20"/>
        </w:rPr>
        <w:t>Caso Contreras e outros Vs. El Salvador</w:t>
      </w:r>
      <w:r w:rsidRPr="00CB027F">
        <w:rPr>
          <w:iCs/>
          <w:sz w:val="20"/>
          <w:szCs w:val="20"/>
        </w:rPr>
        <w:t>. Sent. 31/08/2011 (Mérito, Reparações e Custas)</w:t>
      </w:r>
      <w:r w:rsidRPr="00CB027F">
        <w:rPr>
          <w:sz w:val="20"/>
          <w:szCs w:val="20"/>
        </w:rPr>
        <w:t xml:space="preserve">, </w:t>
      </w:r>
      <w:r w:rsidRPr="00CB027F">
        <w:rPr>
          <w:iCs/>
          <w:sz w:val="20"/>
          <w:szCs w:val="20"/>
        </w:rPr>
        <w:t>§</w:t>
      </w:r>
      <w:r w:rsidRPr="00CB027F">
        <w:rPr>
          <w:sz w:val="20"/>
          <w:szCs w:val="20"/>
        </w:rPr>
        <w:t xml:space="preserve"> 85.</w:t>
      </w:r>
    </w:p>
  </w:footnote>
  <w:footnote w:id="26">
    <w:p w:rsidR="00A842A7" w:rsidRPr="00CB027F" w:rsidRDefault="00A842A7" w:rsidP="00477EC5">
      <w:pPr>
        <w:pStyle w:val="FootnoteText"/>
        <w:jc w:val="both"/>
      </w:pPr>
      <w:r w:rsidRPr="00CB027F">
        <w:rPr>
          <w:rStyle w:val="FootnoteReference"/>
        </w:rPr>
        <w:footnoteRef/>
      </w:r>
      <w:r w:rsidRPr="00462775">
        <w:rPr>
          <w:lang w:val="es-CO"/>
        </w:rPr>
        <w:t xml:space="preserve"> CrIDH. </w:t>
      </w:r>
      <w:r w:rsidRPr="00462775">
        <w:rPr>
          <w:b/>
          <w:lang w:val="es-CO"/>
        </w:rPr>
        <w:t xml:space="preserve">Caso Lori Berenson Mejía Vs. </w:t>
      </w:r>
      <w:r w:rsidR="00E435AC">
        <w:rPr>
          <w:b/>
        </w:rPr>
        <w:t>Peru</w:t>
      </w:r>
      <w:r w:rsidRPr="00CB027F">
        <w:t xml:space="preserve">. Sent. 25/11/2004 </w:t>
      </w:r>
      <w:r w:rsidRPr="00CB027F">
        <w:rPr>
          <w:iCs/>
          <w:color w:val="000000"/>
        </w:rPr>
        <w:t>(Mérito, Reparações e Custas)</w:t>
      </w:r>
      <w:r w:rsidRPr="00CB027F">
        <w:t xml:space="preserve">, Série C No. 119, </w:t>
      </w:r>
      <w:r w:rsidRPr="00CB027F">
        <w:rPr>
          <w:iCs/>
        </w:rPr>
        <w:t>§</w:t>
      </w:r>
      <w:r w:rsidRPr="00CB027F">
        <w:t xml:space="preserve">100; </w:t>
      </w:r>
      <w:r w:rsidRPr="00CB027F">
        <w:rPr>
          <w:b/>
        </w:rPr>
        <w:t>Caso Fleury e outros Vs. Haiti</w:t>
      </w:r>
      <w:r w:rsidRPr="00CB027F">
        <w:t xml:space="preserve">. Sent. 23/11/2011 (Mérito e Reparações). Série C. No. 236, </w:t>
      </w:r>
      <w:r w:rsidRPr="00CB027F">
        <w:rPr>
          <w:iCs/>
        </w:rPr>
        <w:t xml:space="preserve">§ </w:t>
      </w:r>
      <w:r w:rsidRPr="00CB027F">
        <w:t xml:space="preserve">70 e </w:t>
      </w:r>
      <w:r w:rsidRPr="00CB027F">
        <w:rPr>
          <w:b/>
        </w:rPr>
        <w:t>Caso Tibi Vs. Equador</w:t>
      </w:r>
      <w:r w:rsidRPr="00CB027F">
        <w:t xml:space="preserve">. Sent 07/09/2004 (Exceções Preliminares, Mérito, Reparações e Custas), Série C No. 114, </w:t>
      </w:r>
      <w:r w:rsidRPr="00CB027F">
        <w:rPr>
          <w:iCs/>
        </w:rPr>
        <w:t xml:space="preserve">§ </w:t>
      </w:r>
      <w:r w:rsidRPr="00CB027F">
        <w:t>143.</w:t>
      </w:r>
    </w:p>
  </w:footnote>
  <w:footnote w:id="27">
    <w:p w:rsidR="00A842A7" w:rsidRPr="00CB027F" w:rsidRDefault="00A842A7" w:rsidP="00713FB4">
      <w:pPr>
        <w:pStyle w:val="FootnoteText"/>
        <w:jc w:val="both"/>
      </w:pPr>
      <w:r w:rsidRPr="00CB027F">
        <w:rPr>
          <w:rStyle w:val="FootnoteReference"/>
        </w:rPr>
        <w:footnoteRef/>
      </w:r>
      <w:r w:rsidRPr="00CB027F">
        <w:rPr>
          <w:lang w:val="en-US"/>
        </w:rPr>
        <w:t xml:space="preserve"> </w:t>
      </w:r>
      <w:r w:rsidRPr="00CB027F">
        <w:rPr>
          <w:b/>
          <w:lang w:val="en-US"/>
        </w:rPr>
        <w:t>‘Questions of the Human Rights of all Persons subjected to any form of detention or imprisonment, in particular: torture and other Cruel, Inhuman or Degrading Treatment or Punishment’</w:t>
      </w:r>
      <w:r w:rsidRPr="00CB027F">
        <w:rPr>
          <w:lang w:val="en-US"/>
        </w:rPr>
        <w:t xml:space="preserve">. </w:t>
      </w:r>
      <w:r w:rsidRPr="00CB027F">
        <w:t>Relatório do Relator Especial, Sr. Nigel S. Rodley, submetido à Comissão de Direitos Humanos res. 1995/37 B, 10/01/1997, E/CN.4/1997/7.</w:t>
      </w:r>
    </w:p>
  </w:footnote>
  <w:footnote w:id="28">
    <w:p w:rsidR="00A842A7" w:rsidRPr="00CB027F" w:rsidRDefault="00A842A7">
      <w:pPr>
        <w:pStyle w:val="FootnoteText"/>
      </w:pPr>
      <w:r w:rsidRPr="00CB027F">
        <w:rPr>
          <w:rStyle w:val="FootnoteReference"/>
        </w:rPr>
        <w:footnoteRef/>
      </w:r>
      <w:r w:rsidRPr="00FA5FC8">
        <w:rPr>
          <w:lang w:val="es-CO"/>
        </w:rPr>
        <w:t xml:space="preserve"> BURGORGUE-LARSEN, Laurence e ÚBEDA DE TORRES, Amaya. </w:t>
      </w:r>
      <w:r w:rsidRPr="00CB027F">
        <w:rPr>
          <w:b/>
          <w:lang w:val="en-US"/>
        </w:rPr>
        <w:t>The Inter-American Court of Human Rights: Case-Law and Commentary</w:t>
      </w:r>
      <w:r w:rsidRPr="00CB027F">
        <w:rPr>
          <w:lang w:val="en-US"/>
        </w:rPr>
        <w:t xml:space="preserve">. </w:t>
      </w:r>
      <w:r w:rsidRPr="00CB027F">
        <w:t>2</w:t>
      </w:r>
      <w:r w:rsidRPr="00CB027F">
        <w:rPr>
          <w:vertAlign w:val="superscript"/>
        </w:rPr>
        <w:t xml:space="preserve">ª </w:t>
      </w:r>
      <w:r w:rsidRPr="00CB027F">
        <w:t>edição. Nova York: Oxford University Press, 2011, pp. 373-374.</w:t>
      </w:r>
    </w:p>
  </w:footnote>
  <w:footnote w:id="29">
    <w:p w:rsidR="00A842A7" w:rsidRPr="00CB027F" w:rsidRDefault="00A842A7" w:rsidP="00713FB4">
      <w:pPr>
        <w:pStyle w:val="FootnoteText"/>
        <w:jc w:val="both"/>
      </w:pPr>
      <w:r w:rsidRPr="00CB027F">
        <w:rPr>
          <w:rStyle w:val="FootnoteReference"/>
        </w:rPr>
        <w:footnoteRef/>
      </w:r>
      <w:r w:rsidRPr="00FA5FC8">
        <w:rPr>
          <w:lang w:val="es-CO"/>
        </w:rPr>
        <w:t xml:space="preserve"> CrIDH. </w:t>
      </w:r>
      <w:r w:rsidRPr="00FA5FC8">
        <w:rPr>
          <w:b/>
          <w:lang w:val="es-CO"/>
        </w:rPr>
        <w:t xml:space="preserve">Caso Velásquez Rodríguez Vs. </w:t>
      </w:r>
      <w:r w:rsidRPr="00CB027F">
        <w:rPr>
          <w:b/>
        </w:rPr>
        <w:t>Honduras</w:t>
      </w:r>
      <w:r w:rsidRPr="00CB027F">
        <w:t>. Sent. 29/07/1988 (Mérito), Série C Nº 4,</w:t>
      </w:r>
      <w:r w:rsidRPr="00CB027F">
        <w:rPr>
          <w:iCs/>
        </w:rPr>
        <w:t xml:space="preserve"> §</w:t>
      </w:r>
      <w:r w:rsidRPr="00CB027F">
        <w:t xml:space="preserve"> 165. </w:t>
      </w:r>
    </w:p>
  </w:footnote>
  <w:footnote w:id="30">
    <w:p w:rsidR="00A842A7" w:rsidRPr="00CB027F" w:rsidRDefault="00A842A7" w:rsidP="00713FB4">
      <w:pPr>
        <w:pStyle w:val="FootnoteText"/>
        <w:jc w:val="both"/>
      </w:pPr>
      <w:r w:rsidRPr="00CB027F">
        <w:rPr>
          <w:rStyle w:val="FootnoteReference"/>
        </w:rPr>
        <w:footnoteRef/>
      </w:r>
      <w:r w:rsidRPr="00CB027F">
        <w:t xml:space="preserve"> </w:t>
      </w:r>
      <w:r w:rsidRPr="00CB027F">
        <w:rPr>
          <w:rFonts w:eastAsia="Times New Roman"/>
          <w:color w:val="000000"/>
        </w:rPr>
        <w:t xml:space="preserve">TEDH. </w:t>
      </w:r>
      <w:r w:rsidRPr="00CB027F">
        <w:rPr>
          <w:rFonts w:eastAsia="Times New Roman"/>
          <w:b/>
          <w:color w:val="000000"/>
        </w:rPr>
        <w:t>Caso Nikolova e Velichkova Vs. Bulgária</w:t>
      </w:r>
      <w:r w:rsidRPr="00CB027F">
        <w:rPr>
          <w:rFonts w:eastAsia="Times New Roman"/>
          <w:color w:val="000000"/>
        </w:rPr>
        <w:t>. Sent. 20/03/2008. No. 7888/03, §§ 57 e 61.</w:t>
      </w:r>
    </w:p>
  </w:footnote>
  <w:footnote w:id="31">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Caso Mendoza e outros Vs. Argentina</w:t>
      </w:r>
      <w:r w:rsidRPr="00CB027F">
        <w:t>. Sent. 14/05/2013 (Exceções Preliminares, Mérito e Reparações). Série C No. 260. § 174.</w:t>
      </w:r>
    </w:p>
  </w:footnote>
  <w:footnote w:id="32">
    <w:p w:rsidR="00A842A7" w:rsidRPr="00CB027F" w:rsidRDefault="00A842A7" w:rsidP="00477EC5">
      <w:pPr>
        <w:pStyle w:val="FootnoteText"/>
        <w:jc w:val="both"/>
      </w:pPr>
      <w:r w:rsidRPr="00CB027F">
        <w:rPr>
          <w:rStyle w:val="FootnoteReference"/>
        </w:rPr>
        <w:footnoteRef/>
      </w:r>
      <w:r w:rsidRPr="00CB027F">
        <w:t xml:space="preserve"> TEDH. </w:t>
      </w:r>
      <w:r w:rsidRPr="00CB027F">
        <w:rPr>
          <w:b/>
        </w:rPr>
        <w:t>Caso Harkins e Edwards Vs. Reino Unido</w:t>
      </w:r>
      <w:r w:rsidRPr="00CB027F">
        <w:t>, (No. 9146/07 y No. 32650/07). Sent. 17/01/2012, § 132.</w:t>
      </w:r>
    </w:p>
  </w:footnote>
  <w:footnote w:id="33">
    <w:p w:rsidR="00A842A7" w:rsidRPr="00CB027F" w:rsidRDefault="00A842A7" w:rsidP="00CA5753">
      <w:pPr>
        <w:pStyle w:val="FootnoteText"/>
        <w:jc w:val="both"/>
      </w:pPr>
      <w:r w:rsidRPr="00CB027F">
        <w:rPr>
          <w:rStyle w:val="FootnoteReference"/>
        </w:rPr>
        <w:footnoteRef/>
      </w:r>
      <w:r w:rsidRPr="00B46D95">
        <w:t xml:space="preserve"> CrIDH. </w:t>
      </w:r>
      <w:r w:rsidRPr="00B46D95">
        <w:rPr>
          <w:b/>
          <w:iCs/>
        </w:rPr>
        <w:t xml:space="preserve">Caso Trujillo Oroza Vs. </w:t>
      </w:r>
      <w:r w:rsidRPr="00CB027F">
        <w:rPr>
          <w:b/>
          <w:iCs/>
        </w:rPr>
        <w:t>Bolívia</w:t>
      </w:r>
      <w:r w:rsidRPr="00CB027F">
        <w:rPr>
          <w:iCs/>
        </w:rPr>
        <w:t xml:space="preserve">. </w:t>
      </w:r>
      <w:r w:rsidRPr="00CB027F">
        <w:t xml:space="preserve">Sent. 27/02/2002 (Reparações e Custas), Série C Nº 92, § 114; </w:t>
      </w:r>
      <w:r w:rsidRPr="00CB027F">
        <w:rPr>
          <w:b/>
          <w:iCs/>
        </w:rPr>
        <w:t>Caso Chitay Nech e outros Vs. Guatemala</w:t>
      </w:r>
      <w:r w:rsidRPr="00CB027F">
        <w:rPr>
          <w:iCs/>
        </w:rPr>
        <w:t xml:space="preserve">. Sent. 25/05/2010 </w:t>
      </w:r>
      <w:r w:rsidRPr="00CB027F">
        <w:t>(Exceções Preliminares, Mérito, Reparações e Custas)</w:t>
      </w:r>
      <w:r w:rsidRPr="00CB027F">
        <w:rPr>
          <w:iCs/>
        </w:rPr>
        <w:t>, Série C No. 212</w:t>
      </w:r>
      <w:r w:rsidRPr="00CB027F">
        <w:t xml:space="preserve">, § 221; </w:t>
      </w:r>
      <w:r w:rsidRPr="00CB027F">
        <w:rPr>
          <w:b/>
          <w:iCs/>
        </w:rPr>
        <w:t>Caso Ibsen Cárdenas e Ibsen Peña Vs. Bolívia</w:t>
      </w:r>
      <w:r w:rsidRPr="00CB027F">
        <w:t xml:space="preserve">. Sent. 01/09/2010 (Mérito, Reparações e Custas), Série C, No. 217, § 130 e </w:t>
      </w:r>
      <w:r w:rsidRPr="00CB027F">
        <w:rPr>
          <w:b/>
        </w:rPr>
        <w:t>Caso Gomes Lund e outros Vs. Brasil</w:t>
      </w:r>
      <w:r w:rsidRPr="00CB027F">
        <w:t>. Sent. 24/11/2010 (Exceções Preliminares, Mérito, Reparações e Custas). Série C Nº 219, §§ 240 e 241.</w:t>
      </w:r>
    </w:p>
  </w:footnote>
  <w:footnote w:id="34">
    <w:p w:rsidR="00A842A7" w:rsidRPr="00CB027F" w:rsidRDefault="00A842A7">
      <w:pPr>
        <w:pStyle w:val="FootnoteText"/>
        <w:jc w:val="both"/>
      </w:pPr>
      <w:r w:rsidRPr="00CB027F">
        <w:rPr>
          <w:rStyle w:val="FootnoteReference"/>
        </w:rPr>
        <w:footnoteRef/>
      </w:r>
      <w:r w:rsidRPr="00CB027F">
        <w:t xml:space="preserve"> CrIDH. </w:t>
      </w:r>
      <w:r w:rsidRPr="00CB027F">
        <w:rPr>
          <w:b/>
          <w:iCs/>
        </w:rPr>
        <w:t>Caso Goiburú e outros Vs. Paraguai</w:t>
      </w:r>
      <w:r w:rsidRPr="00CB027F">
        <w:rPr>
          <w:iCs/>
        </w:rPr>
        <w:t>. Sent. 22/09/2006 (Mérito, Reparações e Custas), Série C No. 153</w:t>
      </w:r>
      <w:r w:rsidRPr="00CB027F">
        <w:t xml:space="preserve">, § 103; </w:t>
      </w:r>
      <w:r w:rsidRPr="00CB027F">
        <w:rPr>
          <w:b/>
          <w:iCs/>
        </w:rPr>
        <w:t>Caso Radilla Pacheco</w:t>
      </w:r>
      <w:r w:rsidRPr="00CB027F">
        <w:t xml:space="preserve">. Sent. 23/11/2009 (Exceções Preliminares, Mérito, Reparações e Custas), Série C No. 209, § 172 e </w:t>
      </w:r>
      <w:r w:rsidRPr="00CB027F">
        <w:rPr>
          <w:b/>
          <w:iCs/>
        </w:rPr>
        <w:t>Caso Chitay Nech e outros Vs. Guatemala</w:t>
      </w:r>
      <w:r w:rsidRPr="00CB027F">
        <w:rPr>
          <w:iCs/>
        </w:rPr>
        <w:t xml:space="preserve">. Sent. 25/05/2010 </w:t>
      </w:r>
      <w:r w:rsidRPr="00CB027F">
        <w:t>(Exceções Preliminares, Mérito, Reparações e Custas)</w:t>
      </w:r>
      <w:r w:rsidRPr="00CB027F">
        <w:rPr>
          <w:iCs/>
        </w:rPr>
        <w:t>, Série C No. 212</w:t>
      </w:r>
      <w:r w:rsidRPr="00CB027F">
        <w:t xml:space="preserve">, § 226.  </w:t>
      </w:r>
    </w:p>
  </w:footnote>
  <w:footnote w:id="35">
    <w:p w:rsidR="00A842A7" w:rsidRPr="00CB027F" w:rsidRDefault="00A842A7" w:rsidP="00477EC5">
      <w:pPr>
        <w:pStyle w:val="FootnoteText"/>
        <w:jc w:val="both"/>
      </w:pPr>
      <w:r w:rsidRPr="00CB027F">
        <w:rPr>
          <w:rStyle w:val="FootnoteReference"/>
        </w:rPr>
        <w:footnoteRef/>
      </w:r>
      <w:r w:rsidRPr="00CB027F">
        <w:t xml:space="preserve"> </w:t>
      </w:r>
      <w:r w:rsidRPr="00CB027F">
        <w:rPr>
          <w:b/>
        </w:rPr>
        <w:t>Caso Bolt e Outros Vs. República Cardenal</w:t>
      </w:r>
      <w:r w:rsidRPr="00CB027F">
        <w:t>, § 42.</w:t>
      </w:r>
    </w:p>
  </w:footnote>
  <w:footnote w:id="36">
    <w:p w:rsidR="00A842A7" w:rsidRPr="00CB027F" w:rsidRDefault="00A842A7" w:rsidP="00477EC5">
      <w:pPr>
        <w:autoSpaceDE w:val="0"/>
        <w:autoSpaceDN w:val="0"/>
        <w:adjustRightInd w:val="0"/>
        <w:spacing w:line="240" w:lineRule="auto"/>
        <w:jc w:val="both"/>
        <w:rPr>
          <w:sz w:val="20"/>
          <w:szCs w:val="20"/>
        </w:rPr>
      </w:pPr>
      <w:r w:rsidRPr="00CB027F">
        <w:rPr>
          <w:rStyle w:val="FootnoteReference"/>
          <w:sz w:val="20"/>
          <w:szCs w:val="20"/>
        </w:rPr>
        <w:footnoteRef/>
      </w:r>
      <w:r w:rsidRPr="00CB027F">
        <w:rPr>
          <w:sz w:val="20"/>
          <w:szCs w:val="20"/>
        </w:rPr>
        <w:t xml:space="preserve"> CrIDH </w:t>
      </w:r>
      <w:r w:rsidRPr="00CB027F">
        <w:rPr>
          <w:b/>
          <w:iCs/>
          <w:sz w:val="20"/>
          <w:szCs w:val="20"/>
        </w:rPr>
        <w:t>Caso Gangaram Panday Vs. Suriname</w:t>
      </w:r>
      <w:r w:rsidRPr="00CB027F">
        <w:rPr>
          <w:sz w:val="20"/>
          <w:szCs w:val="20"/>
        </w:rPr>
        <w:t>. Sent. 21/01/1994 (Mérito, Reparações e Custas), Série C No. 16, § 47.</w:t>
      </w:r>
    </w:p>
  </w:footnote>
  <w:footnote w:id="37">
    <w:p w:rsidR="00A842A7" w:rsidRPr="00CB027F" w:rsidRDefault="00A842A7" w:rsidP="00477EC5">
      <w:pPr>
        <w:autoSpaceDE w:val="0"/>
        <w:autoSpaceDN w:val="0"/>
        <w:adjustRightInd w:val="0"/>
        <w:spacing w:line="240" w:lineRule="auto"/>
        <w:jc w:val="both"/>
        <w:rPr>
          <w:sz w:val="20"/>
          <w:szCs w:val="20"/>
        </w:rPr>
      </w:pPr>
      <w:r w:rsidRPr="00CB027F">
        <w:rPr>
          <w:rStyle w:val="FootnoteReference"/>
          <w:sz w:val="20"/>
          <w:szCs w:val="20"/>
        </w:rPr>
        <w:footnoteRef/>
      </w:r>
      <w:r w:rsidRPr="00CB027F">
        <w:rPr>
          <w:sz w:val="20"/>
          <w:szCs w:val="20"/>
        </w:rPr>
        <w:t xml:space="preserve"> </w:t>
      </w:r>
      <w:r w:rsidRPr="00CB027F">
        <w:rPr>
          <w:iCs/>
          <w:sz w:val="20"/>
          <w:szCs w:val="20"/>
        </w:rPr>
        <w:t xml:space="preserve">CrIDH. </w:t>
      </w:r>
      <w:r w:rsidRPr="00CB027F">
        <w:rPr>
          <w:b/>
          <w:iCs/>
          <w:sz w:val="20"/>
          <w:szCs w:val="20"/>
        </w:rPr>
        <w:t>Caso Neira Alegría e outros Vs. Peru</w:t>
      </w:r>
      <w:r w:rsidRPr="00CB027F">
        <w:rPr>
          <w:iCs/>
          <w:sz w:val="20"/>
          <w:szCs w:val="20"/>
        </w:rPr>
        <w:t xml:space="preserve">. Sent. 19/ 01/1995 (Mérito). Série C, No. 20, </w:t>
      </w:r>
      <w:r w:rsidRPr="00CB027F">
        <w:rPr>
          <w:sz w:val="20"/>
          <w:szCs w:val="20"/>
        </w:rPr>
        <w:t>§ 60.</w:t>
      </w:r>
    </w:p>
  </w:footnote>
  <w:footnote w:id="38">
    <w:p w:rsidR="00A842A7" w:rsidRPr="00CB027F" w:rsidRDefault="00A842A7" w:rsidP="00477EC5">
      <w:pPr>
        <w:autoSpaceDE w:val="0"/>
        <w:autoSpaceDN w:val="0"/>
        <w:adjustRightInd w:val="0"/>
        <w:spacing w:line="240" w:lineRule="auto"/>
        <w:jc w:val="both"/>
        <w:rPr>
          <w:sz w:val="20"/>
          <w:szCs w:val="20"/>
        </w:rPr>
      </w:pPr>
      <w:r w:rsidRPr="00CB027F">
        <w:rPr>
          <w:rStyle w:val="FootnoteReference"/>
          <w:sz w:val="20"/>
          <w:szCs w:val="20"/>
        </w:rPr>
        <w:footnoteRef/>
      </w:r>
      <w:r w:rsidRPr="00CB027F">
        <w:rPr>
          <w:sz w:val="20"/>
          <w:szCs w:val="20"/>
        </w:rPr>
        <w:t xml:space="preserve"> CrIDH. </w:t>
      </w:r>
      <w:r w:rsidRPr="00CB027F">
        <w:rPr>
          <w:b/>
          <w:iCs/>
          <w:sz w:val="20"/>
          <w:szCs w:val="20"/>
        </w:rPr>
        <w:t>Caso Torres Millacura e outros Vs. Argentina</w:t>
      </w:r>
      <w:r w:rsidRPr="00CB027F">
        <w:rPr>
          <w:iCs/>
          <w:sz w:val="20"/>
          <w:szCs w:val="20"/>
        </w:rPr>
        <w:t xml:space="preserve">. Sent. 26/08/2011 (Mérito, Reparações e Custas), </w:t>
      </w:r>
      <w:r w:rsidRPr="00CB027F">
        <w:rPr>
          <w:sz w:val="20"/>
          <w:szCs w:val="20"/>
        </w:rPr>
        <w:t xml:space="preserve"> § 99 e </w:t>
      </w:r>
      <w:r w:rsidRPr="00CB027F">
        <w:rPr>
          <w:b/>
          <w:iCs/>
          <w:sz w:val="20"/>
          <w:szCs w:val="20"/>
        </w:rPr>
        <w:t>Caso Anzualdo Castro Vs. Peru</w:t>
      </w:r>
      <w:r w:rsidRPr="00CB027F">
        <w:rPr>
          <w:iCs/>
          <w:sz w:val="20"/>
          <w:szCs w:val="20"/>
        </w:rPr>
        <w:t xml:space="preserve">. </w:t>
      </w:r>
      <w:r w:rsidRPr="00CB027F">
        <w:rPr>
          <w:sz w:val="20"/>
          <w:szCs w:val="20"/>
        </w:rPr>
        <w:t>Sent. 22/09/2009 (Exceções Preliminares, Mérito, Reparações e Custas). Série C, No. 202, § 63.</w:t>
      </w:r>
    </w:p>
  </w:footnote>
  <w:footnote w:id="39">
    <w:p w:rsidR="00A842A7" w:rsidRPr="00CB027F" w:rsidRDefault="00A842A7" w:rsidP="00477EC5">
      <w:pPr>
        <w:autoSpaceDE w:val="0"/>
        <w:autoSpaceDN w:val="0"/>
        <w:adjustRightInd w:val="0"/>
        <w:spacing w:line="240" w:lineRule="auto"/>
        <w:jc w:val="both"/>
        <w:rPr>
          <w:sz w:val="20"/>
          <w:szCs w:val="20"/>
        </w:rPr>
      </w:pPr>
      <w:r w:rsidRPr="00CB027F">
        <w:rPr>
          <w:rStyle w:val="FootnoteReference"/>
          <w:sz w:val="20"/>
          <w:szCs w:val="20"/>
        </w:rPr>
        <w:footnoteRef/>
      </w:r>
      <w:r w:rsidRPr="00CB027F">
        <w:rPr>
          <w:sz w:val="20"/>
          <w:szCs w:val="20"/>
        </w:rPr>
        <w:t xml:space="preserve"> CrIDH. </w:t>
      </w:r>
      <w:r w:rsidRPr="00CB027F">
        <w:rPr>
          <w:b/>
          <w:iCs/>
          <w:sz w:val="20"/>
          <w:szCs w:val="20"/>
        </w:rPr>
        <w:t>Caso Chaparro Álvarez e Lapo Íñiguez Vs. Equador</w:t>
      </w:r>
      <w:r w:rsidRPr="00CB027F">
        <w:rPr>
          <w:iCs/>
          <w:sz w:val="20"/>
          <w:szCs w:val="20"/>
        </w:rPr>
        <w:t xml:space="preserve">. </w:t>
      </w:r>
      <w:r w:rsidRPr="00CB027F">
        <w:rPr>
          <w:sz w:val="20"/>
          <w:szCs w:val="20"/>
        </w:rPr>
        <w:t>Sent. 21/11/2007 (Exceções Preliminares), Série C No. 170, § 53</w:t>
      </w:r>
      <w:r w:rsidRPr="00CB027F">
        <w:rPr>
          <w:iCs/>
          <w:sz w:val="20"/>
          <w:szCs w:val="20"/>
        </w:rPr>
        <w:t xml:space="preserve"> e </w:t>
      </w:r>
      <w:r w:rsidRPr="00CB027F">
        <w:rPr>
          <w:b/>
          <w:iCs/>
          <w:sz w:val="20"/>
          <w:szCs w:val="20"/>
        </w:rPr>
        <w:t>Caso Torres Millacura e outros Vs. Argentina</w:t>
      </w:r>
      <w:r w:rsidRPr="00CB027F">
        <w:rPr>
          <w:iCs/>
          <w:sz w:val="20"/>
          <w:szCs w:val="20"/>
        </w:rPr>
        <w:t>. Sent. 26/08/2011 (Mérito, Reparações e Custas)</w:t>
      </w:r>
      <w:r w:rsidRPr="00CB027F">
        <w:rPr>
          <w:sz w:val="20"/>
          <w:szCs w:val="20"/>
        </w:rPr>
        <w:t>, § 76.</w:t>
      </w:r>
    </w:p>
  </w:footnote>
  <w:footnote w:id="40">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Caso Gelman Vs. Uruguai</w:t>
      </w:r>
      <w:r w:rsidRPr="00CB027F">
        <w:t>. Sent. 24/02/2011 (Mérito e Reparações), Série C No. 221, § 101.</w:t>
      </w:r>
    </w:p>
  </w:footnote>
  <w:footnote w:id="41">
    <w:p w:rsidR="00A842A7" w:rsidRPr="00CB027F" w:rsidRDefault="00A842A7" w:rsidP="00012EB0">
      <w:pPr>
        <w:pStyle w:val="FootnoteText"/>
        <w:jc w:val="both"/>
      </w:pPr>
      <w:r w:rsidRPr="00CB027F">
        <w:rPr>
          <w:rStyle w:val="FootnoteReference"/>
        </w:rPr>
        <w:footnoteRef/>
      </w:r>
      <w:r w:rsidRPr="00CB027F">
        <w:t xml:space="preserve"> CrIDH. </w:t>
      </w:r>
      <w:r w:rsidRPr="00CB027F">
        <w:rPr>
          <w:b/>
        </w:rPr>
        <w:t>Caso Yatama Vs. Nicarágua</w:t>
      </w:r>
      <w:r w:rsidRPr="00CB027F">
        <w:t xml:space="preserve">. Sent. 23/06/2005. (Exceções Preliminares, Mérito, Reparações e Custas). Série C No. 127 § 185; TEDH. </w:t>
      </w:r>
      <w:r w:rsidRPr="00CB027F">
        <w:rPr>
          <w:b/>
        </w:rPr>
        <w:t>Caso Willis Vs. Reino Unido</w:t>
      </w:r>
      <w:r w:rsidRPr="00CB027F">
        <w:t>. Sent. 11/06/2002, § 39.</w:t>
      </w:r>
    </w:p>
  </w:footnote>
  <w:footnote w:id="42">
    <w:p w:rsidR="00A842A7" w:rsidRPr="00CB027F" w:rsidRDefault="00A842A7" w:rsidP="003F2105">
      <w:pPr>
        <w:pStyle w:val="FootnoteText"/>
        <w:jc w:val="both"/>
      </w:pPr>
      <w:r w:rsidRPr="00CB027F">
        <w:rPr>
          <w:rStyle w:val="FootnoteReference"/>
        </w:rPr>
        <w:footnoteRef/>
      </w:r>
      <w:r w:rsidRPr="00CB027F">
        <w:t xml:space="preserve"> CrIDH. </w:t>
      </w:r>
      <w:r w:rsidRPr="00CB027F">
        <w:rPr>
          <w:b/>
        </w:rPr>
        <w:t>Caso Comunidade Indígena Sawhoyamaxa Vs. Paraguai</w:t>
      </w:r>
      <w:r w:rsidRPr="00CB027F">
        <w:t>. Sent. 29/03/2006 (Mérito, Reparação e Custas)., Série C No. 146, § 155.</w:t>
      </w:r>
    </w:p>
  </w:footnote>
  <w:footnote w:id="43">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Tibi vs. Equador.</w:t>
      </w:r>
      <w:r w:rsidRPr="00CB027F">
        <w:t xml:space="preserve"> Sent. de 07/09/2004 (Exceções Preliminares, Mérito, Reparações e Custas). Série C No. 114, § 131; </w:t>
      </w:r>
      <w:r w:rsidRPr="00CB027F">
        <w:rPr>
          <w:b/>
        </w:rPr>
        <w:t>Caso Maritza Urrutia</w:t>
      </w:r>
      <w:r w:rsidRPr="00CB027F">
        <w:t xml:space="preserve">. Sent. de 27/11/2003 </w:t>
      </w:r>
      <w:r w:rsidRPr="00CB027F">
        <w:rPr>
          <w:rStyle w:val="A2"/>
          <w:rFonts w:cs="Times New Roman"/>
          <w:sz w:val="20"/>
          <w:szCs w:val="20"/>
        </w:rPr>
        <w:t>(</w:t>
      </w:r>
      <w:r w:rsidRPr="00CB027F">
        <w:t xml:space="preserve">Mérito, Reparações e Custas). Série C No. 103, § 117 e </w:t>
      </w:r>
      <w:r w:rsidRPr="00CB027F">
        <w:rPr>
          <w:b/>
        </w:rPr>
        <w:t>Caso Juan Humberto Sánchez</w:t>
      </w:r>
      <w:r w:rsidRPr="00CB027F">
        <w:t>. Sent. 07/06/2003 (Mérito). Série C No. 99, § 121.</w:t>
      </w:r>
    </w:p>
  </w:footnote>
  <w:footnote w:id="44">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Caballero Delgado e Santana Vs. Colômbia</w:t>
      </w:r>
      <w:r w:rsidRPr="00CB027F">
        <w:t xml:space="preserve">. Sent. 08/12/1995 (Mérito), Série C No. 22, § 56 e </w:t>
      </w:r>
      <w:r w:rsidRPr="00CB027F">
        <w:rPr>
          <w:b/>
        </w:rPr>
        <w:t>Caso Almonacid Arellano e outros Vs. Chile</w:t>
      </w:r>
      <w:r w:rsidRPr="00CB027F">
        <w:t>. Sent. 26/09/2006 (Exceções Preliminares, Mérito, Reparações e Custas), Série C No. 124, §§ 123 a 125.</w:t>
      </w:r>
    </w:p>
  </w:footnote>
  <w:footnote w:id="45">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Suárez Rosero Vs. Equador</w:t>
      </w:r>
      <w:r w:rsidRPr="00CB027F">
        <w:t xml:space="preserve">. Sent. 12/11/1997 (Mérito), Série C No. 35, § 71 e </w:t>
      </w:r>
      <w:r w:rsidRPr="00CB027F">
        <w:rPr>
          <w:b/>
        </w:rPr>
        <w:t>Caso Bayarri Vs. Argentina</w:t>
      </w:r>
      <w:r w:rsidRPr="00CB027F">
        <w:t>. Sent. 30/10/2008 (Exceções Preliminares, Mérito, Reparações e Custas), Série C No. 187, § 105.</w:t>
      </w:r>
    </w:p>
  </w:footnote>
  <w:footnote w:id="46">
    <w:p w:rsidR="00A842A7" w:rsidRPr="00CB027F" w:rsidRDefault="00A842A7" w:rsidP="00713FB4">
      <w:pPr>
        <w:pStyle w:val="FootnoteText"/>
        <w:jc w:val="both"/>
      </w:pPr>
      <w:r w:rsidRPr="00CB027F">
        <w:rPr>
          <w:rStyle w:val="FootnoteReference"/>
        </w:rPr>
        <w:footnoteRef/>
      </w:r>
      <w:r w:rsidRPr="00CB027F">
        <w:t xml:space="preserve"> </w:t>
      </w:r>
      <w:r w:rsidRPr="00CB027F">
        <w:rPr>
          <w:rStyle w:val="A2"/>
          <w:rFonts w:cs="Times New Roman"/>
          <w:sz w:val="20"/>
          <w:szCs w:val="20"/>
        </w:rPr>
        <w:t xml:space="preserve">CrIDH. </w:t>
      </w:r>
      <w:r w:rsidRPr="00CB027F">
        <w:rPr>
          <w:rStyle w:val="A2"/>
          <w:rFonts w:cs="Times New Roman"/>
          <w:b/>
          <w:sz w:val="20"/>
          <w:szCs w:val="20"/>
        </w:rPr>
        <w:t xml:space="preserve">Caso </w:t>
      </w:r>
      <w:r w:rsidRPr="00CB027F">
        <w:rPr>
          <w:rStyle w:val="A2"/>
          <w:rFonts w:cs="Times New Roman"/>
          <w:b/>
          <w:iCs/>
          <w:sz w:val="20"/>
          <w:szCs w:val="20"/>
        </w:rPr>
        <w:t>Barreto Leiva Vs. Venezuela</w:t>
      </w:r>
      <w:r w:rsidRPr="00CB027F">
        <w:rPr>
          <w:rStyle w:val="A2"/>
          <w:rFonts w:cs="Times New Roman"/>
          <w:sz w:val="20"/>
          <w:szCs w:val="20"/>
        </w:rPr>
        <w:t>. Sent. 17/11/2009 (</w:t>
      </w:r>
      <w:r w:rsidRPr="00CB027F">
        <w:t>Mérito, Reparações e Custas),</w:t>
      </w:r>
      <w:r w:rsidRPr="00CB027F">
        <w:rPr>
          <w:rStyle w:val="A2"/>
          <w:rFonts w:cs="Times New Roman"/>
          <w:sz w:val="20"/>
          <w:szCs w:val="20"/>
        </w:rPr>
        <w:t xml:space="preserve">. Série C No. 206, </w:t>
      </w:r>
      <w:r w:rsidRPr="00CB027F">
        <w:t>§29</w:t>
      </w:r>
      <w:r w:rsidRPr="00CB027F">
        <w:rPr>
          <w:rStyle w:val="A2"/>
          <w:rFonts w:cs="Times New Roman"/>
          <w:sz w:val="20"/>
          <w:szCs w:val="20"/>
        </w:rPr>
        <w:t xml:space="preserve"> .</w:t>
      </w:r>
    </w:p>
  </w:footnote>
  <w:footnote w:id="47">
    <w:p w:rsidR="00A842A7" w:rsidRPr="00CB027F" w:rsidRDefault="00A842A7" w:rsidP="00713FB4">
      <w:pPr>
        <w:pStyle w:val="FootnoteText"/>
        <w:jc w:val="both"/>
      </w:pPr>
      <w:r w:rsidRPr="00CB027F">
        <w:rPr>
          <w:rStyle w:val="FootnoteReference"/>
        </w:rPr>
        <w:footnoteRef/>
      </w:r>
      <w:r w:rsidRPr="00CB027F">
        <w:t xml:space="preserve"> TEDH, </w:t>
      </w:r>
      <w:r w:rsidRPr="00CB027F">
        <w:rPr>
          <w:b/>
        </w:rPr>
        <w:t xml:space="preserve">Caso Dilipak e Karakaya vs. Turquia. </w:t>
      </w:r>
      <w:r w:rsidRPr="00CB027F">
        <w:t>Sent. 04/03/2014. Nos. 7942/05 e 24838/05, §§ 76 e 77.</w:t>
      </w:r>
    </w:p>
  </w:footnote>
  <w:footnote w:id="48">
    <w:p w:rsidR="00A842A7" w:rsidRPr="00CB027F" w:rsidRDefault="00A842A7" w:rsidP="00477EC5">
      <w:pPr>
        <w:pStyle w:val="FootnoteText"/>
        <w:jc w:val="both"/>
      </w:pPr>
      <w:r w:rsidRPr="00CB027F">
        <w:rPr>
          <w:rStyle w:val="FootnoteReference"/>
        </w:rPr>
        <w:footnoteRef/>
      </w:r>
      <w:r w:rsidRPr="00CB027F">
        <w:t xml:space="preserve"> CrIDH. </w:t>
      </w:r>
      <w:r w:rsidRPr="00CB027F">
        <w:rPr>
          <w:b/>
          <w:color w:val="000000"/>
        </w:rPr>
        <w:t xml:space="preserve">Caso </w:t>
      </w:r>
      <w:r w:rsidRPr="00CB027F">
        <w:rPr>
          <w:b/>
          <w:iCs/>
          <w:color w:val="000000"/>
        </w:rPr>
        <w:t>Chaparro Álvarez e Lapo Íñiguez. Vs. Ecuador</w:t>
      </w:r>
      <w:r w:rsidRPr="00CB027F">
        <w:rPr>
          <w:color w:val="000000"/>
        </w:rPr>
        <w:t xml:space="preserve">. Sent. 21/11/2007 </w:t>
      </w:r>
      <w:r w:rsidRPr="00CB027F">
        <w:t>(Exceções Preliminares)</w:t>
      </w:r>
      <w:r w:rsidRPr="00CB027F">
        <w:rPr>
          <w:color w:val="000000"/>
        </w:rPr>
        <w:t>, Série C No. 170,</w:t>
      </w:r>
      <w:r w:rsidRPr="00CB027F">
        <w:t xml:space="preserve"> § 158, 159</w:t>
      </w:r>
      <w:r w:rsidRPr="00CB027F">
        <w:rPr>
          <w:color w:val="000000"/>
        </w:rPr>
        <w:t xml:space="preserve">; TEDH. </w:t>
      </w:r>
      <w:r w:rsidRPr="00CB027F">
        <w:rPr>
          <w:b/>
          <w:color w:val="000000"/>
        </w:rPr>
        <w:t>Caso Artico Vs. Itália</w:t>
      </w:r>
      <w:r w:rsidRPr="00CB027F">
        <w:rPr>
          <w:color w:val="000000"/>
        </w:rPr>
        <w:t xml:space="preserve">. Sent. 13/05/1980, </w:t>
      </w:r>
      <w:r w:rsidRPr="00CB027F">
        <w:t>§</w:t>
      </w:r>
      <w:r w:rsidRPr="00CB027F">
        <w:rPr>
          <w:color w:val="000000"/>
        </w:rPr>
        <w:t xml:space="preserve"> 14.</w:t>
      </w:r>
    </w:p>
  </w:footnote>
  <w:footnote w:id="49">
    <w:p w:rsidR="00A842A7" w:rsidRPr="00CB027F" w:rsidRDefault="00A842A7">
      <w:pPr>
        <w:pStyle w:val="FootnoteText"/>
        <w:jc w:val="both"/>
      </w:pPr>
      <w:r w:rsidRPr="00CB027F">
        <w:rPr>
          <w:rStyle w:val="FootnoteReference"/>
        </w:rPr>
        <w:footnoteRef/>
      </w:r>
      <w:r w:rsidRPr="00CB027F">
        <w:t xml:space="preserve"> CrIDH. </w:t>
      </w:r>
      <w:r w:rsidRPr="00CB027F">
        <w:rPr>
          <w:b/>
          <w:iCs/>
          <w:color w:val="000000"/>
        </w:rPr>
        <w:t>Caso Castillo Petruzzi e outros Vs. Peru</w:t>
      </w:r>
      <w:r w:rsidRPr="00CB027F">
        <w:rPr>
          <w:iCs/>
          <w:color w:val="000000"/>
        </w:rPr>
        <w:t xml:space="preserve">. Sent. 30/05/1999 (Mérito, Reparações e Custas), Série C No. 52, </w:t>
      </w:r>
      <w:r w:rsidRPr="00CB027F">
        <w:t>§ 128</w:t>
      </w:r>
      <w:r w:rsidRPr="00CB027F">
        <w:rPr>
          <w:color w:val="000000"/>
        </w:rPr>
        <w:t xml:space="preserve">; </w:t>
      </w:r>
      <w:r w:rsidRPr="00CB027F">
        <w:rPr>
          <w:b/>
          <w:iCs/>
          <w:color w:val="000000"/>
        </w:rPr>
        <w:t>Caso Durand e Ugarte Vs. Peru</w:t>
      </w:r>
      <w:r w:rsidRPr="00CB027F">
        <w:rPr>
          <w:iCs/>
          <w:color w:val="000000"/>
        </w:rPr>
        <w:t xml:space="preserve">. Sent. 16/08/2000 (Mérito), Série C No. 68, </w:t>
      </w:r>
      <w:r w:rsidRPr="00CB027F">
        <w:t>§ 117</w:t>
      </w:r>
      <w:r w:rsidRPr="00CB027F">
        <w:rPr>
          <w:iCs/>
          <w:color w:val="000000"/>
        </w:rPr>
        <w:t xml:space="preserve">; </w:t>
      </w:r>
      <w:r w:rsidRPr="00CB027F">
        <w:rPr>
          <w:b/>
          <w:iCs/>
          <w:color w:val="000000"/>
        </w:rPr>
        <w:t>Caso Las Palmeras Vs. Colômbia</w:t>
      </w:r>
      <w:r w:rsidRPr="00CB027F">
        <w:rPr>
          <w:iCs/>
          <w:color w:val="000000"/>
        </w:rPr>
        <w:t xml:space="preserve">. Sent. 06/12/2001, Série C No. 90, </w:t>
      </w:r>
      <w:r w:rsidRPr="00CB027F">
        <w:t>§ 51</w:t>
      </w:r>
      <w:r w:rsidRPr="00CB027F">
        <w:rPr>
          <w:iCs/>
          <w:color w:val="000000"/>
        </w:rPr>
        <w:t xml:space="preserve">; </w:t>
      </w:r>
      <w:r w:rsidRPr="00CB027F">
        <w:rPr>
          <w:b/>
          <w:iCs/>
          <w:color w:val="000000"/>
        </w:rPr>
        <w:t>Caso 19 Comerciantes Vs. Colômbia</w:t>
      </w:r>
      <w:r w:rsidRPr="00CB027F">
        <w:rPr>
          <w:iCs/>
          <w:color w:val="000000"/>
        </w:rPr>
        <w:t xml:space="preserve">. Sent. 05/07/2004 </w:t>
      </w:r>
      <w:r w:rsidRPr="00CB027F">
        <w:t>(Mérito, Reparações e Custas)</w:t>
      </w:r>
      <w:r w:rsidRPr="00CB027F">
        <w:rPr>
          <w:iCs/>
          <w:color w:val="000000"/>
        </w:rPr>
        <w:t xml:space="preserve">, Série C No. 109, </w:t>
      </w:r>
      <w:r w:rsidRPr="00CB027F">
        <w:t>§ 165</w:t>
      </w:r>
      <w:r w:rsidRPr="00CB027F">
        <w:rPr>
          <w:iCs/>
          <w:color w:val="000000"/>
        </w:rPr>
        <w:t xml:space="preserve">; </w:t>
      </w:r>
      <w:r w:rsidRPr="00CB027F">
        <w:rPr>
          <w:b/>
          <w:iCs/>
          <w:color w:val="000000"/>
        </w:rPr>
        <w:t>Caso Lori Berenson Mejía Vs. Peru</w:t>
      </w:r>
      <w:r w:rsidRPr="00CB027F">
        <w:rPr>
          <w:iCs/>
          <w:color w:val="000000"/>
        </w:rPr>
        <w:t xml:space="preserve">. Sent. 25/11/2004 (Mérito, Reparações e Custas), Série C No. 119, </w:t>
      </w:r>
      <w:r w:rsidRPr="00CB027F">
        <w:t>§ 142</w:t>
      </w:r>
      <w:r w:rsidRPr="00CB027F">
        <w:rPr>
          <w:color w:val="000000"/>
        </w:rPr>
        <w:t xml:space="preserve"> e </w:t>
      </w:r>
      <w:r w:rsidRPr="00CB027F">
        <w:rPr>
          <w:b/>
          <w:iCs/>
          <w:color w:val="000000"/>
        </w:rPr>
        <w:t>Caso do Massacre de Mapiripán Vs. Colômbia</w:t>
      </w:r>
      <w:r w:rsidRPr="00CB027F">
        <w:rPr>
          <w:iCs/>
          <w:color w:val="000000"/>
        </w:rPr>
        <w:t xml:space="preserve">. Sent. 15/09/2005 </w:t>
      </w:r>
      <w:r w:rsidRPr="00CB027F">
        <w:t>(</w:t>
      </w:r>
      <w:r w:rsidRPr="00CB027F">
        <w:rPr>
          <w:iCs/>
        </w:rPr>
        <w:t>Mérito, Reparações e Custas)</w:t>
      </w:r>
      <w:r w:rsidRPr="00CB027F">
        <w:rPr>
          <w:iCs/>
          <w:color w:val="000000"/>
        </w:rPr>
        <w:t xml:space="preserve">, Série C No. 134, </w:t>
      </w:r>
      <w:r w:rsidRPr="00CB027F">
        <w:t>§ 202</w:t>
      </w:r>
      <w:r w:rsidRPr="00CB027F">
        <w:rPr>
          <w:color w:val="000000"/>
        </w:rPr>
        <w:t>.</w:t>
      </w:r>
    </w:p>
  </w:footnote>
  <w:footnote w:id="50">
    <w:p w:rsidR="00A842A7" w:rsidRPr="00CB027F" w:rsidRDefault="00A842A7">
      <w:pPr>
        <w:pStyle w:val="FootnoteText"/>
        <w:jc w:val="both"/>
      </w:pPr>
      <w:r w:rsidRPr="00CB027F">
        <w:rPr>
          <w:rStyle w:val="FootnoteReference"/>
        </w:rPr>
        <w:footnoteRef/>
      </w:r>
      <w:r w:rsidRPr="00462775">
        <w:rPr>
          <w:lang w:val="es-CO"/>
        </w:rPr>
        <w:t xml:space="preserve"> CrIDH. </w:t>
      </w:r>
      <w:r w:rsidRPr="00462775">
        <w:rPr>
          <w:b/>
          <w:iCs/>
          <w:color w:val="000000"/>
          <w:lang w:val="es-CO"/>
        </w:rPr>
        <w:t xml:space="preserve">Caso Las Palmeras Vs. </w:t>
      </w:r>
      <w:r w:rsidRPr="00CB027F">
        <w:rPr>
          <w:b/>
          <w:iCs/>
          <w:color w:val="000000"/>
        </w:rPr>
        <w:t>Colômbia</w:t>
      </w:r>
      <w:r w:rsidRPr="00CB027F">
        <w:rPr>
          <w:iCs/>
          <w:color w:val="000000"/>
        </w:rPr>
        <w:t xml:space="preserve">. Sent. 06/12/2001 (Mérito). Série C No. 90, </w:t>
      </w:r>
      <w:r w:rsidRPr="00CB027F">
        <w:t>§59</w:t>
      </w:r>
      <w:r w:rsidRPr="00CB027F">
        <w:rPr>
          <w:iCs/>
          <w:color w:val="000000"/>
        </w:rPr>
        <w:t xml:space="preserve">; </w:t>
      </w:r>
      <w:r w:rsidRPr="00CB027F">
        <w:rPr>
          <w:b/>
          <w:iCs/>
          <w:color w:val="000000"/>
        </w:rPr>
        <w:t xml:space="preserve">Caso Durand e Ugarte Vs. </w:t>
      </w:r>
      <w:r w:rsidR="00E435AC">
        <w:rPr>
          <w:b/>
          <w:iCs/>
          <w:color w:val="000000"/>
        </w:rPr>
        <w:t>Peru</w:t>
      </w:r>
      <w:r w:rsidRPr="00CB027F">
        <w:rPr>
          <w:iCs/>
          <w:color w:val="000000"/>
        </w:rPr>
        <w:t xml:space="preserve">. Sent. de 16/08/2000 (Mérito). Série C No. 68, </w:t>
      </w:r>
      <w:r w:rsidRPr="00CB027F">
        <w:t>§129</w:t>
      </w:r>
      <w:r w:rsidRPr="00CB027F">
        <w:rPr>
          <w:iCs/>
          <w:color w:val="000000"/>
        </w:rPr>
        <w:t xml:space="preserve">. </w:t>
      </w:r>
      <w:r w:rsidRPr="00CB027F">
        <w:rPr>
          <w:b/>
          <w:iCs/>
          <w:color w:val="000000"/>
        </w:rPr>
        <w:t>Caso dos Meninos de Rua (Villagrán Morales e outros) Vs. Guatemala</w:t>
      </w:r>
      <w:r w:rsidRPr="00CB027F">
        <w:rPr>
          <w:iCs/>
          <w:color w:val="000000"/>
        </w:rPr>
        <w:t xml:space="preserve">. Sent. 19/11/1999 (Mérito). Série C No. 63, </w:t>
      </w:r>
      <w:r w:rsidRPr="00CB027F">
        <w:t>§227</w:t>
      </w:r>
      <w:r w:rsidRPr="00CB027F">
        <w:rPr>
          <w:iCs/>
          <w:color w:val="000000"/>
        </w:rPr>
        <w:t xml:space="preserve">. </w:t>
      </w:r>
      <w:r w:rsidRPr="00CB027F">
        <w:t xml:space="preserve"> </w:t>
      </w:r>
    </w:p>
  </w:footnote>
  <w:footnote w:id="51">
    <w:p w:rsidR="00A842A7" w:rsidRPr="00CB027F" w:rsidRDefault="00A842A7" w:rsidP="00477EC5">
      <w:pPr>
        <w:spacing w:line="240" w:lineRule="auto"/>
        <w:rPr>
          <w:sz w:val="20"/>
          <w:szCs w:val="20"/>
        </w:rPr>
      </w:pPr>
      <w:r w:rsidRPr="00CB027F">
        <w:rPr>
          <w:rStyle w:val="FootnoteReference"/>
          <w:sz w:val="20"/>
          <w:szCs w:val="20"/>
        </w:rPr>
        <w:footnoteRef/>
      </w:r>
      <w:r w:rsidRPr="00CB027F">
        <w:rPr>
          <w:sz w:val="20"/>
          <w:szCs w:val="20"/>
        </w:rPr>
        <w:t xml:space="preserve"> CrADHP. </w:t>
      </w:r>
      <w:r w:rsidRPr="00CB027F">
        <w:rPr>
          <w:b/>
          <w:sz w:val="20"/>
          <w:szCs w:val="20"/>
        </w:rPr>
        <w:t>Caso do Movimento Marfinense de Direitos Humanos Vs. Costa do Marfim</w:t>
      </w:r>
      <w:r w:rsidRPr="00CB027F">
        <w:rPr>
          <w:sz w:val="20"/>
          <w:szCs w:val="20"/>
        </w:rPr>
        <w:t>. Comunicação No. 246/2002. Sent. 07/2008, §§ 97 e 98.</w:t>
      </w:r>
    </w:p>
  </w:footnote>
  <w:footnote w:id="52">
    <w:p w:rsidR="00A842A7" w:rsidRPr="00CB027F" w:rsidRDefault="00A842A7">
      <w:pPr>
        <w:pStyle w:val="FootnoteText"/>
        <w:jc w:val="both"/>
      </w:pPr>
      <w:r w:rsidRPr="00CB027F">
        <w:rPr>
          <w:rStyle w:val="FootnoteReference"/>
        </w:rPr>
        <w:footnoteRef/>
      </w:r>
      <w:r w:rsidRPr="00CB027F">
        <w:t xml:space="preserve"> CrIDH. </w:t>
      </w:r>
      <w:r w:rsidR="00E435AC">
        <w:rPr>
          <w:b/>
        </w:rPr>
        <w:t>Caso do</w:t>
      </w:r>
      <w:r w:rsidRPr="00CB027F">
        <w:rPr>
          <w:b/>
        </w:rPr>
        <w:t xml:space="preserve"> Ma</w:t>
      </w:r>
      <w:r w:rsidR="00E435AC">
        <w:rPr>
          <w:b/>
        </w:rPr>
        <w:t>s</w:t>
      </w:r>
      <w:r w:rsidRPr="00CB027F">
        <w:rPr>
          <w:b/>
        </w:rPr>
        <w:t>sacres de Ituango Vs. Colômbia</w:t>
      </w:r>
      <w:r w:rsidRPr="00CB027F">
        <w:t xml:space="preserve">. Sent. 01/07/2006 (Exceções Preliminares, Mérito, Reparações e Custas). Série C No. 148, § 319 e </w:t>
      </w:r>
      <w:r w:rsidRPr="00CB027F">
        <w:rPr>
          <w:b/>
        </w:rPr>
        <w:t>Caso Família Barrios Vs. Venezuela</w:t>
      </w:r>
      <w:r w:rsidRPr="00CB027F">
        <w:t>. Sent. 24/11/2011 (Mérito, Reparações e Custas), § 175.</w:t>
      </w:r>
    </w:p>
  </w:footnote>
  <w:footnote w:id="53">
    <w:p w:rsidR="00A842A7" w:rsidRPr="00CB027F" w:rsidRDefault="00A842A7" w:rsidP="00477EC5">
      <w:pPr>
        <w:autoSpaceDE w:val="0"/>
        <w:autoSpaceDN w:val="0"/>
        <w:adjustRightInd w:val="0"/>
        <w:spacing w:line="240" w:lineRule="auto"/>
        <w:jc w:val="both"/>
        <w:rPr>
          <w:sz w:val="20"/>
          <w:szCs w:val="20"/>
        </w:rPr>
      </w:pPr>
      <w:r w:rsidRPr="00CB027F">
        <w:rPr>
          <w:rStyle w:val="FootnoteReference"/>
          <w:sz w:val="20"/>
          <w:szCs w:val="20"/>
        </w:rPr>
        <w:footnoteRef/>
      </w:r>
      <w:r w:rsidRPr="00CB027F">
        <w:rPr>
          <w:sz w:val="20"/>
          <w:szCs w:val="20"/>
        </w:rPr>
        <w:t xml:space="preserve">  CrIDH. </w:t>
      </w:r>
      <w:r w:rsidRPr="00CB027F">
        <w:rPr>
          <w:b/>
          <w:iCs/>
          <w:sz w:val="20"/>
          <w:szCs w:val="20"/>
        </w:rPr>
        <w:t>Caso Fleury e outros Vs. Haití</w:t>
      </w:r>
      <w:r w:rsidRPr="00CB027F">
        <w:rPr>
          <w:i/>
          <w:iCs/>
          <w:sz w:val="20"/>
          <w:szCs w:val="20"/>
        </w:rPr>
        <w:t xml:space="preserve">, </w:t>
      </w:r>
      <w:r w:rsidRPr="00CB027F">
        <w:rPr>
          <w:sz w:val="20"/>
          <w:szCs w:val="20"/>
        </w:rPr>
        <w:t>Sent. 23/11/2011 (Mérito e Reparações). Série C. No. 236, § 105.</w:t>
      </w:r>
    </w:p>
  </w:footnote>
  <w:footnote w:id="54">
    <w:p w:rsidR="00A842A7" w:rsidRPr="00CB027F" w:rsidRDefault="00A842A7">
      <w:pPr>
        <w:pStyle w:val="FootnoteText"/>
        <w:jc w:val="both"/>
      </w:pPr>
      <w:r w:rsidRPr="00CB027F">
        <w:rPr>
          <w:rStyle w:val="FootnoteReference"/>
        </w:rPr>
        <w:footnoteRef/>
      </w:r>
      <w:r w:rsidRPr="00CB027F">
        <w:t xml:space="preserve"> CrIDH, </w:t>
      </w:r>
      <w:r w:rsidRPr="00CB027F">
        <w:rPr>
          <w:b/>
        </w:rPr>
        <w:t>Caso Chitay Nech e outros vs. Guatemala</w:t>
      </w:r>
      <w:r w:rsidRPr="00CB027F">
        <w:t xml:space="preserve">. Sent. 25/05/2010. (Exceções Preliminares, Mérito, Reparações e Custas). Série C No. 212, § 190 e </w:t>
      </w:r>
      <w:r w:rsidRPr="00CB027F">
        <w:rPr>
          <w:b/>
        </w:rPr>
        <w:t>Caso Cabrera García e Montiel Flores vs. México</w:t>
      </w:r>
      <w:r w:rsidRPr="00CB027F">
        <w:t>. Sent. 26/11/2010 (Exceções Preliminares, Mérito, Reparações e Custas) Série C No. 220, § 141.</w:t>
      </w:r>
    </w:p>
  </w:footnote>
  <w:footnote w:id="55">
    <w:p w:rsidR="00A842A7" w:rsidRPr="00CB027F" w:rsidRDefault="00A842A7" w:rsidP="00477EC5">
      <w:pPr>
        <w:pStyle w:val="FootnoteText"/>
        <w:jc w:val="both"/>
      </w:pPr>
      <w:r w:rsidRPr="00CB027F">
        <w:rPr>
          <w:rStyle w:val="FootnoteReference"/>
        </w:rPr>
        <w:footnoteRef/>
      </w:r>
      <w:r w:rsidRPr="00FA5FC8">
        <w:rPr>
          <w:lang w:val="es-CO"/>
        </w:rPr>
        <w:t xml:space="preserve"> CrIDH. </w:t>
      </w:r>
      <w:r w:rsidRPr="00FA5FC8">
        <w:rPr>
          <w:b/>
          <w:lang w:val="es-CO"/>
        </w:rPr>
        <w:t xml:space="preserve">Caso González Medina Vs. </w:t>
      </w:r>
      <w:r w:rsidRPr="00CB027F">
        <w:rPr>
          <w:b/>
        </w:rPr>
        <w:t>República Dominicana</w:t>
      </w:r>
      <w:r w:rsidRPr="00CB027F">
        <w:t>. Sent. 27/02/2012 (Exceções Preliminares, Mérito, Reparações e Custas.). Série C No. 240. § 209.</w:t>
      </w:r>
    </w:p>
  </w:footnote>
  <w:footnote w:id="56">
    <w:p w:rsidR="00A842A7" w:rsidRPr="00CB027F" w:rsidRDefault="00A842A7">
      <w:pPr>
        <w:pStyle w:val="FootnoteText"/>
        <w:jc w:val="both"/>
      </w:pPr>
      <w:r w:rsidRPr="00CB027F">
        <w:rPr>
          <w:rStyle w:val="FootnoteReference"/>
        </w:rPr>
        <w:footnoteRef/>
      </w:r>
      <w:r w:rsidRPr="00CB027F">
        <w:t xml:space="preserve"> CrIDH. </w:t>
      </w:r>
      <w:r w:rsidRPr="00CB027F">
        <w:rPr>
          <w:b/>
          <w:color w:val="000000"/>
        </w:rPr>
        <w:t xml:space="preserve">Caso </w:t>
      </w:r>
      <w:r w:rsidRPr="00CB027F">
        <w:rPr>
          <w:b/>
          <w:iCs/>
          <w:color w:val="000000"/>
        </w:rPr>
        <w:t>González e outras (“Campo Algodonero”) Vs. México</w:t>
      </w:r>
      <w:r w:rsidRPr="00CB027F">
        <w:rPr>
          <w:color w:val="000000"/>
        </w:rPr>
        <w:t>. Sent. de 16/11/2009 (</w:t>
      </w:r>
      <w:r w:rsidRPr="00CB027F">
        <w:t>Exceções Preliminares, Mérito, Reparações e Custas</w:t>
      </w:r>
      <w:r w:rsidRPr="00CB027F">
        <w:rPr>
          <w:color w:val="000000"/>
        </w:rPr>
        <w:t xml:space="preserve">). Série C No. 205, </w:t>
      </w:r>
      <w:r w:rsidRPr="00CB027F">
        <w:t>§295</w:t>
      </w:r>
      <w:r w:rsidRPr="00CB027F">
        <w:rPr>
          <w:color w:val="000000"/>
        </w:rPr>
        <w:t>.</w:t>
      </w:r>
    </w:p>
  </w:footnote>
  <w:footnote w:id="57">
    <w:p w:rsidR="00A842A7" w:rsidRPr="00CB027F" w:rsidRDefault="00A842A7">
      <w:pPr>
        <w:autoSpaceDE w:val="0"/>
        <w:autoSpaceDN w:val="0"/>
        <w:adjustRightInd w:val="0"/>
        <w:spacing w:line="240" w:lineRule="auto"/>
        <w:jc w:val="both"/>
        <w:rPr>
          <w:sz w:val="20"/>
          <w:szCs w:val="20"/>
        </w:rPr>
      </w:pPr>
      <w:r w:rsidRPr="00CB027F">
        <w:rPr>
          <w:rStyle w:val="FootnoteReference"/>
          <w:sz w:val="20"/>
          <w:szCs w:val="20"/>
        </w:rPr>
        <w:footnoteRef/>
      </w:r>
      <w:r w:rsidRPr="00FA5FC8">
        <w:rPr>
          <w:sz w:val="20"/>
          <w:szCs w:val="20"/>
          <w:lang w:val="es-CO"/>
        </w:rPr>
        <w:t xml:space="preserve"> CrIDH. </w:t>
      </w:r>
      <w:r w:rsidRPr="00FA5FC8">
        <w:rPr>
          <w:b/>
          <w:iCs/>
          <w:sz w:val="20"/>
          <w:szCs w:val="20"/>
          <w:lang w:val="es-CO"/>
        </w:rPr>
        <w:t xml:space="preserve">Caso La Cantuta Vs. </w:t>
      </w:r>
      <w:r w:rsidR="00E435AC">
        <w:rPr>
          <w:b/>
          <w:iCs/>
          <w:sz w:val="20"/>
          <w:szCs w:val="20"/>
        </w:rPr>
        <w:t>Peru</w:t>
      </w:r>
      <w:r w:rsidRPr="00CB027F">
        <w:rPr>
          <w:iCs/>
          <w:sz w:val="20"/>
          <w:szCs w:val="20"/>
        </w:rPr>
        <w:t xml:space="preserve">. </w:t>
      </w:r>
      <w:r w:rsidRPr="00CB027F">
        <w:rPr>
          <w:sz w:val="20"/>
          <w:szCs w:val="20"/>
        </w:rPr>
        <w:t xml:space="preserve">Sent. de 29/11/2006 (Mérito, Reparações e Custas.). Série C No. 162, § 157 e </w:t>
      </w:r>
      <w:r w:rsidRPr="00CB027F">
        <w:rPr>
          <w:b/>
          <w:iCs/>
          <w:sz w:val="20"/>
          <w:szCs w:val="20"/>
        </w:rPr>
        <w:t>Caso d</w:t>
      </w:r>
      <w:r w:rsidR="00E435AC">
        <w:rPr>
          <w:b/>
          <w:iCs/>
          <w:sz w:val="20"/>
          <w:szCs w:val="20"/>
        </w:rPr>
        <w:t>o</w:t>
      </w:r>
      <w:r w:rsidRPr="00CB027F">
        <w:rPr>
          <w:b/>
          <w:iCs/>
          <w:sz w:val="20"/>
          <w:szCs w:val="20"/>
        </w:rPr>
        <w:t xml:space="preserve"> Ma</w:t>
      </w:r>
      <w:r w:rsidR="00E435AC">
        <w:rPr>
          <w:b/>
          <w:iCs/>
          <w:sz w:val="20"/>
          <w:szCs w:val="20"/>
        </w:rPr>
        <w:t>s</w:t>
      </w:r>
      <w:r w:rsidRPr="00CB027F">
        <w:rPr>
          <w:b/>
          <w:iCs/>
          <w:sz w:val="20"/>
          <w:szCs w:val="20"/>
        </w:rPr>
        <w:t>sacre de La Rochela Vs. Colômbia</w:t>
      </w:r>
      <w:r w:rsidRPr="00CB027F">
        <w:rPr>
          <w:iCs/>
          <w:sz w:val="20"/>
          <w:szCs w:val="20"/>
        </w:rPr>
        <w:t xml:space="preserve">, </w:t>
      </w:r>
      <w:r w:rsidRPr="00CB027F">
        <w:rPr>
          <w:sz w:val="20"/>
          <w:szCs w:val="20"/>
        </w:rPr>
        <w:t>Sent. 11/05/2007. Série C No. 163 (Mérito, Reparações e Custas.), § 156.</w:t>
      </w:r>
    </w:p>
  </w:footnote>
  <w:footnote w:id="58">
    <w:p w:rsidR="00A842A7" w:rsidRPr="00CB027F" w:rsidRDefault="00A842A7" w:rsidP="00477EC5">
      <w:pPr>
        <w:autoSpaceDE w:val="0"/>
        <w:autoSpaceDN w:val="0"/>
        <w:adjustRightInd w:val="0"/>
        <w:spacing w:line="240" w:lineRule="auto"/>
        <w:jc w:val="both"/>
      </w:pPr>
      <w:r w:rsidRPr="00CB027F">
        <w:rPr>
          <w:rStyle w:val="FootnoteReference"/>
          <w:sz w:val="20"/>
          <w:szCs w:val="20"/>
        </w:rPr>
        <w:footnoteRef/>
      </w:r>
      <w:r w:rsidRPr="00CB027F">
        <w:rPr>
          <w:sz w:val="20"/>
          <w:szCs w:val="20"/>
        </w:rPr>
        <w:t xml:space="preserve"> CrIDH. </w:t>
      </w:r>
      <w:r w:rsidRPr="00CB027F">
        <w:rPr>
          <w:b/>
          <w:iCs/>
          <w:sz w:val="20"/>
          <w:szCs w:val="20"/>
        </w:rPr>
        <w:t>Caso das Irmãs Serrano Cruz Vs. El Salvador</w:t>
      </w:r>
      <w:r w:rsidRPr="00CB027F">
        <w:rPr>
          <w:iCs/>
          <w:sz w:val="20"/>
          <w:szCs w:val="20"/>
        </w:rPr>
        <w:t xml:space="preserve">. Sent. 01/03/2005 </w:t>
      </w:r>
      <w:r w:rsidRPr="00CB027F">
        <w:rPr>
          <w:sz w:val="20"/>
          <w:szCs w:val="20"/>
        </w:rPr>
        <w:t xml:space="preserve">(Mérito, Reparações e Custas.). Série C. No. 120, § 88 e 105 e </w:t>
      </w:r>
      <w:r w:rsidRPr="00CB027F">
        <w:rPr>
          <w:b/>
          <w:iCs/>
          <w:sz w:val="20"/>
          <w:szCs w:val="20"/>
        </w:rPr>
        <w:t>Caso Contreras e outros Vs. El Salvador</w:t>
      </w:r>
      <w:r w:rsidRPr="00CB027F">
        <w:rPr>
          <w:iCs/>
          <w:sz w:val="20"/>
          <w:szCs w:val="20"/>
        </w:rPr>
        <w:t>, Sent. 31/08/2011 (Mérito, Reparações e Custas)</w:t>
      </w:r>
      <w:r w:rsidRPr="00CB027F">
        <w:rPr>
          <w:sz w:val="20"/>
          <w:szCs w:val="20"/>
        </w:rPr>
        <w:t>, § 146.</w:t>
      </w:r>
    </w:p>
  </w:footnote>
  <w:footnote w:id="59">
    <w:p w:rsidR="00A842A7" w:rsidRPr="00CB027F" w:rsidRDefault="00A842A7" w:rsidP="00477EC5">
      <w:pPr>
        <w:pStyle w:val="FootnoteText"/>
        <w:jc w:val="both"/>
      </w:pPr>
      <w:r w:rsidRPr="00CB027F">
        <w:rPr>
          <w:rStyle w:val="FootnoteReference"/>
        </w:rPr>
        <w:footnoteRef/>
      </w:r>
      <w:r w:rsidRPr="00CB027F">
        <w:t xml:space="preserve"> </w:t>
      </w:r>
      <w:r w:rsidRPr="00CB027F">
        <w:rPr>
          <w:b/>
        </w:rPr>
        <w:t>Caso Bolt e outros vs. República Cardenal</w:t>
      </w:r>
      <w:r w:rsidRPr="00CB027F">
        <w:t>, § 32.</w:t>
      </w:r>
    </w:p>
  </w:footnote>
  <w:footnote w:id="60">
    <w:p w:rsidR="00A842A7" w:rsidRPr="00CB027F" w:rsidRDefault="00A842A7" w:rsidP="00713FB4">
      <w:pPr>
        <w:pStyle w:val="FootnoteText"/>
        <w:jc w:val="both"/>
      </w:pPr>
      <w:r w:rsidRPr="00CB027F">
        <w:rPr>
          <w:rStyle w:val="FootnoteReference"/>
        </w:rPr>
        <w:footnoteRef/>
      </w:r>
      <w:r w:rsidRPr="00CB027F">
        <w:t xml:space="preserve"> </w:t>
      </w:r>
      <w:r w:rsidRPr="00CB027F">
        <w:rPr>
          <w:rFonts w:eastAsia="Times New Roman"/>
          <w:color w:val="000000"/>
        </w:rPr>
        <w:t xml:space="preserve">TEDH. </w:t>
      </w:r>
      <w:r w:rsidRPr="00CB027F">
        <w:rPr>
          <w:rFonts w:eastAsia="Times New Roman"/>
          <w:b/>
          <w:color w:val="000000"/>
        </w:rPr>
        <w:t>Caso Ugur Vs. Turquia</w:t>
      </w:r>
      <w:r w:rsidRPr="00CB027F">
        <w:rPr>
          <w:rFonts w:eastAsia="Times New Roman"/>
          <w:color w:val="000000"/>
        </w:rPr>
        <w:t>. Segunda Seção Sent. 13/01/2015. No. 37308/05, § 97.</w:t>
      </w:r>
    </w:p>
  </w:footnote>
  <w:footnote w:id="61">
    <w:p w:rsidR="00A842A7" w:rsidRPr="00CB027F" w:rsidRDefault="00A842A7" w:rsidP="00713FB4">
      <w:pPr>
        <w:pStyle w:val="FootnoteText"/>
        <w:jc w:val="both"/>
      </w:pPr>
      <w:r w:rsidRPr="00CB027F">
        <w:rPr>
          <w:rStyle w:val="FootnoteReference"/>
        </w:rPr>
        <w:footnoteRef/>
      </w:r>
      <w:r w:rsidRPr="00CB027F">
        <w:t xml:space="preserve"> </w:t>
      </w:r>
      <w:r w:rsidRPr="00CB027F">
        <w:rPr>
          <w:b/>
        </w:rPr>
        <w:t>Caso Bolt e outros vs. República de Cardenal</w:t>
      </w:r>
      <w:r w:rsidRPr="00CB027F">
        <w:t>, § 55.</w:t>
      </w:r>
    </w:p>
  </w:footnote>
  <w:footnote w:id="62">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Boyce e outros vs. Barbados</w:t>
      </w:r>
      <w:r w:rsidRPr="00CB027F">
        <w:t xml:space="preserve">. Sent. 20/11/2007. (Exceções Preliminares, Mérito, Reparações e Custas). Série C No. 169, § 57; </w:t>
      </w:r>
      <w:r w:rsidRPr="00CB027F">
        <w:rPr>
          <w:b/>
        </w:rPr>
        <w:t xml:space="preserve">Caso Cantoral Huamaní e García Santa Cruz Vs. </w:t>
      </w:r>
      <w:r w:rsidR="00E435AC">
        <w:rPr>
          <w:b/>
        </w:rPr>
        <w:t>Peru</w:t>
      </w:r>
      <w:r w:rsidRPr="00CB027F">
        <w:rPr>
          <w:b/>
        </w:rPr>
        <w:t>.</w:t>
      </w:r>
      <w:r w:rsidRPr="00CB027F">
        <w:t xml:space="preserve"> Sent. de 10/07/2007.  (Exceções Preliminares, Mérito, Reparações e Custas). Série C No. 167, § 82; </w:t>
      </w:r>
      <w:r w:rsidRPr="00CB027F">
        <w:rPr>
          <w:b/>
        </w:rPr>
        <w:t>Caso Escué Zapata Vs. Colômbia</w:t>
      </w:r>
      <w:r w:rsidRPr="00CB027F">
        <w:t xml:space="preserve">. Sent. de 04/07/2007. (Mérito, Reparações e Custas). Série C No. 165 e </w:t>
      </w:r>
      <w:r w:rsidR="00E435AC">
        <w:rPr>
          <w:b/>
        </w:rPr>
        <w:t>Caso do</w:t>
      </w:r>
      <w:r w:rsidRPr="00CB027F">
        <w:rPr>
          <w:b/>
        </w:rPr>
        <w:t xml:space="preserve"> Ma</w:t>
      </w:r>
      <w:r w:rsidR="00E435AC">
        <w:rPr>
          <w:b/>
        </w:rPr>
        <w:t>s</w:t>
      </w:r>
      <w:r w:rsidRPr="00CB027F">
        <w:rPr>
          <w:b/>
        </w:rPr>
        <w:t>sacre de La Rochela Vs. Colômbia</w:t>
      </w:r>
      <w:r w:rsidRPr="00CB027F">
        <w:t>. Sent. 11/05/2007. Mérito, Reparações e Custas. Série C No. 163, § 256.</w:t>
      </w:r>
    </w:p>
  </w:footnote>
  <w:footnote w:id="63">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Yatama vs. Nicaragua</w:t>
      </w:r>
      <w:r w:rsidRPr="00CB027F">
        <w:t xml:space="preserve">. Sent. 23/06/2005 (Exceções Preliminares, Mérito, Reparações e Custas), § 167; </w:t>
      </w:r>
      <w:r w:rsidRPr="00CB027F">
        <w:rPr>
          <w:b/>
        </w:rPr>
        <w:t>Caso Tibi vs. Equador</w:t>
      </w:r>
      <w:r w:rsidRPr="00CB027F">
        <w:t xml:space="preserve">. Sent. 07/09/2004 (Exceções Preliminares, Mérito, Reparações e Custas). Série C No. 114, § 130; </w:t>
      </w:r>
      <w:r w:rsidRPr="00CB027F">
        <w:rPr>
          <w:b/>
        </w:rPr>
        <w:t>Caso “Cinco Pensionistas” vs.Peru.</w:t>
      </w:r>
      <w:r w:rsidRPr="00CB027F">
        <w:t xml:space="preserve"> Sent. 28/02/2003 (Mérito, Reparações e Custas). Série C No. 98, § 126 e </w:t>
      </w:r>
      <w:r w:rsidRPr="00CB027F">
        <w:rPr>
          <w:b/>
        </w:rPr>
        <w:t>Caso do Tribunal Constitucional</w:t>
      </w:r>
      <w:r w:rsidRPr="00CB027F">
        <w:t>. Sent. 31/01/2001 (Exceções Preliminares, Mérito, Reparações e Custas). Série C No. 71, § 89.</w:t>
      </w:r>
    </w:p>
  </w:footnote>
  <w:footnote w:id="64">
    <w:p w:rsidR="00A842A7" w:rsidRPr="00CB027F" w:rsidRDefault="00A842A7">
      <w:pPr>
        <w:pStyle w:val="FootnoteText"/>
        <w:jc w:val="both"/>
      </w:pPr>
      <w:r w:rsidRPr="00CB027F">
        <w:rPr>
          <w:rStyle w:val="FootnoteReference"/>
        </w:rPr>
        <w:footnoteRef/>
      </w:r>
      <w:r w:rsidRPr="00CB027F">
        <w:t xml:space="preserve"> CrIDH, </w:t>
      </w:r>
      <w:r w:rsidRPr="00CB027F">
        <w:rPr>
          <w:b/>
        </w:rPr>
        <w:t>Caso “Instituto de Reeducação do Menor”.</w:t>
      </w:r>
      <w:r w:rsidRPr="00CB027F">
        <w:t xml:space="preserve"> Sent. 02/09/2004 (Exceções Preliminares, Mérito, Reparações e Custas). Série C No. 112, §158; </w:t>
      </w:r>
      <w:r w:rsidRPr="00CB027F">
        <w:rPr>
          <w:b/>
        </w:rPr>
        <w:t>Caso dos Irmãos Gómez Paquiyauri</w:t>
      </w:r>
      <w:r w:rsidRPr="00CB027F">
        <w:t xml:space="preserve">. Sent. 08/07/2004 (Mérito Reparações e Custas). Série C No. 110, § 129 e </w:t>
      </w:r>
      <w:r w:rsidRPr="00CB027F">
        <w:rPr>
          <w:b/>
        </w:rPr>
        <w:t>Caso Myrna Mack Chang</w:t>
      </w:r>
      <w:r w:rsidRPr="00CB027F">
        <w:t>. Sent. 25/11/2003 (Mérito, Reparações e Custas). Série C No. 101, § 153.</w:t>
      </w:r>
    </w:p>
  </w:footnote>
  <w:footnote w:id="65">
    <w:p w:rsidR="00A842A7" w:rsidRPr="00CB027F" w:rsidRDefault="00A842A7">
      <w:pPr>
        <w:pStyle w:val="FootnoteText"/>
        <w:jc w:val="both"/>
      </w:pPr>
      <w:r w:rsidRPr="00CB027F">
        <w:rPr>
          <w:rStyle w:val="FootnoteReference"/>
        </w:rPr>
        <w:footnoteRef/>
      </w:r>
      <w:r w:rsidRPr="00CB027F">
        <w:t xml:space="preserve">CrIDH,  </w:t>
      </w:r>
      <w:r w:rsidRPr="00CB027F">
        <w:rPr>
          <w:b/>
        </w:rPr>
        <w:t>Caso dos Irmãos Gómez Paquiyauri</w:t>
      </w:r>
      <w:r w:rsidRPr="00CB027F">
        <w:t xml:space="preserve">. Sent. 08/07/2004 (Mérito Reparações e Custas). Série C No. 110, § 129; </w:t>
      </w:r>
      <w:r w:rsidRPr="00CB027F">
        <w:rPr>
          <w:b/>
        </w:rPr>
        <w:t>Caso Myrna Mack Chang</w:t>
      </w:r>
      <w:r w:rsidRPr="00CB027F">
        <w:t xml:space="preserve">. Sent. 25/11/2003 (Mérito, Reparações e Custas). Série C No. 101, § 153 e </w:t>
      </w:r>
      <w:r w:rsidRPr="00CB027F">
        <w:rPr>
          <w:b/>
        </w:rPr>
        <w:t>Caso Bulacio vs. Argentina</w:t>
      </w:r>
      <w:r w:rsidRPr="00CB027F">
        <w:t>. Sent. 18/09/2003 (Mérito, Reparações e Custas). Série C No. 100, § 111.</w:t>
      </w:r>
    </w:p>
  </w:footnote>
  <w:footnote w:id="66">
    <w:p w:rsidR="00A842A7" w:rsidRPr="00CB027F" w:rsidRDefault="00A842A7">
      <w:pPr>
        <w:pStyle w:val="FootnoteText"/>
        <w:jc w:val="both"/>
      </w:pPr>
      <w:r w:rsidRPr="00CB027F">
        <w:rPr>
          <w:rStyle w:val="FootnoteReference"/>
        </w:rPr>
        <w:footnoteRef/>
      </w:r>
      <w:r w:rsidRPr="00CB027F">
        <w:t xml:space="preserve">CrIDH,  </w:t>
      </w:r>
      <w:r w:rsidRPr="00CB027F">
        <w:rPr>
          <w:b/>
        </w:rPr>
        <w:t>Caso dos Irmãos Gómez Paquiyauri</w:t>
      </w:r>
      <w:r w:rsidRPr="00CB027F">
        <w:t xml:space="preserve">. Sent. 08/07/2004 (Mérito Reparações e Custas). Série C No. 110, § 129; </w:t>
      </w:r>
      <w:r w:rsidRPr="00CB027F">
        <w:rPr>
          <w:b/>
        </w:rPr>
        <w:t>Caso Myrna Mack Chang</w:t>
      </w:r>
      <w:r w:rsidRPr="00CB027F">
        <w:t xml:space="preserve">. Sent. 25/11/2003 (Mérito, Reparações e Custas). Série C No. 101, § 153 e </w:t>
      </w:r>
      <w:r w:rsidRPr="00CB027F">
        <w:rPr>
          <w:b/>
        </w:rPr>
        <w:t>Caso Juan Humberto Sánchez</w:t>
      </w:r>
      <w:r w:rsidRPr="00CB027F">
        <w:t>. Sent. 07/06/2003. (Mérito).  Série C No. 99, § 110.</w:t>
      </w:r>
    </w:p>
  </w:footnote>
  <w:footnote w:id="67">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Caso 19 comerciantes vs. Colômbia</w:t>
      </w:r>
      <w:r w:rsidRPr="00CB027F">
        <w:t xml:space="preserve">, </w:t>
      </w:r>
      <w:r w:rsidRPr="00CB027F">
        <w:rPr>
          <w:iCs/>
          <w:color w:val="000000"/>
        </w:rPr>
        <w:t xml:space="preserve">Sent. 05/07/2004 </w:t>
      </w:r>
      <w:r w:rsidRPr="00CB027F">
        <w:t>(Mérito, Reparações e Custas)</w:t>
      </w:r>
      <w:r w:rsidRPr="00CB027F">
        <w:rPr>
          <w:iCs/>
          <w:color w:val="000000"/>
        </w:rPr>
        <w:t>, Série C No. 109</w:t>
      </w:r>
      <w:r w:rsidRPr="00CB027F">
        <w:t>, § 153.</w:t>
      </w:r>
    </w:p>
  </w:footnote>
  <w:footnote w:id="68">
    <w:p w:rsidR="00A842A7" w:rsidRPr="00CB027F" w:rsidRDefault="00A842A7">
      <w:pPr>
        <w:pStyle w:val="FootnoteText"/>
        <w:jc w:val="both"/>
      </w:pPr>
      <w:r w:rsidRPr="00CB027F">
        <w:rPr>
          <w:rStyle w:val="FootnoteReference"/>
        </w:rPr>
        <w:footnoteRef/>
      </w:r>
      <w:r w:rsidRPr="00CB027F">
        <w:t xml:space="preserve"> CrIDH, </w:t>
      </w:r>
      <w:r w:rsidRPr="00CB027F">
        <w:rPr>
          <w:b/>
        </w:rPr>
        <w:t xml:space="preserve">Caso Huilca Tecse vs. </w:t>
      </w:r>
      <w:r w:rsidR="00E435AC">
        <w:rPr>
          <w:b/>
        </w:rPr>
        <w:t>Peru</w:t>
      </w:r>
      <w:r w:rsidRPr="00CB027F">
        <w:t xml:space="preserve">. Sent. 03/03/2005. (Mérito, Reparações e Custas). Série C, No. 121, § 66; </w:t>
      </w:r>
      <w:r w:rsidRPr="00CB027F">
        <w:rPr>
          <w:b/>
        </w:rPr>
        <w:t>Caso dos Irmãos Gómez Paquiyauri</w:t>
      </w:r>
      <w:r w:rsidRPr="00CB027F">
        <w:t xml:space="preserve">. Sent. 08/07/2004 (Mérito Reparações e Custas). Série C No. 110, § 129; </w:t>
      </w:r>
      <w:r w:rsidRPr="00CB027F">
        <w:rPr>
          <w:b/>
        </w:rPr>
        <w:t>Caso Myrna Mack Chang</w:t>
      </w:r>
      <w:r w:rsidRPr="00CB027F">
        <w:t xml:space="preserve">. Sent. 25/11/2003 (Mérito, Reparações e Custas). Série C No. 101, § 153 e </w:t>
      </w:r>
      <w:r w:rsidRPr="00CB027F">
        <w:rPr>
          <w:b/>
        </w:rPr>
        <w:t>Caso Juan Humberto Sánchez</w:t>
      </w:r>
      <w:r w:rsidRPr="00CB027F">
        <w:t xml:space="preserve">. Sent. 07/06/2003. (Mérito). Série C No. 99, § 110. </w:t>
      </w:r>
    </w:p>
  </w:footnote>
  <w:footnote w:id="69">
    <w:p w:rsidR="00A842A7" w:rsidRPr="00CB027F" w:rsidRDefault="00A842A7" w:rsidP="00713FB4">
      <w:pPr>
        <w:pStyle w:val="FootnoteText"/>
        <w:jc w:val="both"/>
      </w:pPr>
      <w:r w:rsidRPr="00CB027F">
        <w:rPr>
          <w:rStyle w:val="FootnoteReference"/>
        </w:rPr>
        <w:footnoteRef/>
      </w:r>
      <w:r w:rsidRPr="00FA5FC8">
        <w:rPr>
          <w:lang w:val="es-CO"/>
        </w:rPr>
        <w:t xml:space="preserve"> CrIDH.</w:t>
      </w:r>
      <w:r w:rsidRPr="00FA5FC8">
        <w:rPr>
          <w:iCs/>
          <w:color w:val="000000"/>
          <w:lang w:val="es-CO"/>
        </w:rPr>
        <w:t xml:space="preserve"> </w:t>
      </w:r>
      <w:r w:rsidRPr="00FA5FC8">
        <w:rPr>
          <w:b/>
          <w:iCs/>
          <w:color w:val="000000"/>
          <w:lang w:val="es-CO"/>
        </w:rPr>
        <w:t xml:space="preserve">Caso Las Palmeras Vs. </w:t>
      </w:r>
      <w:r w:rsidRPr="00CB027F">
        <w:rPr>
          <w:b/>
          <w:iCs/>
          <w:color w:val="000000"/>
        </w:rPr>
        <w:t>Colômbia</w:t>
      </w:r>
      <w:r w:rsidRPr="00CB027F">
        <w:rPr>
          <w:iCs/>
          <w:color w:val="000000"/>
        </w:rPr>
        <w:t xml:space="preserve">. Sent. 06/12/2001 (Mérito). Série C No. 90, </w:t>
      </w:r>
      <w:r w:rsidRPr="00CB027F">
        <w:t>§59</w:t>
      </w:r>
      <w:r w:rsidRPr="00CB027F">
        <w:rPr>
          <w:iCs/>
          <w:color w:val="000000"/>
        </w:rPr>
        <w:t xml:space="preserve">; </w:t>
      </w:r>
      <w:r w:rsidRPr="00CB027F">
        <w:rPr>
          <w:b/>
          <w:iCs/>
          <w:color w:val="000000"/>
        </w:rPr>
        <w:t>Caso Durand e Ugarte Vs. Peru</w:t>
      </w:r>
      <w:r w:rsidRPr="00CB027F">
        <w:rPr>
          <w:iCs/>
          <w:color w:val="000000"/>
        </w:rPr>
        <w:t>. Sent. 16/08/2000 (Mérito). Série C No. 68,</w:t>
      </w:r>
      <w:r w:rsidRPr="00CB027F">
        <w:t xml:space="preserve"> § 129</w:t>
      </w:r>
      <w:r w:rsidRPr="00CB027F">
        <w:rPr>
          <w:iCs/>
          <w:color w:val="000000"/>
        </w:rPr>
        <w:t xml:space="preserve"> e </w:t>
      </w:r>
      <w:r w:rsidRPr="00CB027F">
        <w:rPr>
          <w:b/>
          <w:iCs/>
          <w:color w:val="000000"/>
        </w:rPr>
        <w:t xml:space="preserve">Caso dos Meninos de Rua (Villagrán Morales </w:t>
      </w:r>
      <w:r w:rsidR="00CB027F">
        <w:rPr>
          <w:b/>
          <w:iCs/>
          <w:color w:val="000000"/>
        </w:rPr>
        <w:t>e outros</w:t>
      </w:r>
      <w:r w:rsidRPr="00CB027F">
        <w:rPr>
          <w:b/>
          <w:iCs/>
          <w:color w:val="000000"/>
        </w:rPr>
        <w:t>) Vs. Guatemala</w:t>
      </w:r>
      <w:r w:rsidRPr="00CB027F">
        <w:rPr>
          <w:iCs/>
          <w:color w:val="000000"/>
        </w:rPr>
        <w:t xml:space="preserve">. Sent.19/11/1999 (Mérito). Série C No. 63, </w:t>
      </w:r>
      <w:r w:rsidRPr="00CB027F">
        <w:t>§60</w:t>
      </w:r>
      <w:r w:rsidRPr="00CB027F">
        <w:rPr>
          <w:iCs/>
          <w:color w:val="000000"/>
        </w:rPr>
        <w:t xml:space="preserve">. </w:t>
      </w:r>
      <w:r w:rsidRPr="00CB027F">
        <w:t xml:space="preserve"> </w:t>
      </w:r>
    </w:p>
  </w:footnote>
  <w:footnote w:id="70">
    <w:p w:rsidR="00A842A7" w:rsidRPr="00CB027F" w:rsidRDefault="00A842A7" w:rsidP="00713FB4">
      <w:pPr>
        <w:pStyle w:val="Heading3"/>
        <w:spacing w:line="240" w:lineRule="auto"/>
        <w:jc w:val="both"/>
        <w:rPr>
          <w:rFonts w:ascii="Times New Roman" w:hAnsi="Times New Roman"/>
          <w:b w:val="0"/>
          <w:sz w:val="20"/>
          <w:szCs w:val="20"/>
        </w:rPr>
      </w:pPr>
      <w:r w:rsidRPr="00CB027F">
        <w:rPr>
          <w:rStyle w:val="FootnoteReference"/>
          <w:rFonts w:ascii="Times New Roman" w:hAnsi="Times New Roman"/>
          <w:b w:val="0"/>
          <w:sz w:val="20"/>
          <w:szCs w:val="20"/>
        </w:rPr>
        <w:footnoteRef/>
      </w:r>
      <w:r w:rsidRPr="00CB027F">
        <w:rPr>
          <w:rFonts w:ascii="Times New Roman" w:hAnsi="Times New Roman"/>
          <w:b w:val="0"/>
          <w:sz w:val="20"/>
          <w:szCs w:val="20"/>
        </w:rPr>
        <w:t xml:space="preserve"> </w:t>
      </w:r>
      <w:bookmarkStart w:id="16" w:name="_Toc414614878"/>
      <w:r w:rsidRPr="00CB027F">
        <w:rPr>
          <w:rFonts w:ascii="Times New Roman" w:hAnsi="Times New Roman"/>
          <w:b w:val="0"/>
          <w:sz w:val="20"/>
          <w:szCs w:val="20"/>
        </w:rPr>
        <w:t>CrIDH</w:t>
      </w:r>
      <w:r w:rsidRPr="00CB027F">
        <w:rPr>
          <w:rFonts w:ascii="Times New Roman" w:hAnsi="Times New Roman"/>
          <w:sz w:val="20"/>
          <w:szCs w:val="20"/>
        </w:rPr>
        <w:t xml:space="preserve"> Caso Garibaldi vs. Brasil</w:t>
      </w:r>
      <w:r w:rsidRPr="00CB027F">
        <w:rPr>
          <w:rFonts w:ascii="Times New Roman" w:hAnsi="Times New Roman"/>
          <w:b w:val="0"/>
          <w:sz w:val="20"/>
          <w:szCs w:val="20"/>
        </w:rPr>
        <w:t>. Sent. 23/09/2009 (Exceções Preliminares, Mérito, Reparações e Custas)</w:t>
      </w:r>
      <w:bookmarkEnd w:id="16"/>
      <w:r w:rsidRPr="00CB027F">
        <w:rPr>
          <w:rFonts w:ascii="Times New Roman" w:hAnsi="Times New Roman"/>
          <w:b w:val="0"/>
          <w:sz w:val="20"/>
          <w:szCs w:val="20"/>
        </w:rPr>
        <w:t xml:space="preserve">, </w:t>
      </w:r>
      <w:r w:rsidRPr="00CB027F">
        <w:rPr>
          <w:rFonts w:ascii="Times New Roman" w:hAnsi="Times New Roman"/>
          <w:sz w:val="20"/>
          <w:szCs w:val="20"/>
        </w:rPr>
        <w:t>§</w:t>
      </w:r>
      <w:r w:rsidRPr="00CB027F">
        <w:rPr>
          <w:rFonts w:ascii="Times New Roman" w:hAnsi="Times New Roman"/>
          <w:b w:val="0"/>
          <w:sz w:val="20"/>
          <w:szCs w:val="20"/>
        </w:rPr>
        <w:t xml:space="preserve"> 117.</w:t>
      </w:r>
    </w:p>
  </w:footnote>
  <w:footnote w:id="71">
    <w:p w:rsidR="00A842A7" w:rsidRPr="00CB027F" w:rsidRDefault="00A842A7" w:rsidP="00713FB4">
      <w:pPr>
        <w:pStyle w:val="FootnoteText"/>
        <w:jc w:val="both"/>
      </w:pPr>
      <w:r w:rsidRPr="00CB027F">
        <w:rPr>
          <w:rStyle w:val="FootnoteReference"/>
        </w:rPr>
        <w:footnoteRef/>
      </w:r>
      <w:r w:rsidRPr="00CB027F">
        <w:t xml:space="preserve"> CrIDH</w:t>
      </w:r>
      <w:r w:rsidRPr="00CB027F" w:rsidDel="00434539">
        <w:t xml:space="preserve"> </w:t>
      </w:r>
      <w:r w:rsidRPr="00CB027F">
        <w:t xml:space="preserve"> </w:t>
      </w:r>
      <w:r w:rsidRPr="00CB027F">
        <w:rPr>
          <w:b/>
        </w:rPr>
        <w:t>Caso Durand e Ugarte Vs. Peru</w:t>
      </w:r>
      <w:r w:rsidRPr="00CB027F">
        <w:t xml:space="preserve">. Sent. 16/08/2000 (Mérito). Série C No. 68, § 130; </w:t>
      </w:r>
      <w:r w:rsidRPr="00CB027F">
        <w:rPr>
          <w:b/>
        </w:rPr>
        <w:t>Caso Ticona Estrada e outros Vs. Bolívia.</w:t>
      </w:r>
      <w:r w:rsidRPr="00CB027F">
        <w:t xml:space="preserve">  Sent. 27/11/2008 (Mérito, Reparações e Custas). Série C No. 191 § 81 e </w:t>
      </w:r>
      <w:r w:rsidRPr="00CB027F">
        <w:rPr>
          <w:b/>
        </w:rPr>
        <w:t>Caso Heliodoro Portugal Vs. Panamá</w:t>
      </w:r>
      <w:r w:rsidRPr="00CB027F">
        <w:t>. Sent. 12/08/2008 (Exceções Preliminares, Mérito, Reparações e Custas). Série C No. 186, § 146</w:t>
      </w:r>
    </w:p>
  </w:footnote>
  <w:footnote w:id="72">
    <w:p w:rsidR="00A842A7" w:rsidRPr="00CB027F" w:rsidRDefault="00A842A7" w:rsidP="00713FB4">
      <w:pPr>
        <w:pStyle w:val="FootnoteText"/>
        <w:jc w:val="both"/>
      </w:pPr>
      <w:r w:rsidRPr="00CB027F">
        <w:rPr>
          <w:rStyle w:val="FootnoteReference"/>
        </w:rPr>
        <w:footnoteRef/>
      </w:r>
      <w:r w:rsidRPr="00CB027F">
        <w:t xml:space="preserve"> </w:t>
      </w:r>
      <w:r w:rsidRPr="00CB027F">
        <w:rPr>
          <w:rFonts w:eastAsia="Times New Roman"/>
          <w:color w:val="000000"/>
        </w:rPr>
        <w:t xml:space="preserve">TEDH. </w:t>
      </w:r>
      <w:r w:rsidRPr="00CB027F">
        <w:rPr>
          <w:rFonts w:eastAsia="Times New Roman"/>
          <w:b/>
          <w:color w:val="000000"/>
        </w:rPr>
        <w:t>Caso Nikolova e Velichkova Vs. Bulgária</w:t>
      </w:r>
      <w:r w:rsidRPr="00CB027F">
        <w:rPr>
          <w:rFonts w:eastAsia="Times New Roman"/>
          <w:color w:val="000000"/>
        </w:rPr>
        <w:t>. Sent. 20/03/2008. No. 7888/03, §§ 57 e 61.</w:t>
      </w:r>
    </w:p>
  </w:footnote>
  <w:footnote w:id="73">
    <w:p w:rsidR="00A842A7" w:rsidRPr="00CB027F" w:rsidRDefault="00A842A7" w:rsidP="00477EC5">
      <w:pPr>
        <w:pStyle w:val="Heading3"/>
        <w:spacing w:line="240" w:lineRule="auto"/>
        <w:jc w:val="both"/>
        <w:rPr>
          <w:rFonts w:ascii="Times New Roman" w:hAnsi="Times New Roman"/>
          <w:b w:val="0"/>
          <w:sz w:val="20"/>
          <w:szCs w:val="20"/>
        </w:rPr>
      </w:pPr>
      <w:r w:rsidRPr="00CB027F">
        <w:rPr>
          <w:rStyle w:val="FootnoteReference"/>
          <w:rFonts w:ascii="Times New Roman" w:hAnsi="Times New Roman"/>
          <w:b w:val="0"/>
          <w:sz w:val="20"/>
          <w:szCs w:val="20"/>
        </w:rPr>
        <w:footnoteRef/>
      </w:r>
      <w:bookmarkStart w:id="17" w:name="_Toc414614873"/>
      <w:r w:rsidRPr="00FA5FC8">
        <w:rPr>
          <w:rFonts w:ascii="Times New Roman" w:hAnsi="Times New Roman"/>
          <w:b w:val="0"/>
          <w:sz w:val="20"/>
          <w:szCs w:val="20"/>
          <w:lang w:val="es-CO"/>
        </w:rPr>
        <w:t xml:space="preserve">  CrIDH. </w:t>
      </w:r>
      <w:r w:rsidRPr="00FA5FC8">
        <w:rPr>
          <w:rFonts w:ascii="Times New Roman" w:hAnsi="Times New Roman"/>
          <w:sz w:val="20"/>
          <w:szCs w:val="20"/>
          <w:lang w:val="es-CO"/>
        </w:rPr>
        <w:t xml:space="preserve">Caso Baldeón García Vs. </w:t>
      </w:r>
      <w:r w:rsidR="00E435AC">
        <w:rPr>
          <w:rFonts w:ascii="Times New Roman" w:hAnsi="Times New Roman"/>
          <w:sz w:val="20"/>
          <w:szCs w:val="20"/>
        </w:rPr>
        <w:t>Peru</w:t>
      </w:r>
      <w:r w:rsidRPr="00CB027F">
        <w:rPr>
          <w:rFonts w:ascii="Times New Roman" w:hAnsi="Times New Roman"/>
          <w:b w:val="0"/>
          <w:sz w:val="20"/>
          <w:szCs w:val="20"/>
        </w:rPr>
        <w:t>. Sent. 06/04/2006 (Mérito, Reparações e Custas)</w:t>
      </w:r>
      <w:bookmarkEnd w:id="17"/>
      <w:r w:rsidRPr="00CB027F">
        <w:rPr>
          <w:rFonts w:ascii="Times New Roman" w:hAnsi="Times New Roman"/>
          <w:b w:val="0"/>
          <w:sz w:val="20"/>
          <w:szCs w:val="20"/>
        </w:rPr>
        <w:t xml:space="preserve">. Série C No. 147, § 92; </w:t>
      </w:r>
      <w:r w:rsidRPr="00CB027F">
        <w:rPr>
          <w:rFonts w:ascii="Times New Roman" w:hAnsi="Times New Roman"/>
          <w:sz w:val="20"/>
          <w:szCs w:val="20"/>
        </w:rPr>
        <w:t>Caso do Massacre de Mapiripán,</w:t>
      </w:r>
      <w:r w:rsidRPr="00CB027F">
        <w:rPr>
          <w:rFonts w:ascii="Times New Roman" w:hAnsi="Times New Roman"/>
          <w:b w:val="0"/>
          <w:sz w:val="20"/>
          <w:szCs w:val="20"/>
        </w:rPr>
        <w:t xml:space="preserve"> Sent. 15/09/2005 (</w:t>
      </w:r>
      <w:r w:rsidRPr="00CB027F">
        <w:rPr>
          <w:rFonts w:ascii="Times New Roman" w:hAnsi="Times New Roman"/>
          <w:b w:val="0"/>
          <w:iCs/>
          <w:sz w:val="20"/>
          <w:szCs w:val="20"/>
        </w:rPr>
        <w:t>Mérito, Reparações e Custas)</w:t>
      </w:r>
      <w:r w:rsidRPr="00CB027F">
        <w:rPr>
          <w:rFonts w:ascii="Times New Roman" w:hAnsi="Times New Roman"/>
          <w:b w:val="0"/>
          <w:sz w:val="20"/>
          <w:szCs w:val="20"/>
        </w:rPr>
        <w:t xml:space="preserve">. Série C No. 134, §§ 137 e 145; </w:t>
      </w:r>
      <w:r w:rsidRPr="00CB027F">
        <w:rPr>
          <w:rFonts w:ascii="Times New Roman" w:hAnsi="Times New Roman"/>
          <w:sz w:val="20"/>
          <w:szCs w:val="20"/>
        </w:rPr>
        <w:t>Caso Huilce Tecse</w:t>
      </w:r>
      <w:r w:rsidRPr="00CB027F">
        <w:rPr>
          <w:rFonts w:ascii="Times New Roman" w:hAnsi="Times New Roman"/>
          <w:b w:val="0"/>
          <w:sz w:val="20"/>
          <w:szCs w:val="20"/>
        </w:rPr>
        <w:t xml:space="preserve">, Sent. 03/03/2005. Série C No. 121, § 66 e </w:t>
      </w:r>
      <w:r w:rsidRPr="00CB027F">
        <w:rPr>
          <w:rFonts w:ascii="Times New Roman" w:hAnsi="Times New Roman"/>
          <w:sz w:val="20"/>
          <w:szCs w:val="20"/>
        </w:rPr>
        <w:t>Caso dos Irmãos Gómez Paquiyauri</w:t>
      </w:r>
      <w:r w:rsidRPr="00CB027F">
        <w:rPr>
          <w:rFonts w:ascii="Times New Roman" w:hAnsi="Times New Roman"/>
          <w:b w:val="0"/>
          <w:sz w:val="20"/>
          <w:szCs w:val="20"/>
        </w:rPr>
        <w:t xml:space="preserve">, Sent. 08/07/2004 (Mérito Reparações e Custas). Série C No. 110, § 131. No mesmo sentido TEDH, </w:t>
      </w:r>
      <w:r w:rsidRPr="00CB027F">
        <w:rPr>
          <w:rFonts w:ascii="Times New Roman" w:hAnsi="Times New Roman"/>
          <w:sz w:val="20"/>
          <w:szCs w:val="20"/>
        </w:rPr>
        <w:t>Caso Gongadze v. Ucrânia</w:t>
      </w:r>
      <w:r w:rsidRPr="00CB027F">
        <w:rPr>
          <w:rFonts w:ascii="Times New Roman" w:hAnsi="Times New Roman"/>
          <w:b w:val="0"/>
          <w:sz w:val="20"/>
          <w:szCs w:val="20"/>
        </w:rPr>
        <w:t xml:space="preserve">, Sent. 08/11/2005, § 175; </w:t>
      </w:r>
      <w:r w:rsidRPr="00CB027F">
        <w:rPr>
          <w:rFonts w:ascii="Times New Roman" w:hAnsi="Times New Roman"/>
          <w:sz w:val="20"/>
          <w:szCs w:val="20"/>
        </w:rPr>
        <w:t>Caso Nachova e outros vs. Bulgária,</w:t>
      </w:r>
      <w:r w:rsidRPr="00CB027F">
        <w:rPr>
          <w:rFonts w:ascii="Times New Roman" w:hAnsi="Times New Roman"/>
          <w:b w:val="0"/>
          <w:sz w:val="20"/>
          <w:szCs w:val="20"/>
        </w:rPr>
        <w:t xml:space="preserve"> Nos. 43577/98 e 43579/98, Sent. 06/07/2005, § 110 e </w:t>
      </w:r>
      <w:r w:rsidRPr="00CB027F">
        <w:rPr>
          <w:rFonts w:ascii="Times New Roman" w:hAnsi="Times New Roman"/>
          <w:sz w:val="20"/>
          <w:szCs w:val="20"/>
        </w:rPr>
        <w:t>Caso Hugh Jordan vs. Reino Unido</w:t>
      </w:r>
      <w:r w:rsidRPr="00CB027F">
        <w:rPr>
          <w:rFonts w:ascii="Times New Roman" w:hAnsi="Times New Roman"/>
          <w:b w:val="0"/>
          <w:sz w:val="20"/>
          <w:szCs w:val="20"/>
        </w:rPr>
        <w:t>, no. 24746/94, Sent. 04/05/2001, § 105.</w:t>
      </w:r>
    </w:p>
  </w:footnote>
  <w:footnote w:id="74">
    <w:p w:rsidR="00A842A7" w:rsidRPr="00CB027F" w:rsidRDefault="00A842A7" w:rsidP="00477EC5">
      <w:pPr>
        <w:pStyle w:val="FootnoteText"/>
        <w:jc w:val="both"/>
      </w:pPr>
      <w:r w:rsidRPr="00CB027F">
        <w:rPr>
          <w:rStyle w:val="FootnoteReference"/>
        </w:rPr>
        <w:footnoteRef/>
      </w:r>
      <w:r w:rsidRPr="00FA5FC8">
        <w:rPr>
          <w:lang w:val="es-CO"/>
        </w:rPr>
        <w:t xml:space="preserve"> CrIDH. </w:t>
      </w:r>
      <w:r w:rsidRPr="00FA5FC8">
        <w:rPr>
          <w:b/>
          <w:lang w:val="es-CO"/>
        </w:rPr>
        <w:t xml:space="preserve">Caso González Medina Vs. </w:t>
      </w:r>
      <w:r w:rsidRPr="00CB027F">
        <w:rPr>
          <w:b/>
        </w:rPr>
        <w:t>República Dominicana</w:t>
      </w:r>
      <w:r w:rsidRPr="00CB027F">
        <w:t>. Sent. 27/02/2012 (Exceções Preliminares, Mérito, Reparações e Custas). Série C No. 240, § 203.</w:t>
      </w:r>
    </w:p>
  </w:footnote>
  <w:footnote w:id="75">
    <w:p w:rsidR="00A842A7" w:rsidRPr="00CB027F" w:rsidRDefault="00A842A7" w:rsidP="00477EC5">
      <w:pPr>
        <w:autoSpaceDE w:val="0"/>
        <w:autoSpaceDN w:val="0"/>
        <w:adjustRightInd w:val="0"/>
        <w:spacing w:line="240" w:lineRule="auto"/>
        <w:jc w:val="both"/>
      </w:pPr>
      <w:r w:rsidRPr="00CB027F">
        <w:rPr>
          <w:rStyle w:val="FootnoteReference"/>
          <w:sz w:val="20"/>
          <w:szCs w:val="20"/>
        </w:rPr>
        <w:footnoteRef/>
      </w:r>
      <w:r w:rsidRPr="00CB027F">
        <w:rPr>
          <w:sz w:val="20"/>
          <w:szCs w:val="20"/>
        </w:rPr>
        <w:t xml:space="preserve"> CrIDH. </w:t>
      </w:r>
      <w:r w:rsidRPr="00CB027F">
        <w:rPr>
          <w:b/>
          <w:iCs/>
          <w:sz w:val="20"/>
          <w:szCs w:val="20"/>
        </w:rPr>
        <w:t>Caso do Massacre de Pueblo Bello Vs. Colômbia</w:t>
      </w:r>
      <w:r w:rsidRPr="00CB027F">
        <w:rPr>
          <w:iCs/>
          <w:sz w:val="20"/>
          <w:szCs w:val="20"/>
        </w:rPr>
        <w:t>.</w:t>
      </w:r>
      <w:r w:rsidRPr="00CB027F">
        <w:rPr>
          <w:sz w:val="20"/>
          <w:szCs w:val="20"/>
        </w:rPr>
        <w:t xml:space="preserve"> Sent. 31/01/2006 (</w:t>
      </w:r>
      <w:r w:rsidRPr="00CB027F">
        <w:rPr>
          <w:iCs/>
          <w:sz w:val="20"/>
          <w:szCs w:val="20"/>
        </w:rPr>
        <w:t>Mérito, Reparações e Custas)</w:t>
      </w:r>
      <w:r w:rsidRPr="00CB027F">
        <w:rPr>
          <w:sz w:val="20"/>
          <w:szCs w:val="20"/>
        </w:rPr>
        <w:t>. Série C No. 140, § 143</w:t>
      </w:r>
    </w:p>
  </w:footnote>
  <w:footnote w:id="76">
    <w:p w:rsidR="00A842A7" w:rsidRPr="00CB027F" w:rsidRDefault="00A842A7">
      <w:pPr>
        <w:pStyle w:val="FootnoteText"/>
        <w:jc w:val="both"/>
      </w:pPr>
      <w:r w:rsidRPr="00CB027F">
        <w:rPr>
          <w:rStyle w:val="FootnoteReference"/>
        </w:rPr>
        <w:footnoteRef/>
      </w:r>
      <w:r w:rsidRPr="00CB027F">
        <w:t xml:space="preserve"> CrIDH. </w:t>
      </w:r>
      <w:r w:rsidRPr="00CB027F">
        <w:rPr>
          <w:b/>
        </w:rPr>
        <w:t>Caso d</w:t>
      </w:r>
      <w:r w:rsidR="00E435AC">
        <w:rPr>
          <w:b/>
        </w:rPr>
        <w:t xml:space="preserve">o </w:t>
      </w:r>
      <w:r w:rsidRPr="00CB027F">
        <w:rPr>
          <w:b/>
        </w:rPr>
        <w:t>Ma</w:t>
      </w:r>
      <w:r w:rsidR="00E435AC">
        <w:rPr>
          <w:b/>
        </w:rPr>
        <w:t>s</w:t>
      </w:r>
      <w:r w:rsidRPr="00CB027F">
        <w:rPr>
          <w:b/>
        </w:rPr>
        <w:t>sacre</w:t>
      </w:r>
      <w:r w:rsidR="00E435AC">
        <w:rPr>
          <w:b/>
        </w:rPr>
        <w:t>s</w:t>
      </w:r>
      <w:r w:rsidRPr="00CB027F">
        <w:rPr>
          <w:b/>
        </w:rPr>
        <w:t xml:space="preserve"> de Ituango Vs. Colômbia</w:t>
      </w:r>
      <w:r w:rsidRPr="00CB027F">
        <w:t xml:space="preserve">. Sent. 01/07/2006 (Exceções Preliminares, Mérito, Reparações e Custas). Série C No. 148, § 319 e </w:t>
      </w:r>
      <w:r w:rsidRPr="00CB027F">
        <w:rPr>
          <w:b/>
        </w:rPr>
        <w:t>Caso Família Barrios Vs. Venezuela</w:t>
      </w:r>
      <w:r w:rsidRPr="00CB027F">
        <w:t>, Sent. 24/11/2011 (Mérito, Reparações e Custas), § 175.</w:t>
      </w:r>
    </w:p>
  </w:footnote>
  <w:footnote w:id="77">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Caso Baldeon Garcia vs. Peru</w:t>
      </w:r>
      <w:r w:rsidRPr="00CB027F">
        <w:t xml:space="preserve">. Sent. 06/04/2006 (Mérito, Reparações e Custas), § 82; </w:t>
      </w:r>
      <w:r w:rsidRPr="00CB027F">
        <w:rPr>
          <w:b/>
        </w:rPr>
        <w:t xml:space="preserve">Caso </w:t>
      </w:r>
      <w:r w:rsidRPr="00CB027F">
        <w:rPr>
          <w:b/>
          <w:iCs/>
        </w:rPr>
        <w:t>Massacre de Pueblo Bello</w:t>
      </w:r>
      <w:r w:rsidRPr="00CB027F">
        <w:rPr>
          <w:b/>
        </w:rPr>
        <w:t xml:space="preserve"> vs. Colômbia</w:t>
      </w:r>
      <w:r w:rsidRPr="00CB027F">
        <w:t>. Sent. 31/01/2006 (</w:t>
      </w:r>
      <w:r w:rsidRPr="00CB027F">
        <w:rPr>
          <w:iCs/>
        </w:rPr>
        <w:t>Mérito, Reparações e Custas)</w:t>
      </w:r>
      <w:r w:rsidRPr="00CB027F">
        <w:t xml:space="preserve">. Série C No. 140, § 120; </w:t>
      </w:r>
      <w:r w:rsidRPr="00CB027F">
        <w:rPr>
          <w:b/>
        </w:rPr>
        <w:t>Caso 19 Comerciantes vs. Colômbia</w:t>
      </w:r>
      <w:r w:rsidRPr="00CB027F">
        <w:t xml:space="preserve">. </w:t>
      </w:r>
      <w:r w:rsidRPr="00CB027F">
        <w:rPr>
          <w:iCs/>
          <w:color w:val="000000"/>
        </w:rPr>
        <w:t xml:space="preserve">Sent. 05/07/2004 </w:t>
      </w:r>
      <w:r w:rsidRPr="00CB027F">
        <w:t>(Mérito, Reparações e Custas)</w:t>
      </w:r>
      <w:r w:rsidRPr="00CB027F">
        <w:rPr>
          <w:iCs/>
          <w:color w:val="000000"/>
        </w:rPr>
        <w:t>, Série C No. 109</w:t>
      </w:r>
      <w:r w:rsidRPr="00CB027F">
        <w:t xml:space="preserve">, § 153 e </w:t>
      </w:r>
      <w:r w:rsidRPr="00CB027F">
        <w:rPr>
          <w:b/>
        </w:rPr>
        <w:t>Caso Myrna Mack Chang</w:t>
      </w:r>
      <w:r w:rsidRPr="00CB027F">
        <w:t>. Sent. 25/11/2003 (Mérito, Reparações e Custas). Série C No. 101, § 152.</w:t>
      </w:r>
    </w:p>
  </w:footnote>
  <w:footnote w:id="78">
    <w:p w:rsidR="00A842A7" w:rsidRPr="00CB027F" w:rsidRDefault="00A842A7" w:rsidP="00477EC5">
      <w:pPr>
        <w:pStyle w:val="FootnoteText"/>
        <w:jc w:val="both"/>
      </w:pPr>
      <w:r w:rsidRPr="00CB027F">
        <w:rPr>
          <w:rStyle w:val="FootnoteReference"/>
        </w:rPr>
        <w:footnoteRef/>
      </w:r>
      <w:r w:rsidRPr="00CB027F">
        <w:t xml:space="preserve"> CrIDH, </w:t>
      </w:r>
      <w:r w:rsidRPr="00CB027F">
        <w:rPr>
          <w:b/>
        </w:rPr>
        <w:t>Caso Herrera Ulloa vs. Costa Rica</w:t>
      </w:r>
      <w:r w:rsidRPr="00CB027F">
        <w:t xml:space="preserve">. Sent. 02/07/2004 (Exceções Preliminares, Mérito, Reparações e Custas). Série C, No. 107, § 144; </w:t>
      </w:r>
      <w:r w:rsidRPr="00CB027F">
        <w:rPr>
          <w:b/>
        </w:rPr>
        <w:t>Caso Juan Humberto Sánchez</w:t>
      </w:r>
      <w:r w:rsidRPr="00CB027F">
        <w:t xml:space="preserve">. Sent. 07/06/2003. (Mérito). Série C No. 99, § 142; </w:t>
      </w:r>
      <w:r w:rsidRPr="00CB027F">
        <w:rPr>
          <w:b/>
        </w:rPr>
        <w:t>Caso “Cinco Pensionistas” vs. Peru</w:t>
      </w:r>
      <w:r w:rsidRPr="00CB027F">
        <w:t>. Sent. 28/02/2003 (Mérito, Reparações e Custas). Série C No. 98, §163 e</w:t>
      </w:r>
      <w:r w:rsidRPr="00CB027F">
        <w:rPr>
          <w:b/>
        </w:rPr>
        <w:t xml:space="preserve"> Caso dos Meninos de Rua (Villagrán Morales </w:t>
      </w:r>
      <w:r w:rsidR="00CB027F">
        <w:rPr>
          <w:b/>
        </w:rPr>
        <w:t>e outros</w:t>
      </w:r>
      <w:r w:rsidRPr="00CB027F">
        <w:rPr>
          <w:b/>
        </w:rPr>
        <w:t>)</w:t>
      </w:r>
      <w:r w:rsidRPr="00CB027F">
        <w:t xml:space="preserve">. Sent. 19/11/1999 </w:t>
      </w:r>
      <w:r w:rsidRPr="00CB027F">
        <w:rPr>
          <w:iCs/>
          <w:color w:val="000000"/>
        </w:rPr>
        <w:t>(Mérito)</w:t>
      </w:r>
      <w:r w:rsidRPr="00CB027F">
        <w:t>. Série C No. 63, §220.</w:t>
      </w:r>
    </w:p>
  </w:footnote>
  <w:footnote w:id="79">
    <w:p w:rsidR="00A842A7" w:rsidRPr="00CB027F" w:rsidRDefault="00A842A7" w:rsidP="00713FB4">
      <w:pPr>
        <w:pStyle w:val="Heading3"/>
        <w:spacing w:line="240" w:lineRule="auto"/>
        <w:jc w:val="both"/>
        <w:rPr>
          <w:rFonts w:ascii="Times New Roman" w:hAnsi="Times New Roman"/>
          <w:b w:val="0"/>
          <w:sz w:val="20"/>
          <w:szCs w:val="20"/>
        </w:rPr>
      </w:pPr>
      <w:r w:rsidRPr="00CB027F">
        <w:rPr>
          <w:rStyle w:val="FootnoteReference"/>
          <w:rFonts w:ascii="Times New Roman" w:hAnsi="Times New Roman"/>
          <w:b w:val="0"/>
          <w:sz w:val="20"/>
          <w:szCs w:val="20"/>
        </w:rPr>
        <w:footnoteRef/>
      </w:r>
      <w:r w:rsidRPr="00CB027F">
        <w:rPr>
          <w:rFonts w:ascii="Times New Roman" w:hAnsi="Times New Roman"/>
          <w:b w:val="0"/>
          <w:sz w:val="20"/>
          <w:szCs w:val="20"/>
        </w:rPr>
        <w:t xml:space="preserve"> </w:t>
      </w:r>
      <w:bookmarkStart w:id="19" w:name="_Toc414614883"/>
      <w:r w:rsidRPr="00CB027F">
        <w:rPr>
          <w:rFonts w:ascii="Times New Roman" w:hAnsi="Times New Roman"/>
          <w:b w:val="0"/>
          <w:sz w:val="20"/>
          <w:szCs w:val="20"/>
        </w:rPr>
        <w:t xml:space="preserve">CrIDH. </w:t>
      </w:r>
      <w:r w:rsidRPr="00CB027F">
        <w:rPr>
          <w:rFonts w:ascii="Times New Roman" w:hAnsi="Times New Roman"/>
          <w:sz w:val="20"/>
          <w:szCs w:val="20"/>
        </w:rPr>
        <w:t>Caso dos Irmãos Gómez Paquiyauri Vs. Peru</w:t>
      </w:r>
      <w:r w:rsidRPr="00CB027F">
        <w:rPr>
          <w:rFonts w:ascii="Times New Roman" w:hAnsi="Times New Roman"/>
          <w:b w:val="0"/>
          <w:sz w:val="20"/>
          <w:szCs w:val="20"/>
        </w:rPr>
        <w:t xml:space="preserve"> Sent. 08/07/2004 (Mérito Reparações e Custas)</w:t>
      </w:r>
      <w:bookmarkEnd w:id="19"/>
      <w:r w:rsidRPr="00CB027F">
        <w:rPr>
          <w:rFonts w:ascii="Times New Roman" w:hAnsi="Times New Roman"/>
          <w:b w:val="0"/>
          <w:sz w:val="20"/>
          <w:szCs w:val="20"/>
        </w:rPr>
        <w:t xml:space="preserve">, §124; </w:t>
      </w:r>
      <w:r w:rsidRPr="00CB027F">
        <w:rPr>
          <w:rFonts w:ascii="Times New Roman" w:hAnsi="Times New Roman"/>
          <w:sz w:val="20"/>
          <w:szCs w:val="20"/>
        </w:rPr>
        <w:t>Caso Bulacio vs. Argentina</w:t>
      </w:r>
      <w:r w:rsidRPr="00CB027F">
        <w:rPr>
          <w:rFonts w:ascii="Times New Roman" w:hAnsi="Times New Roman"/>
          <w:b w:val="0"/>
          <w:sz w:val="20"/>
          <w:szCs w:val="20"/>
        </w:rPr>
        <w:t xml:space="preserve">. Sent. 18/09/2003 (Mérito, Reparações e Custas). Série C No. 100, § 138 e </w:t>
      </w:r>
      <w:r w:rsidRPr="00CB027F">
        <w:rPr>
          <w:rFonts w:ascii="Times New Roman" w:hAnsi="Times New Roman"/>
          <w:sz w:val="20"/>
          <w:szCs w:val="20"/>
        </w:rPr>
        <w:t>Caso dos Meninos de Rua (Villagrán Morales e outros).</w:t>
      </w:r>
      <w:r w:rsidRPr="00CB027F">
        <w:rPr>
          <w:rFonts w:ascii="Times New Roman" w:hAnsi="Times New Roman"/>
          <w:b w:val="0"/>
          <w:sz w:val="20"/>
          <w:szCs w:val="20"/>
        </w:rPr>
        <w:t xml:space="preserve"> Sent. 19/11/1999 </w:t>
      </w:r>
      <w:r w:rsidRPr="00CB027F">
        <w:rPr>
          <w:rFonts w:ascii="Times New Roman" w:hAnsi="Times New Roman"/>
          <w:b w:val="0"/>
          <w:iCs/>
          <w:color w:val="000000"/>
          <w:sz w:val="20"/>
          <w:szCs w:val="20"/>
        </w:rPr>
        <w:t>(Mérito)</w:t>
      </w:r>
      <w:r w:rsidRPr="00CB027F">
        <w:rPr>
          <w:rFonts w:ascii="Times New Roman" w:hAnsi="Times New Roman"/>
          <w:b w:val="0"/>
          <w:sz w:val="20"/>
          <w:szCs w:val="20"/>
        </w:rPr>
        <w:t>. Série C No. 63, § 146.</w:t>
      </w:r>
    </w:p>
  </w:footnote>
  <w:footnote w:id="80">
    <w:p w:rsidR="00A842A7" w:rsidRPr="00CB027F" w:rsidRDefault="00A842A7" w:rsidP="00713FB4">
      <w:pPr>
        <w:pStyle w:val="Heading3"/>
        <w:spacing w:line="240" w:lineRule="auto"/>
        <w:jc w:val="both"/>
        <w:rPr>
          <w:rFonts w:ascii="Times New Roman" w:hAnsi="Times New Roman"/>
          <w:b w:val="0"/>
          <w:sz w:val="20"/>
          <w:szCs w:val="20"/>
        </w:rPr>
      </w:pPr>
      <w:r w:rsidRPr="00CB027F">
        <w:rPr>
          <w:rStyle w:val="FootnoteReference"/>
          <w:rFonts w:ascii="Times New Roman" w:hAnsi="Times New Roman"/>
          <w:b w:val="0"/>
          <w:sz w:val="20"/>
          <w:szCs w:val="20"/>
        </w:rPr>
        <w:footnoteRef/>
      </w:r>
      <w:r w:rsidRPr="00CB027F">
        <w:rPr>
          <w:rFonts w:ascii="Times New Roman" w:hAnsi="Times New Roman"/>
          <w:b w:val="0"/>
          <w:sz w:val="20"/>
          <w:szCs w:val="20"/>
        </w:rPr>
        <w:t xml:space="preserve"> CrIDH. </w:t>
      </w:r>
      <w:r w:rsidRPr="00CB027F">
        <w:rPr>
          <w:rFonts w:ascii="Times New Roman" w:hAnsi="Times New Roman"/>
          <w:sz w:val="20"/>
          <w:szCs w:val="20"/>
        </w:rPr>
        <w:t>Caso dos Irmãos Gómez Paquiyauri Vs. Peru</w:t>
      </w:r>
      <w:r w:rsidRPr="00CB027F">
        <w:rPr>
          <w:rFonts w:ascii="Times New Roman" w:hAnsi="Times New Roman"/>
          <w:b w:val="0"/>
          <w:sz w:val="20"/>
          <w:szCs w:val="20"/>
        </w:rPr>
        <w:t xml:space="preserve"> Sent. 08 /07/ 2004 (Mérito Reparações e Custas), § 124.</w:t>
      </w:r>
    </w:p>
  </w:footnote>
  <w:footnote w:id="81">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 xml:space="preserve">Caso Chitay Nech </w:t>
      </w:r>
      <w:r w:rsidR="00CB027F">
        <w:rPr>
          <w:b/>
        </w:rPr>
        <w:t>e outros</w:t>
      </w:r>
      <w:r w:rsidRPr="00CB027F">
        <w:rPr>
          <w:b/>
        </w:rPr>
        <w:t xml:space="preserve"> vs. Guatemala</w:t>
      </w:r>
      <w:r w:rsidRPr="00CB027F">
        <w:t xml:space="preserve">. Sent. 25/05/2010 (Exceções Preliminares, Mérito, Reparações e Custas). Série C No. 212, § 190 e </w:t>
      </w:r>
      <w:r w:rsidRPr="00CB027F">
        <w:rPr>
          <w:b/>
        </w:rPr>
        <w:t>Caso Cabrera García e Montiel Flores vs. México</w:t>
      </w:r>
      <w:r w:rsidRPr="00CB027F">
        <w:t>. Sent. 26/11/2010 (Exceções Preliminares, Mérito, Reparações e Custas). Série C No. 220, § 141.</w:t>
      </w:r>
    </w:p>
  </w:footnote>
  <w:footnote w:id="82">
    <w:p w:rsidR="00A842A7" w:rsidRPr="00CB027F" w:rsidRDefault="00A842A7" w:rsidP="00713FB4">
      <w:pPr>
        <w:pStyle w:val="FootnoteText"/>
        <w:jc w:val="both"/>
      </w:pPr>
      <w:r w:rsidRPr="00CB027F">
        <w:rPr>
          <w:rStyle w:val="FootnoteReference"/>
        </w:rPr>
        <w:footnoteRef/>
      </w:r>
      <w:r w:rsidRPr="00FA5FC8">
        <w:rPr>
          <w:lang w:val="es-CO"/>
        </w:rPr>
        <w:t xml:space="preserve"> CrIDH. </w:t>
      </w:r>
      <w:r w:rsidRPr="00FA5FC8">
        <w:rPr>
          <w:b/>
          <w:iCs/>
          <w:color w:val="000000"/>
          <w:lang w:val="es-CO"/>
        </w:rPr>
        <w:t xml:space="preserve">Caso Las Palmeras Vs. </w:t>
      </w:r>
      <w:r w:rsidRPr="00CB027F">
        <w:rPr>
          <w:b/>
          <w:iCs/>
          <w:color w:val="000000"/>
        </w:rPr>
        <w:t>Colômbia</w:t>
      </w:r>
      <w:r w:rsidRPr="00CB027F">
        <w:rPr>
          <w:iCs/>
          <w:color w:val="000000"/>
        </w:rPr>
        <w:t xml:space="preserve">. Sent. 06/12/2001 (Mérito). Série C No. 90, § 129. </w:t>
      </w:r>
      <w:r w:rsidRPr="00CB027F">
        <w:rPr>
          <w:b/>
          <w:iCs/>
          <w:color w:val="000000"/>
        </w:rPr>
        <w:t>Caso Durand y Ugarte Vs. Peru</w:t>
      </w:r>
      <w:r w:rsidRPr="00CB027F">
        <w:rPr>
          <w:iCs/>
          <w:color w:val="000000"/>
        </w:rPr>
        <w:t xml:space="preserve">. Sent. 16/08/2000 (Mérito). Série C No. 68, § 129. </w:t>
      </w:r>
      <w:r w:rsidRPr="00CB027F">
        <w:rPr>
          <w:b/>
          <w:iCs/>
          <w:color w:val="000000"/>
        </w:rPr>
        <w:t>Caso dos Meninos de Rua (Villagrán Morales e outros) Vs. Guatemala</w:t>
      </w:r>
      <w:r w:rsidRPr="00CB027F">
        <w:rPr>
          <w:iCs/>
          <w:color w:val="000000"/>
        </w:rPr>
        <w:t xml:space="preserve">. Sent.19/11/1999 (Mérito). Série C No. 63, § 60. </w:t>
      </w:r>
      <w:r w:rsidRPr="00CB027F">
        <w:t xml:space="preserve"> </w:t>
      </w:r>
    </w:p>
  </w:footnote>
  <w:footnote w:id="83">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Gomes Lund Vs. Brasil</w:t>
      </w:r>
      <w:r w:rsidRPr="00CB027F">
        <w:t>. Sent. 24/11/2010 (Exceções Preliminares, Mérito, Reparações e Custas). Série C No. 219, § 245</w:t>
      </w:r>
    </w:p>
  </w:footnote>
  <w:footnote w:id="84">
    <w:p w:rsidR="00A842A7" w:rsidRPr="00CB027F" w:rsidRDefault="00A842A7" w:rsidP="00713FB4">
      <w:pPr>
        <w:autoSpaceDE w:val="0"/>
        <w:autoSpaceDN w:val="0"/>
        <w:adjustRightInd w:val="0"/>
        <w:spacing w:line="240" w:lineRule="auto"/>
        <w:jc w:val="both"/>
        <w:rPr>
          <w:sz w:val="20"/>
          <w:szCs w:val="20"/>
        </w:rPr>
      </w:pPr>
      <w:r w:rsidRPr="00CB027F">
        <w:rPr>
          <w:rStyle w:val="FootnoteReference"/>
          <w:sz w:val="20"/>
          <w:szCs w:val="20"/>
        </w:rPr>
        <w:footnoteRef/>
      </w:r>
      <w:r w:rsidRPr="00CB027F">
        <w:rPr>
          <w:sz w:val="20"/>
          <w:szCs w:val="20"/>
        </w:rPr>
        <w:t xml:space="preserve"> </w:t>
      </w:r>
      <w:r w:rsidRPr="00CB027F">
        <w:rPr>
          <w:iCs/>
          <w:sz w:val="20"/>
          <w:szCs w:val="20"/>
        </w:rPr>
        <w:t xml:space="preserve">CrIDH. </w:t>
      </w:r>
      <w:r w:rsidRPr="00CB027F">
        <w:rPr>
          <w:b/>
          <w:iCs/>
          <w:sz w:val="20"/>
          <w:szCs w:val="20"/>
        </w:rPr>
        <w:t>Caso Cantoral Benavides Vs. Peru</w:t>
      </w:r>
      <w:r w:rsidRPr="00CB027F">
        <w:rPr>
          <w:iCs/>
          <w:sz w:val="20"/>
          <w:szCs w:val="20"/>
        </w:rPr>
        <w:t xml:space="preserve">. </w:t>
      </w:r>
      <w:r w:rsidRPr="00CB027F">
        <w:rPr>
          <w:sz w:val="20"/>
          <w:szCs w:val="20"/>
        </w:rPr>
        <w:t>Sent. 03/12/2001 (</w:t>
      </w:r>
      <w:r w:rsidRPr="00CB027F">
        <w:rPr>
          <w:iCs/>
          <w:sz w:val="20"/>
          <w:szCs w:val="20"/>
        </w:rPr>
        <w:t>Reparações e Custas)</w:t>
      </w:r>
      <w:r w:rsidRPr="00CB027F">
        <w:rPr>
          <w:sz w:val="20"/>
          <w:szCs w:val="20"/>
        </w:rPr>
        <w:t>. Série C No. 88, §§ 79-81</w:t>
      </w:r>
    </w:p>
  </w:footnote>
  <w:footnote w:id="85">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Blanco Romero e outros Vs. Venezuela</w:t>
      </w:r>
      <w:r w:rsidRPr="00CB027F">
        <w:t xml:space="preserve">. Sent. 28/11/2005 (Mérito, Reparações e Custas). Série C No. 138, § 87 e </w:t>
      </w:r>
      <w:r w:rsidRPr="00CB027F">
        <w:rPr>
          <w:b/>
        </w:rPr>
        <w:t>Caso Massacre de Ituango Vs. Colômbia</w:t>
      </w:r>
      <w:r w:rsidRPr="00CB027F">
        <w:t>. Sent. 01/07/2006 (Exceções Preliminares, Mérito, Reparações e Custas). Série C No. 148, § 160.</w:t>
      </w:r>
    </w:p>
  </w:footnote>
  <w:footnote w:id="86">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Gomes Lund Vs. Brasil</w:t>
      </w:r>
      <w:r w:rsidRPr="00CB027F">
        <w:t xml:space="preserve">. Sent. 24/11/2010 (Exceções Preliminares, Mérito, Reparações e Custas.). Série C No. 219, §§ 310-311; </w:t>
      </w:r>
      <w:r w:rsidRPr="00CB027F">
        <w:rPr>
          <w:b/>
        </w:rPr>
        <w:t>Caso González Medina Vs. República Dominicana</w:t>
      </w:r>
      <w:r w:rsidRPr="00CB027F">
        <w:t xml:space="preserve">, §§ 319-320; </w:t>
      </w:r>
      <w:r w:rsidRPr="00CB027F">
        <w:rPr>
          <w:b/>
        </w:rPr>
        <w:t>Caso Ibsen Cárdenas e Ibsen Peña Vs. Bolívia</w:t>
      </w:r>
      <w:r w:rsidRPr="00CB027F">
        <w:t xml:space="preserve">, Sent. 01/09/2010 (Mérito, Reparações e Custas), Série C, No. 217, §§ 282-283; </w:t>
      </w:r>
      <w:r w:rsidRPr="00CB027F">
        <w:rPr>
          <w:b/>
        </w:rPr>
        <w:t>Caso Gelman Vs. Uruguai</w:t>
      </w:r>
      <w:r w:rsidRPr="00CB027F">
        <w:t xml:space="preserve">. Sent. 24/02/2011 (Mérito e Reparações), Série C No. 221 §§ 295-296; </w:t>
      </w:r>
      <w:r w:rsidRPr="00CB027F">
        <w:rPr>
          <w:b/>
        </w:rPr>
        <w:t>Caso Gutiérrez e Família Vs. Argentina</w:t>
      </w:r>
      <w:r w:rsidRPr="00CB027F">
        <w:t xml:space="preserve">, Sent. 25/11/2013 (Méritos, Reparações e Custas). Série C. No. 271, §§ 184-186; </w:t>
      </w:r>
      <w:r w:rsidRPr="00CB027F">
        <w:rPr>
          <w:b/>
        </w:rPr>
        <w:t>Caso Gudiel Álvarez e outros Vs. Guatemala</w:t>
      </w:r>
      <w:r w:rsidRPr="00CB027F">
        <w:t>. Sent. 20/11/2012 (Mérito, Reparações e Custas.). Série C No. 253, §§ 370-371.</w:t>
      </w:r>
    </w:p>
  </w:footnote>
  <w:footnote w:id="87">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Chitay Nech e outros Vs. Guatemala</w:t>
      </w:r>
      <w:r w:rsidRPr="00CB027F">
        <w:t>. Sent. 25/05/2010 (Exceções Preliminares, Mérito, Reparações e Custas). Série C No. 212, § 275.</w:t>
      </w:r>
    </w:p>
  </w:footnote>
  <w:footnote w:id="88">
    <w:p w:rsidR="00A842A7" w:rsidRPr="00CB027F" w:rsidRDefault="00A842A7" w:rsidP="00713FB4">
      <w:pPr>
        <w:pStyle w:val="FootnoteText"/>
        <w:jc w:val="both"/>
      </w:pPr>
      <w:r w:rsidRPr="00CB027F">
        <w:rPr>
          <w:rStyle w:val="FootnoteReference"/>
        </w:rPr>
        <w:footnoteRef/>
      </w:r>
      <w:r w:rsidRPr="00CB027F">
        <w:t xml:space="preserve"> CrIDH. </w:t>
      </w:r>
      <w:r w:rsidRPr="00CB027F">
        <w:rPr>
          <w:b/>
        </w:rPr>
        <w:t>Caso Cantoral Benavides Vs. Peru</w:t>
      </w:r>
      <w:r w:rsidRPr="00CB027F">
        <w:t>. Sent. 03/12/2001 (Reparações e Custas). Série C No. 88, §§ 60 e 80.</w:t>
      </w:r>
    </w:p>
  </w:footnote>
  <w:footnote w:id="89">
    <w:p w:rsidR="00A842A7" w:rsidRPr="00CB027F" w:rsidRDefault="00A842A7" w:rsidP="00713FB4">
      <w:pPr>
        <w:pStyle w:val="FootnoteText"/>
        <w:jc w:val="both"/>
      </w:pPr>
      <w:r w:rsidRPr="00CB027F">
        <w:rPr>
          <w:rStyle w:val="FootnoteReference"/>
        </w:rPr>
        <w:footnoteRef/>
      </w:r>
      <w:r w:rsidRPr="00CB027F">
        <w:t xml:space="preserve"> CrIDH. </w:t>
      </w:r>
      <w:r w:rsidRPr="00CB027F">
        <w:rPr>
          <w:b/>
          <w:iCs/>
        </w:rPr>
        <w:t>Caso Bámaca Velásquez Vs. Guatemala</w:t>
      </w:r>
      <w:r w:rsidRPr="00CB027F">
        <w:rPr>
          <w:iCs/>
        </w:rPr>
        <w:t>.</w:t>
      </w:r>
      <w:r w:rsidRPr="00CB027F">
        <w:t xml:space="preserve"> Sent. 22/02/2002(</w:t>
      </w:r>
      <w:r w:rsidRPr="00CB027F">
        <w:rPr>
          <w:iCs/>
        </w:rPr>
        <w:t>Reparações e Custas</w:t>
      </w:r>
      <w:r w:rsidRPr="00CB027F">
        <w:t xml:space="preserve">). Série C Nº 91, §§ 43; </w:t>
      </w:r>
      <w:r w:rsidRPr="00CB027F">
        <w:rPr>
          <w:b/>
        </w:rPr>
        <w:t>Caso Gomes Lund Vs. Brasil</w:t>
      </w:r>
      <w:r w:rsidRPr="00CB027F">
        <w:t>. Sent. 24/11/2010 (Exceções Preliminares, Mérito, Reparações e Custas). Série C No. 219, §§ 298.</w:t>
      </w:r>
    </w:p>
  </w:footnote>
  <w:footnote w:id="90">
    <w:p w:rsidR="00A842A7" w:rsidRPr="00CB027F" w:rsidRDefault="00A842A7" w:rsidP="00713FB4">
      <w:pPr>
        <w:pStyle w:val="FootnoteText"/>
        <w:jc w:val="both"/>
      </w:pPr>
      <w:r w:rsidRPr="00CB027F">
        <w:rPr>
          <w:rStyle w:val="FootnoteReference"/>
        </w:rPr>
        <w:footnoteRef/>
      </w:r>
      <w:r w:rsidRPr="00462775">
        <w:rPr>
          <w:lang w:val="en-US"/>
        </w:rPr>
        <w:t xml:space="preserve"> CmIDH. </w:t>
      </w:r>
      <w:r w:rsidRPr="00462775">
        <w:rPr>
          <w:b/>
          <w:lang w:val="en-US"/>
        </w:rPr>
        <w:t>“Principal guidelines for a comprehensive reparations policy”.</w:t>
      </w:r>
      <w:r w:rsidRPr="00462775">
        <w:rPr>
          <w:lang w:val="en-US"/>
        </w:rPr>
        <w:t xml:space="preserve"> </w:t>
      </w:r>
      <w:r w:rsidRPr="00CB027F">
        <w:t>Documento de 19/02/2008, §§ 5 e 6.</w:t>
      </w:r>
    </w:p>
  </w:footnote>
  <w:footnote w:id="91">
    <w:p w:rsidR="00A842A7" w:rsidRPr="00CB027F" w:rsidRDefault="00A842A7" w:rsidP="00CD2067">
      <w:pPr>
        <w:pStyle w:val="FootnoteText"/>
      </w:pPr>
      <w:r w:rsidRPr="00CB027F">
        <w:rPr>
          <w:rStyle w:val="FootnoteReference"/>
        </w:rPr>
        <w:footnoteRef/>
      </w:r>
      <w:r w:rsidRPr="00CB027F">
        <w:rPr>
          <w:lang w:val="en-US"/>
        </w:rPr>
        <w:t xml:space="preserve"> CmIDH. </w:t>
      </w:r>
      <w:r w:rsidRPr="00CB027F">
        <w:rPr>
          <w:b/>
          <w:lang w:val="en-US"/>
        </w:rPr>
        <w:t>“Principal guidelines for a comprehensive reparations policy”.</w:t>
      </w:r>
      <w:r w:rsidRPr="00CB027F">
        <w:rPr>
          <w:lang w:val="en-US"/>
        </w:rPr>
        <w:t xml:space="preserve"> </w:t>
      </w:r>
      <w:r w:rsidRPr="00CB027F">
        <w:t>Documento de 19/02/2008, § 3.</w:t>
      </w:r>
    </w:p>
  </w:footnote>
  <w:footnote w:id="92">
    <w:p w:rsidR="00A842A7" w:rsidRPr="00CB027F" w:rsidRDefault="00A842A7" w:rsidP="00713FB4">
      <w:pPr>
        <w:pStyle w:val="FootnoteText"/>
        <w:jc w:val="both"/>
      </w:pPr>
      <w:r w:rsidRPr="00CB027F">
        <w:rPr>
          <w:rStyle w:val="FootnoteReference"/>
        </w:rPr>
        <w:footnoteRef/>
      </w:r>
      <w:r w:rsidRPr="00CB027F">
        <w:t xml:space="preserve"> Resposta à pergunta nº04 sobre o 20º Concurso de Direitos Humanos da Academia de Direitos Humanos e Direito Internacional Humanitário.</w:t>
      </w:r>
    </w:p>
  </w:footnote>
  <w:footnote w:id="93">
    <w:p w:rsidR="00A842A7" w:rsidRPr="00CB027F" w:rsidRDefault="00A842A7" w:rsidP="00713FB4">
      <w:pPr>
        <w:pStyle w:val="FootnoteText"/>
        <w:jc w:val="both"/>
      </w:pPr>
      <w:r w:rsidRPr="00CB027F">
        <w:rPr>
          <w:rStyle w:val="FootnoteReference"/>
        </w:rPr>
        <w:footnoteRef/>
      </w:r>
      <w:r w:rsidRPr="00CB027F">
        <w:t xml:space="preserve"> Corte IDH, </w:t>
      </w:r>
      <w:r w:rsidRPr="00CB027F">
        <w:rPr>
          <w:b/>
        </w:rPr>
        <w:t>Caso Carpio Nicolle e outros vs. Guatemala</w:t>
      </w:r>
      <w:r w:rsidRPr="00CB027F">
        <w:t>. Sent. 22/11/2004 (Mérito Reparações e Custas). Série C, nº 117, § 136.</w:t>
      </w:r>
    </w:p>
  </w:footnote>
  <w:footnote w:id="94">
    <w:p w:rsidR="00A842A7" w:rsidRPr="00D73193" w:rsidRDefault="00A842A7" w:rsidP="00713FB4">
      <w:pPr>
        <w:pStyle w:val="FootnoteText"/>
        <w:jc w:val="both"/>
      </w:pPr>
      <w:r w:rsidRPr="00CB027F">
        <w:rPr>
          <w:rStyle w:val="FootnoteReference"/>
        </w:rPr>
        <w:footnoteRef/>
      </w:r>
      <w:r w:rsidRPr="00CB027F">
        <w:t xml:space="preserve"> Corte IDH, </w:t>
      </w:r>
      <w:r w:rsidRPr="00CB027F">
        <w:rPr>
          <w:b/>
        </w:rPr>
        <w:t>Caso Carpio Nicolle e outros vs. Guatemala</w:t>
      </w:r>
      <w:r w:rsidRPr="00CB027F">
        <w:t>. Sent. 22/11/2004 (Mérito Reparações e Custas). Série C, nº 117, §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7" w:rsidRPr="00482263" w:rsidRDefault="00A842A7" w:rsidP="00012EB0">
    <w:pPr>
      <w:pStyle w:val="Header"/>
      <w:jc w:val="right"/>
      <w:rPr>
        <w:szCs w:val="24"/>
      </w:rPr>
    </w:pPr>
    <w:r>
      <w:rPr>
        <w:szCs w:val="24"/>
      </w:rPr>
      <w:t>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FA29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353FD"/>
    <w:multiLevelType w:val="hybridMultilevel"/>
    <w:tmpl w:val="E9B097A8"/>
    <w:lvl w:ilvl="0" w:tplc="13EEE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0267C"/>
    <w:multiLevelType w:val="hybridMultilevel"/>
    <w:tmpl w:val="97DC438A"/>
    <w:lvl w:ilvl="0" w:tplc="6DBAD48C">
      <w:numFmt w:val="bullet"/>
      <w:lvlText w:val=""/>
      <w:lvlJc w:val="left"/>
      <w:pPr>
        <w:ind w:left="1069" w:hanging="360"/>
      </w:pPr>
      <w:rPr>
        <w:rFonts w:ascii="Wingdings" w:eastAsia="Calibri" w:hAnsi="Wingdings"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43B6663A"/>
    <w:multiLevelType w:val="hybridMultilevel"/>
    <w:tmpl w:val="4F9EC0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A123D9"/>
    <w:multiLevelType w:val="hybridMultilevel"/>
    <w:tmpl w:val="55F4CC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88"/>
    <w:rsid w:val="000032AF"/>
    <w:rsid w:val="00004C9A"/>
    <w:rsid w:val="00012484"/>
    <w:rsid w:val="00012EB0"/>
    <w:rsid w:val="00024D61"/>
    <w:rsid w:val="00026B20"/>
    <w:rsid w:val="000310DB"/>
    <w:rsid w:val="00034E15"/>
    <w:rsid w:val="00043D39"/>
    <w:rsid w:val="000545D5"/>
    <w:rsid w:val="00054B29"/>
    <w:rsid w:val="00061658"/>
    <w:rsid w:val="00063196"/>
    <w:rsid w:val="00072F0E"/>
    <w:rsid w:val="00080F4F"/>
    <w:rsid w:val="0008143F"/>
    <w:rsid w:val="00085605"/>
    <w:rsid w:val="000909EF"/>
    <w:rsid w:val="00092731"/>
    <w:rsid w:val="00092D64"/>
    <w:rsid w:val="000A2D7A"/>
    <w:rsid w:val="000A72F7"/>
    <w:rsid w:val="000B1523"/>
    <w:rsid w:val="000B314C"/>
    <w:rsid w:val="000C49DA"/>
    <w:rsid w:val="000C5640"/>
    <w:rsid w:val="000D2C1E"/>
    <w:rsid w:val="000D4134"/>
    <w:rsid w:val="000D75DF"/>
    <w:rsid w:val="000E0B9F"/>
    <w:rsid w:val="000E7028"/>
    <w:rsid w:val="001028A8"/>
    <w:rsid w:val="00121476"/>
    <w:rsid w:val="001456B1"/>
    <w:rsid w:val="001529DA"/>
    <w:rsid w:val="0015454A"/>
    <w:rsid w:val="00156F4C"/>
    <w:rsid w:val="00166D0A"/>
    <w:rsid w:val="0017628D"/>
    <w:rsid w:val="00194C29"/>
    <w:rsid w:val="001A3E1B"/>
    <w:rsid w:val="001A5B27"/>
    <w:rsid w:val="001A71BC"/>
    <w:rsid w:val="001C107B"/>
    <w:rsid w:val="001C2AAC"/>
    <w:rsid w:val="001C3660"/>
    <w:rsid w:val="001C468E"/>
    <w:rsid w:val="001C66A9"/>
    <w:rsid w:val="001D3AC1"/>
    <w:rsid w:val="001E160A"/>
    <w:rsid w:val="001E20AC"/>
    <w:rsid w:val="001E2834"/>
    <w:rsid w:val="001F37A3"/>
    <w:rsid w:val="001F59FF"/>
    <w:rsid w:val="001F5FBA"/>
    <w:rsid w:val="001F6F59"/>
    <w:rsid w:val="001F71B3"/>
    <w:rsid w:val="0021513E"/>
    <w:rsid w:val="00220625"/>
    <w:rsid w:val="00221C47"/>
    <w:rsid w:val="002224BA"/>
    <w:rsid w:val="00227066"/>
    <w:rsid w:val="002303DE"/>
    <w:rsid w:val="002358E0"/>
    <w:rsid w:val="00247BBE"/>
    <w:rsid w:val="0025131B"/>
    <w:rsid w:val="002713F8"/>
    <w:rsid w:val="00276CAB"/>
    <w:rsid w:val="0027793C"/>
    <w:rsid w:val="00294377"/>
    <w:rsid w:val="00295141"/>
    <w:rsid w:val="00297489"/>
    <w:rsid w:val="002A30C4"/>
    <w:rsid w:val="002C27DD"/>
    <w:rsid w:val="002E1F77"/>
    <w:rsid w:val="002E31F7"/>
    <w:rsid w:val="002F33D2"/>
    <w:rsid w:val="002F3A09"/>
    <w:rsid w:val="003066D4"/>
    <w:rsid w:val="00315642"/>
    <w:rsid w:val="0032100E"/>
    <w:rsid w:val="00322BED"/>
    <w:rsid w:val="0034535F"/>
    <w:rsid w:val="00353877"/>
    <w:rsid w:val="003554C8"/>
    <w:rsid w:val="0036324D"/>
    <w:rsid w:val="00364AB1"/>
    <w:rsid w:val="00382FC8"/>
    <w:rsid w:val="003833A9"/>
    <w:rsid w:val="00395581"/>
    <w:rsid w:val="0039679F"/>
    <w:rsid w:val="00396895"/>
    <w:rsid w:val="003A2A20"/>
    <w:rsid w:val="003A2E2A"/>
    <w:rsid w:val="003A313C"/>
    <w:rsid w:val="003A613E"/>
    <w:rsid w:val="003B3115"/>
    <w:rsid w:val="003B373B"/>
    <w:rsid w:val="003B4F15"/>
    <w:rsid w:val="003C1A34"/>
    <w:rsid w:val="003C539E"/>
    <w:rsid w:val="003C7A98"/>
    <w:rsid w:val="003D2ECD"/>
    <w:rsid w:val="003E0C57"/>
    <w:rsid w:val="003E1855"/>
    <w:rsid w:val="003E254E"/>
    <w:rsid w:val="003F2105"/>
    <w:rsid w:val="003F2DEA"/>
    <w:rsid w:val="00403623"/>
    <w:rsid w:val="00404C0B"/>
    <w:rsid w:val="004073D2"/>
    <w:rsid w:val="00417067"/>
    <w:rsid w:val="0042246C"/>
    <w:rsid w:val="004301E2"/>
    <w:rsid w:val="00434539"/>
    <w:rsid w:val="00440850"/>
    <w:rsid w:val="00443937"/>
    <w:rsid w:val="00455C33"/>
    <w:rsid w:val="00462775"/>
    <w:rsid w:val="00470BAE"/>
    <w:rsid w:val="00470FA3"/>
    <w:rsid w:val="00473C2C"/>
    <w:rsid w:val="00477EC5"/>
    <w:rsid w:val="00482263"/>
    <w:rsid w:val="0048348F"/>
    <w:rsid w:val="00486F62"/>
    <w:rsid w:val="004908A8"/>
    <w:rsid w:val="00496362"/>
    <w:rsid w:val="004969B6"/>
    <w:rsid w:val="004A0E18"/>
    <w:rsid w:val="004A4AA2"/>
    <w:rsid w:val="004B2723"/>
    <w:rsid w:val="004B632A"/>
    <w:rsid w:val="004C1E1B"/>
    <w:rsid w:val="004C3292"/>
    <w:rsid w:val="004C56B3"/>
    <w:rsid w:val="004E28AE"/>
    <w:rsid w:val="004F3001"/>
    <w:rsid w:val="004F3112"/>
    <w:rsid w:val="004F5C20"/>
    <w:rsid w:val="004F6790"/>
    <w:rsid w:val="0050262F"/>
    <w:rsid w:val="005105C4"/>
    <w:rsid w:val="00512A30"/>
    <w:rsid w:val="00516C8A"/>
    <w:rsid w:val="00517674"/>
    <w:rsid w:val="00520344"/>
    <w:rsid w:val="0052688C"/>
    <w:rsid w:val="00543130"/>
    <w:rsid w:val="00550866"/>
    <w:rsid w:val="00553251"/>
    <w:rsid w:val="0055606C"/>
    <w:rsid w:val="00557D1B"/>
    <w:rsid w:val="0057724F"/>
    <w:rsid w:val="00586C79"/>
    <w:rsid w:val="00592701"/>
    <w:rsid w:val="005965A5"/>
    <w:rsid w:val="005A443D"/>
    <w:rsid w:val="005B054C"/>
    <w:rsid w:val="005B4D01"/>
    <w:rsid w:val="005B5DB4"/>
    <w:rsid w:val="005B7A3D"/>
    <w:rsid w:val="005D230D"/>
    <w:rsid w:val="005E3E1F"/>
    <w:rsid w:val="005E4E2E"/>
    <w:rsid w:val="005F06C4"/>
    <w:rsid w:val="005F55EF"/>
    <w:rsid w:val="005F613B"/>
    <w:rsid w:val="0060207C"/>
    <w:rsid w:val="006073BD"/>
    <w:rsid w:val="00612057"/>
    <w:rsid w:val="00615B5A"/>
    <w:rsid w:val="00615BA0"/>
    <w:rsid w:val="00631FBA"/>
    <w:rsid w:val="00650018"/>
    <w:rsid w:val="00656D9E"/>
    <w:rsid w:val="00662E91"/>
    <w:rsid w:val="00666B5B"/>
    <w:rsid w:val="006717A3"/>
    <w:rsid w:val="00671FBE"/>
    <w:rsid w:val="006744B1"/>
    <w:rsid w:val="00686025"/>
    <w:rsid w:val="006956CC"/>
    <w:rsid w:val="00695C4D"/>
    <w:rsid w:val="006977C6"/>
    <w:rsid w:val="006A21CE"/>
    <w:rsid w:val="006A31CB"/>
    <w:rsid w:val="006B1930"/>
    <w:rsid w:val="006B2F76"/>
    <w:rsid w:val="006C7218"/>
    <w:rsid w:val="006E1578"/>
    <w:rsid w:val="006E4FD7"/>
    <w:rsid w:val="006F65CA"/>
    <w:rsid w:val="00700DAC"/>
    <w:rsid w:val="00701499"/>
    <w:rsid w:val="007102C2"/>
    <w:rsid w:val="007110E3"/>
    <w:rsid w:val="00713FB4"/>
    <w:rsid w:val="007346C0"/>
    <w:rsid w:val="007359A4"/>
    <w:rsid w:val="007375AC"/>
    <w:rsid w:val="00742C91"/>
    <w:rsid w:val="00744517"/>
    <w:rsid w:val="00744731"/>
    <w:rsid w:val="007466EC"/>
    <w:rsid w:val="00750A2E"/>
    <w:rsid w:val="00754BAA"/>
    <w:rsid w:val="00756DC7"/>
    <w:rsid w:val="00757481"/>
    <w:rsid w:val="00770CCB"/>
    <w:rsid w:val="00785F33"/>
    <w:rsid w:val="0079445E"/>
    <w:rsid w:val="00796524"/>
    <w:rsid w:val="00797CB5"/>
    <w:rsid w:val="007A234D"/>
    <w:rsid w:val="007A3653"/>
    <w:rsid w:val="007A4D5E"/>
    <w:rsid w:val="007A64C2"/>
    <w:rsid w:val="007A6AC5"/>
    <w:rsid w:val="007B0310"/>
    <w:rsid w:val="007B100F"/>
    <w:rsid w:val="007B1F93"/>
    <w:rsid w:val="007B527F"/>
    <w:rsid w:val="007C1B3A"/>
    <w:rsid w:val="007C43B4"/>
    <w:rsid w:val="007E3328"/>
    <w:rsid w:val="007E4EA0"/>
    <w:rsid w:val="007F3468"/>
    <w:rsid w:val="00803F12"/>
    <w:rsid w:val="00807A80"/>
    <w:rsid w:val="00814FF8"/>
    <w:rsid w:val="0081591D"/>
    <w:rsid w:val="00815C0F"/>
    <w:rsid w:val="00816481"/>
    <w:rsid w:val="00816C34"/>
    <w:rsid w:val="00821050"/>
    <w:rsid w:val="00826F85"/>
    <w:rsid w:val="008341F5"/>
    <w:rsid w:val="00835695"/>
    <w:rsid w:val="00836F38"/>
    <w:rsid w:val="00845397"/>
    <w:rsid w:val="0085461F"/>
    <w:rsid w:val="00857358"/>
    <w:rsid w:val="0087591B"/>
    <w:rsid w:val="008A00A4"/>
    <w:rsid w:val="008A187E"/>
    <w:rsid w:val="008A2D41"/>
    <w:rsid w:val="008B3DC4"/>
    <w:rsid w:val="008C1CF8"/>
    <w:rsid w:val="008C6654"/>
    <w:rsid w:val="008D6E0F"/>
    <w:rsid w:val="008D7867"/>
    <w:rsid w:val="008E1F41"/>
    <w:rsid w:val="008E3A97"/>
    <w:rsid w:val="008E7CDC"/>
    <w:rsid w:val="008F0582"/>
    <w:rsid w:val="00927225"/>
    <w:rsid w:val="00942F6E"/>
    <w:rsid w:val="009467CD"/>
    <w:rsid w:val="00952B5B"/>
    <w:rsid w:val="009541A5"/>
    <w:rsid w:val="00955531"/>
    <w:rsid w:val="00961458"/>
    <w:rsid w:val="009635DE"/>
    <w:rsid w:val="00964647"/>
    <w:rsid w:val="00980A97"/>
    <w:rsid w:val="0098230A"/>
    <w:rsid w:val="009842CC"/>
    <w:rsid w:val="00993DB2"/>
    <w:rsid w:val="0099502F"/>
    <w:rsid w:val="0099776E"/>
    <w:rsid w:val="009B129D"/>
    <w:rsid w:val="009B2778"/>
    <w:rsid w:val="009B547C"/>
    <w:rsid w:val="009B6B86"/>
    <w:rsid w:val="009B751F"/>
    <w:rsid w:val="009C0F88"/>
    <w:rsid w:val="009C2018"/>
    <w:rsid w:val="009C2CF9"/>
    <w:rsid w:val="009C6B2D"/>
    <w:rsid w:val="009D4D62"/>
    <w:rsid w:val="009E0F11"/>
    <w:rsid w:val="009F0046"/>
    <w:rsid w:val="009F1ED4"/>
    <w:rsid w:val="009F2A0B"/>
    <w:rsid w:val="00A0196B"/>
    <w:rsid w:val="00A15685"/>
    <w:rsid w:val="00A1584E"/>
    <w:rsid w:val="00A178A6"/>
    <w:rsid w:val="00A222B2"/>
    <w:rsid w:val="00A25F05"/>
    <w:rsid w:val="00A326B5"/>
    <w:rsid w:val="00A47166"/>
    <w:rsid w:val="00A54BAC"/>
    <w:rsid w:val="00A60063"/>
    <w:rsid w:val="00A627AC"/>
    <w:rsid w:val="00A67ECB"/>
    <w:rsid w:val="00A75137"/>
    <w:rsid w:val="00A7699C"/>
    <w:rsid w:val="00A80D12"/>
    <w:rsid w:val="00A842A7"/>
    <w:rsid w:val="00A855C0"/>
    <w:rsid w:val="00A90FEC"/>
    <w:rsid w:val="00A974D8"/>
    <w:rsid w:val="00AA7DCB"/>
    <w:rsid w:val="00AB5F4A"/>
    <w:rsid w:val="00AB7A9B"/>
    <w:rsid w:val="00AC43CB"/>
    <w:rsid w:val="00AC4E1F"/>
    <w:rsid w:val="00AC5ADB"/>
    <w:rsid w:val="00AC69AA"/>
    <w:rsid w:val="00AD576E"/>
    <w:rsid w:val="00AD76AD"/>
    <w:rsid w:val="00AE3812"/>
    <w:rsid w:val="00AE4B6B"/>
    <w:rsid w:val="00AE6A47"/>
    <w:rsid w:val="00AF3641"/>
    <w:rsid w:val="00B01782"/>
    <w:rsid w:val="00B1384E"/>
    <w:rsid w:val="00B23631"/>
    <w:rsid w:val="00B25A70"/>
    <w:rsid w:val="00B26BE9"/>
    <w:rsid w:val="00B30B07"/>
    <w:rsid w:val="00B41369"/>
    <w:rsid w:val="00B41A51"/>
    <w:rsid w:val="00B46D95"/>
    <w:rsid w:val="00B527AD"/>
    <w:rsid w:val="00B609DA"/>
    <w:rsid w:val="00B620D2"/>
    <w:rsid w:val="00B67BEA"/>
    <w:rsid w:val="00B74E5F"/>
    <w:rsid w:val="00BA5C72"/>
    <w:rsid w:val="00BB3D99"/>
    <w:rsid w:val="00BD3196"/>
    <w:rsid w:val="00BE3A64"/>
    <w:rsid w:val="00BF082F"/>
    <w:rsid w:val="00BF6526"/>
    <w:rsid w:val="00C0187C"/>
    <w:rsid w:val="00C165AA"/>
    <w:rsid w:val="00C31C8B"/>
    <w:rsid w:val="00C45D4F"/>
    <w:rsid w:val="00C502D9"/>
    <w:rsid w:val="00C51882"/>
    <w:rsid w:val="00C52D81"/>
    <w:rsid w:val="00C52F85"/>
    <w:rsid w:val="00C6403E"/>
    <w:rsid w:val="00C651B0"/>
    <w:rsid w:val="00C6649F"/>
    <w:rsid w:val="00C6658C"/>
    <w:rsid w:val="00C73CB3"/>
    <w:rsid w:val="00C86727"/>
    <w:rsid w:val="00CA34F7"/>
    <w:rsid w:val="00CA5753"/>
    <w:rsid w:val="00CB027F"/>
    <w:rsid w:val="00CB0284"/>
    <w:rsid w:val="00CC0F8A"/>
    <w:rsid w:val="00CC6FBB"/>
    <w:rsid w:val="00CC739C"/>
    <w:rsid w:val="00CD2067"/>
    <w:rsid w:val="00CD583D"/>
    <w:rsid w:val="00CD7013"/>
    <w:rsid w:val="00CE09AF"/>
    <w:rsid w:val="00CE15E9"/>
    <w:rsid w:val="00CE4109"/>
    <w:rsid w:val="00D03F1B"/>
    <w:rsid w:val="00D10A58"/>
    <w:rsid w:val="00D1510C"/>
    <w:rsid w:val="00D164C7"/>
    <w:rsid w:val="00D17295"/>
    <w:rsid w:val="00D20624"/>
    <w:rsid w:val="00D20E56"/>
    <w:rsid w:val="00D21E9D"/>
    <w:rsid w:val="00D228CA"/>
    <w:rsid w:val="00D43AD0"/>
    <w:rsid w:val="00D62205"/>
    <w:rsid w:val="00D636C6"/>
    <w:rsid w:val="00D63988"/>
    <w:rsid w:val="00D7040D"/>
    <w:rsid w:val="00D73193"/>
    <w:rsid w:val="00D86788"/>
    <w:rsid w:val="00D87CB6"/>
    <w:rsid w:val="00D975D7"/>
    <w:rsid w:val="00DA3263"/>
    <w:rsid w:val="00DA500D"/>
    <w:rsid w:val="00DA77ED"/>
    <w:rsid w:val="00DB02DC"/>
    <w:rsid w:val="00DD6CE9"/>
    <w:rsid w:val="00DE5AAD"/>
    <w:rsid w:val="00DE6A05"/>
    <w:rsid w:val="00DF0B8D"/>
    <w:rsid w:val="00DF1705"/>
    <w:rsid w:val="00DF4576"/>
    <w:rsid w:val="00E01FC5"/>
    <w:rsid w:val="00E10249"/>
    <w:rsid w:val="00E124D6"/>
    <w:rsid w:val="00E15FA9"/>
    <w:rsid w:val="00E242B9"/>
    <w:rsid w:val="00E36B67"/>
    <w:rsid w:val="00E435AC"/>
    <w:rsid w:val="00E527F2"/>
    <w:rsid w:val="00E63767"/>
    <w:rsid w:val="00E67B9E"/>
    <w:rsid w:val="00E741D6"/>
    <w:rsid w:val="00E75721"/>
    <w:rsid w:val="00E811F7"/>
    <w:rsid w:val="00E84552"/>
    <w:rsid w:val="00E90C2A"/>
    <w:rsid w:val="00E967AF"/>
    <w:rsid w:val="00EA22EE"/>
    <w:rsid w:val="00EA2B82"/>
    <w:rsid w:val="00EA4C57"/>
    <w:rsid w:val="00EB56B8"/>
    <w:rsid w:val="00EB608D"/>
    <w:rsid w:val="00EC1C39"/>
    <w:rsid w:val="00EE1BE7"/>
    <w:rsid w:val="00EE458C"/>
    <w:rsid w:val="00EF0611"/>
    <w:rsid w:val="00F02549"/>
    <w:rsid w:val="00F05F55"/>
    <w:rsid w:val="00F06903"/>
    <w:rsid w:val="00F13A3B"/>
    <w:rsid w:val="00F15370"/>
    <w:rsid w:val="00F17EFC"/>
    <w:rsid w:val="00F2307C"/>
    <w:rsid w:val="00F26850"/>
    <w:rsid w:val="00F2770E"/>
    <w:rsid w:val="00F32746"/>
    <w:rsid w:val="00F3463E"/>
    <w:rsid w:val="00F36875"/>
    <w:rsid w:val="00F36E41"/>
    <w:rsid w:val="00F46019"/>
    <w:rsid w:val="00F501ED"/>
    <w:rsid w:val="00F72E68"/>
    <w:rsid w:val="00F81A8F"/>
    <w:rsid w:val="00F82523"/>
    <w:rsid w:val="00F87B8C"/>
    <w:rsid w:val="00F9365C"/>
    <w:rsid w:val="00F944B0"/>
    <w:rsid w:val="00F95E87"/>
    <w:rsid w:val="00FA5FC8"/>
    <w:rsid w:val="00FB60B3"/>
    <w:rsid w:val="00FC4C90"/>
    <w:rsid w:val="00FC72C5"/>
    <w:rsid w:val="00FD14B4"/>
    <w:rsid w:val="00FD1603"/>
    <w:rsid w:val="00FD179A"/>
    <w:rsid w:val="00FD6C77"/>
    <w:rsid w:val="00FE4AB2"/>
    <w:rsid w:val="00FF4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4D541-6BBC-443F-8A08-685F4804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B4"/>
    <w:pPr>
      <w:spacing w:line="480" w:lineRule="auto"/>
    </w:pPr>
    <w:rPr>
      <w:sz w:val="24"/>
      <w:szCs w:val="22"/>
    </w:rPr>
  </w:style>
  <w:style w:type="paragraph" w:styleId="Heading1">
    <w:name w:val="heading 1"/>
    <w:basedOn w:val="Normal"/>
    <w:next w:val="Normal"/>
    <w:link w:val="Heading1Char"/>
    <w:uiPriority w:val="9"/>
    <w:qFormat/>
    <w:rsid w:val="00482263"/>
    <w:pPr>
      <w:keepNext/>
      <w:outlineLvl w:val="0"/>
    </w:pPr>
    <w:rPr>
      <w:rFonts w:ascii="Times" w:eastAsia="Times New Roman" w:hAnsi="Times"/>
      <w:b/>
      <w:bCs/>
      <w:kern w:val="32"/>
      <w:szCs w:val="32"/>
    </w:rPr>
  </w:style>
  <w:style w:type="paragraph" w:styleId="Heading2">
    <w:name w:val="heading 2"/>
    <w:basedOn w:val="Normal"/>
    <w:next w:val="Normal"/>
    <w:link w:val="Heading2Char"/>
    <w:uiPriority w:val="9"/>
    <w:unhideWhenUsed/>
    <w:qFormat/>
    <w:rsid w:val="00CA34F7"/>
    <w:pPr>
      <w:keepNext/>
      <w:outlineLvl w:val="1"/>
    </w:pPr>
    <w:rPr>
      <w:rFonts w:ascii="Times" w:eastAsia="Times New Roman" w:hAnsi="Times"/>
      <w:b/>
      <w:bCs/>
      <w:iCs/>
      <w:szCs w:val="28"/>
    </w:rPr>
  </w:style>
  <w:style w:type="paragraph" w:styleId="Heading3">
    <w:name w:val="heading 3"/>
    <w:basedOn w:val="Normal"/>
    <w:next w:val="Normal"/>
    <w:link w:val="Heading3Char"/>
    <w:uiPriority w:val="9"/>
    <w:unhideWhenUsed/>
    <w:qFormat/>
    <w:rsid w:val="00CA34F7"/>
    <w:pPr>
      <w:keepNext/>
      <w:outlineLvl w:val="2"/>
    </w:pPr>
    <w:rPr>
      <w:rFonts w:ascii="Times" w:eastAsia="Times New Roman" w:hAnsi="Times"/>
      <w:b/>
      <w:bCs/>
      <w:szCs w:val="26"/>
    </w:rPr>
  </w:style>
  <w:style w:type="paragraph" w:styleId="Heading4">
    <w:name w:val="heading 4"/>
    <w:basedOn w:val="Normal"/>
    <w:next w:val="Normal"/>
    <w:link w:val="Heading4Char"/>
    <w:uiPriority w:val="9"/>
    <w:unhideWhenUsed/>
    <w:qFormat/>
    <w:rsid w:val="00CA34F7"/>
    <w:pPr>
      <w:keepNext/>
      <w:outlineLvl w:val="3"/>
    </w:pPr>
    <w:rPr>
      <w:rFonts w:ascii="Times" w:eastAsia="Times New Roman" w:hAns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6EC"/>
    <w:pPr>
      <w:spacing w:before="100" w:beforeAutospacing="1" w:after="100" w:afterAutospacing="1" w:line="240" w:lineRule="auto"/>
    </w:pPr>
    <w:rPr>
      <w:rFonts w:eastAsia="Times New Roman"/>
      <w:szCs w:val="24"/>
    </w:rPr>
  </w:style>
  <w:style w:type="character" w:styleId="CommentReference">
    <w:name w:val="annotation reference"/>
    <w:uiPriority w:val="99"/>
    <w:semiHidden/>
    <w:unhideWhenUsed/>
    <w:rsid w:val="00F13A3B"/>
    <w:rPr>
      <w:sz w:val="16"/>
      <w:szCs w:val="16"/>
    </w:rPr>
  </w:style>
  <w:style w:type="paragraph" w:styleId="CommentText">
    <w:name w:val="annotation text"/>
    <w:basedOn w:val="Normal"/>
    <w:link w:val="CommentTextChar"/>
    <w:uiPriority w:val="99"/>
    <w:semiHidden/>
    <w:unhideWhenUsed/>
    <w:rsid w:val="00F13A3B"/>
    <w:pPr>
      <w:spacing w:line="240" w:lineRule="auto"/>
    </w:pPr>
    <w:rPr>
      <w:sz w:val="20"/>
      <w:szCs w:val="20"/>
    </w:rPr>
  </w:style>
  <w:style w:type="character" w:customStyle="1" w:styleId="CommentTextChar">
    <w:name w:val="Comment Text Char"/>
    <w:link w:val="CommentText"/>
    <w:uiPriority w:val="99"/>
    <w:semiHidden/>
    <w:rsid w:val="00F13A3B"/>
    <w:rPr>
      <w:sz w:val="20"/>
      <w:szCs w:val="20"/>
    </w:rPr>
  </w:style>
  <w:style w:type="paragraph" w:styleId="CommentSubject">
    <w:name w:val="annotation subject"/>
    <w:basedOn w:val="CommentText"/>
    <w:next w:val="CommentText"/>
    <w:link w:val="CommentSubjectChar"/>
    <w:uiPriority w:val="99"/>
    <w:semiHidden/>
    <w:unhideWhenUsed/>
    <w:rsid w:val="00F13A3B"/>
    <w:rPr>
      <w:b/>
      <w:bCs/>
    </w:rPr>
  </w:style>
  <w:style w:type="character" w:customStyle="1" w:styleId="CommentSubjectChar">
    <w:name w:val="Comment Subject Char"/>
    <w:link w:val="CommentSubject"/>
    <w:uiPriority w:val="99"/>
    <w:semiHidden/>
    <w:rsid w:val="00F13A3B"/>
    <w:rPr>
      <w:b/>
      <w:bCs/>
      <w:sz w:val="20"/>
      <w:szCs w:val="20"/>
    </w:rPr>
  </w:style>
  <w:style w:type="paragraph" w:styleId="BalloonText">
    <w:name w:val="Balloon Text"/>
    <w:basedOn w:val="Normal"/>
    <w:link w:val="BalloonTextChar"/>
    <w:uiPriority w:val="99"/>
    <w:semiHidden/>
    <w:unhideWhenUsed/>
    <w:rsid w:val="00F13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13A3B"/>
    <w:rPr>
      <w:rFonts w:ascii="Tahoma" w:hAnsi="Tahoma" w:cs="Tahoma"/>
      <w:sz w:val="16"/>
      <w:szCs w:val="16"/>
    </w:rPr>
  </w:style>
  <w:style w:type="paragraph" w:styleId="FootnoteText">
    <w:name w:val="footnote text"/>
    <w:basedOn w:val="Normal"/>
    <w:link w:val="FootnoteTextChar"/>
    <w:uiPriority w:val="99"/>
    <w:unhideWhenUsed/>
    <w:rsid w:val="00857358"/>
    <w:pPr>
      <w:spacing w:line="240" w:lineRule="auto"/>
    </w:pPr>
    <w:rPr>
      <w:sz w:val="20"/>
      <w:szCs w:val="20"/>
    </w:rPr>
  </w:style>
  <w:style w:type="character" w:customStyle="1" w:styleId="FootnoteTextChar">
    <w:name w:val="Footnote Text Char"/>
    <w:link w:val="FootnoteText"/>
    <w:uiPriority w:val="99"/>
    <w:rsid w:val="00857358"/>
    <w:rPr>
      <w:sz w:val="20"/>
      <w:szCs w:val="20"/>
    </w:rPr>
  </w:style>
  <w:style w:type="character" w:styleId="FootnoteReference">
    <w:name w:val="footnote reference"/>
    <w:uiPriority w:val="99"/>
    <w:semiHidden/>
    <w:unhideWhenUsed/>
    <w:rsid w:val="00857358"/>
    <w:rPr>
      <w:vertAlign w:val="superscript"/>
    </w:rPr>
  </w:style>
  <w:style w:type="paragraph" w:customStyle="1" w:styleId="SombreamentoEscuro-nfase11">
    <w:name w:val="Sombreamento Escuro - Ênfase 11"/>
    <w:hidden/>
    <w:uiPriority w:val="99"/>
    <w:semiHidden/>
    <w:rsid w:val="00EA4C57"/>
    <w:rPr>
      <w:sz w:val="22"/>
      <w:szCs w:val="22"/>
      <w:u w:val="single"/>
      <w:lang w:eastAsia="en-US"/>
    </w:rPr>
  </w:style>
  <w:style w:type="character" w:customStyle="1" w:styleId="apple-converted-space">
    <w:name w:val="apple-converted-space"/>
    <w:basedOn w:val="DefaultParagraphFont"/>
    <w:rsid w:val="00D87CB6"/>
  </w:style>
  <w:style w:type="paragraph" w:customStyle="1" w:styleId="ListaColorida-nfase11">
    <w:name w:val="Lista Colorida - Ênfase 11"/>
    <w:basedOn w:val="Normal"/>
    <w:uiPriority w:val="34"/>
    <w:qFormat/>
    <w:rsid w:val="00D87CB6"/>
    <w:pPr>
      <w:spacing w:after="200" w:line="276" w:lineRule="auto"/>
      <w:ind w:left="720"/>
      <w:contextualSpacing/>
    </w:pPr>
  </w:style>
  <w:style w:type="paragraph" w:styleId="Footer">
    <w:name w:val="footer"/>
    <w:basedOn w:val="Normal"/>
    <w:link w:val="FooterChar"/>
    <w:uiPriority w:val="99"/>
    <w:unhideWhenUsed/>
    <w:rsid w:val="00D87CB6"/>
    <w:pPr>
      <w:tabs>
        <w:tab w:val="center" w:pos="4252"/>
        <w:tab w:val="right" w:pos="8504"/>
      </w:tabs>
      <w:spacing w:line="240" w:lineRule="auto"/>
    </w:pPr>
  </w:style>
  <w:style w:type="character" w:customStyle="1" w:styleId="FooterChar">
    <w:name w:val="Footer Char"/>
    <w:basedOn w:val="DefaultParagraphFont"/>
    <w:link w:val="Footer"/>
    <w:uiPriority w:val="99"/>
    <w:rsid w:val="00D87CB6"/>
  </w:style>
  <w:style w:type="paragraph" w:styleId="HTMLPreformatted">
    <w:name w:val="HTML Preformatted"/>
    <w:basedOn w:val="Normal"/>
    <w:link w:val="HTMLPreformattedChar"/>
    <w:uiPriority w:val="99"/>
    <w:unhideWhenUsed/>
    <w:rsid w:val="00D8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87CB6"/>
    <w:rPr>
      <w:rFonts w:ascii="Courier New" w:eastAsia="Times New Roman" w:hAnsi="Courier New" w:cs="Courier New"/>
      <w:sz w:val="20"/>
      <w:szCs w:val="20"/>
      <w:lang w:eastAsia="pt-BR"/>
    </w:rPr>
  </w:style>
  <w:style w:type="character" w:customStyle="1" w:styleId="A2">
    <w:name w:val="A2"/>
    <w:uiPriority w:val="99"/>
    <w:rsid w:val="00E10249"/>
    <w:rPr>
      <w:rFonts w:cs="Calibri"/>
      <w:color w:val="000000"/>
      <w:sz w:val="22"/>
      <w:szCs w:val="22"/>
    </w:rPr>
  </w:style>
  <w:style w:type="paragraph" w:styleId="Revision">
    <w:name w:val="Revision"/>
    <w:hidden/>
    <w:uiPriority w:val="99"/>
    <w:semiHidden/>
    <w:rsid w:val="00835695"/>
    <w:rPr>
      <w:sz w:val="22"/>
      <w:szCs w:val="22"/>
      <w:u w:val="single"/>
      <w:lang w:eastAsia="en-US"/>
    </w:rPr>
  </w:style>
  <w:style w:type="paragraph" w:styleId="Header">
    <w:name w:val="header"/>
    <w:basedOn w:val="Normal"/>
    <w:link w:val="HeaderChar"/>
    <w:uiPriority w:val="99"/>
    <w:unhideWhenUsed/>
    <w:rsid w:val="00E527F2"/>
    <w:pPr>
      <w:tabs>
        <w:tab w:val="center" w:pos="4252"/>
        <w:tab w:val="right" w:pos="8504"/>
      </w:tabs>
    </w:pPr>
  </w:style>
  <w:style w:type="character" w:customStyle="1" w:styleId="HeaderChar">
    <w:name w:val="Header Char"/>
    <w:link w:val="Header"/>
    <w:uiPriority w:val="99"/>
    <w:rsid w:val="00E527F2"/>
    <w:rPr>
      <w:sz w:val="22"/>
      <w:szCs w:val="22"/>
      <w:lang w:eastAsia="en-US"/>
    </w:rPr>
  </w:style>
  <w:style w:type="character" w:customStyle="1" w:styleId="Heading1Char">
    <w:name w:val="Heading 1 Char"/>
    <w:link w:val="Heading1"/>
    <w:uiPriority w:val="9"/>
    <w:rsid w:val="00482263"/>
    <w:rPr>
      <w:rFonts w:ascii="Times" w:eastAsia="Times New Roman" w:hAnsi="Times"/>
      <w:b/>
      <w:bCs/>
      <w:kern w:val="32"/>
      <w:sz w:val="24"/>
      <w:szCs w:val="32"/>
      <w:lang w:eastAsia="en-US"/>
    </w:rPr>
  </w:style>
  <w:style w:type="paragraph" w:styleId="TOCHeading">
    <w:name w:val="TOC Heading"/>
    <w:basedOn w:val="Heading1"/>
    <w:next w:val="Normal"/>
    <w:uiPriority w:val="39"/>
    <w:semiHidden/>
    <w:unhideWhenUsed/>
    <w:qFormat/>
    <w:rsid w:val="00700DAC"/>
    <w:pPr>
      <w:keepLines/>
      <w:spacing w:before="480" w:line="276" w:lineRule="auto"/>
      <w:outlineLvl w:val="9"/>
    </w:pPr>
    <w:rPr>
      <w:color w:val="365F91"/>
      <w:kern w:val="0"/>
      <w:sz w:val="28"/>
      <w:szCs w:val="28"/>
    </w:rPr>
  </w:style>
  <w:style w:type="paragraph" w:styleId="TOC2">
    <w:name w:val="toc 2"/>
    <w:basedOn w:val="Normal"/>
    <w:next w:val="Normal"/>
    <w:autoRedefine/>
    <w:uiPriority w:val="39"/>
    <w:unhideWhenUsed/>
    <w:qFormat/>
    <w:rsid w:val="00700DAC"/>
    <w:pPr>
      <w:spacing w:after="100" w:line="276" w:lineRule="auto"/>
      <w:ind w:left="220"/>
    </w:pPr>
    <w:rPr>
      <w:rFonts w:ascii="Calibri" w:eastAsia="Times New Roman" w:hAnsi="Calibri"/>
    </w:rPr>
  </w:style>
  <w:style w:type="paragraph" w:styleId="TOC1">
    <w:name w:val="toc 1"/>
    <w:basedOn w:val="Normal"/>
    <w:next w:val="Normal"/>
    <w:autoRedefine/>
    <w:uiPriority w:val="39"/>
    <w:unhideWhenUsed/>
    <w:qFormat/>
    <w:rsid w:val="00482263"/>
    <w:pPr>
      <w:tabs>
        <w:tab w:val="right" w:leader="dot" w:pos="8494"/>
      </w:tabs>
    </w:pPr>
    <w:rPr>
      <w:rFonts w:ascii="Calibri" w:eastAsia="Times New Roman" w:hAnsi="Calibri"/>
    </w:rPr>
  </w:style>
  <w:style w:type="paragraph" w:styleId="TOC3">
    <w:name w:val="toc 3"/>
    <w:basedOn w:val="Normal"/>
    <w:next w:val="Normal"/>
    <w:autoRedefine/>
    <w:uiPriority w:val="39"/>
    <w:unhideWhenUsed/>
    <w:qFormat/>
    <w:rsid w:val="00700DAC"/>
    <w:pPr>
      <w:spacing w:after="100" w:line="276" w:lineRule="auto"/>
      <w:ind w:left="440"/>
    </w:pPr>
    <w:rPr>
      <w:rFonts w:ascii="Calibri" w:eastAsia="Times New Roman" w:hAnsi="Calibri"/>
    </w:rPr>
  </w:style>
  <w:style w:type="character" w:customStyle="1" w:styleId="Heading2Char">
    <w:name w:val="Heading 2 Char"/>
    <w:link w:val="Heading2"/>
    <w:uiPriority w:val="9"/>
    <w:rsid w:val="00CA34F7"/>
    <w:rPr>
      <w:rFonts w:ascii="Times" w:eastAsia="Times New Roman" w:hAnsi="Times" w:cs="Times New Roman"/>
      <w:b/>
      <w:bCs/>
      <w:iCs/>
      <w:sz w:val="24"/>
      <w:szCs w:val="28"/>
      <w:lang w:eastAsia="en-US"/>
    </w:rPr>
  </w:style>
  <w:style w:type="character" w:customStyle="1" w:styleId="Heading3Char">
    <w:name w:val="Heading 3 Char"/>
    <w:link w:val="Heading3"/>
    <w:uiPriority w:val="9"/>
    <w:rsid w:val="00CA34F7"/>
    <w:rPr>
      <w:rFonts w:ascii="Times" w:eastAsia="Times New Roman" w:hAnsi="Times" w:cs="Times New Roman"/>
      <w:b/>
      <w:bCs/>
      <w:sz w:val="24"/>
      <w:szCs w:val="26"/>
      <w:lang w:eastAsia="en-US"/>
    </w:rPr>
  </w:style>
  <w:style w:type="character" w:customStyle="1" w:styleId="Heading4Char">
    <w:name w:val="Heading 4 Char"/>
    <w:link w:val="Heading4"/>
    <w:uiPriority w:val="9"/>
    <w:rsid w:val="00CA34F7"/>
    <w:rPr>
      <w:rFonts w:ascii="Times" w:eastAsia="Times New Roman" w:hAnsi="Times" w:cs="Times New Roman"/>
      <w:b/>
      <w:bCs/>
      <w:sz w:val="24"/>
      <w:szCs w:val="28"/>
      <w:lang w:eastAsia="en-US"/>
    </w:rPr>
  </w:style>
  <w:style w:type="character" w:styleId="Hyperlink">
    <w:name w:val="Hyperlink"/>
    <w:uiPriority w:val="99"/>
    <w:unhideWhenUsed/>
    <w:rsid w:val="00482263"/>
    <w:rPr>
      <w:color w:val="0000FF"/>
      <w:u w:val="single"/>
    </w:rPr>
  </w:style>
  <w:style w:type="character" w:styleId="SubtleReference">
    <w:name w:val="Subtle Reference"/>
    <w:uiPriority w:val="31"/>
    <w:qFormat/>
    <w:rsid w:val="00D73193"/>
    <w:rPr>
      <w:rFonts w:ascii="Times New Roman" w:hAnsi="Times New Roman"/>
      <w:smallCaps/>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6957">
      <w:bodyDiv w:val="1"/>
      <w:marLeft w:val="0"/>
      <w:marRight w:val="0"/>
      <w:marTop w:val="0"/>
      <w:marBottom w:val="0"/>
      <w:divBdr>
        <w:top w:val="none" w:sz="0" w:space="0" w:color="auto"/>
        <w:left w:val="none" w:sz="0" w:space="0" w:color="auto"/>
        <w:bottom w:val="none" w:sz="0" w:space="0" w:color="auto"/>
        <w:right w:val="none" w:sz="0" w:space="0" w:color="auto"/>
      </w:divBdr>
    </w:div>
    <w:div w:id="16503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5C91-9AE2-45FE-961F-79AF0E80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10044</Words>
  <Characters>57255</Characters>
  <Application>Microsoft Office Word</Application>
  <DocSecurity>0</DocSecurity>
  <Lines>477</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Washington College of Law</Company>
  <LinksUpToDate>false</LinksUpToDate>
  <CharactersWithSpaces>67165</CharactersWithSpaces>
  <SharedDoc>false</SharedDoc>
  <HLinks>
    <vt:vector size="114" baseType="variant">
      <vt:variant>
        <vt:i4>1638456</vt:i4>
      </vt:variant>
      <vt:variant>
        <vt:i4>110</vt:i4>
      </vt:variant>
      <vt:variant>
        <vt:i4>0</vt:i4>
      </vt:variant>
      <vt:variant>
        <vt:i4>5</vt:i4>
      </vt:variant>
      <vt:variant>
        <vt:lpwstr/>
      </vt:variant>
      <vt:variant>
        <vt:lpwstr>_Toc414885025</vt:lpwstr>
      </vt:variant>
      <vt:variant>
        <vt:i4>1638456</vt:i4>
      </vt:variant>
      <vt:variant>
        <vt:i4>104</vt:i4>
      </vt:variant>
      <vt:variant>
        <vt:i4>0</vt:i4>
      </vt:variant>
      <vt:variant>
        <vt:i4>5</vt:i4>
      </vt:variant>
      <vt:variant>
        <vt:lpwstr/>
      </vt:variant>
      <vt:variant>
        <vt:lpwstr>_Toc414885024</vt:lpwstr>
      </vt:variant>
      <vt:variant>
        <vt:i4>1638456</vt:i4>
      </vt:variant>
      <vt:variant>
        <vt:i4>98</vt:i4>
      </vt:variant>
      <vt:variant>
        <vt:i4>0</vt:i4>
      </vt:variant>
      <vt:variant>
        <vt:i4>5</vt:i4>
      </vt:variant>
      <vt:variant>
        <vt:lpwstr/>
      </vt:variant>
      <vt:variant>
        <vt:lpwstr>_Toc414885023</vt:lpwstr>
      </vt:variant>
      <vt:variant>
        <vt:i4>1638456</vt:i4>
      </vt:variant>
      <vt:variant>
        <vt:i4>92</vt:i4>
      </vt:variant>
      <vt:variant>
        <vt:i4>0</vt:i4>
      </vt:variant>
      <vt:variant>
        <vt:i4>5</vt:i4>
      </vt:variant>
      <vt:variant>
        <vt:lpwstr/>
      </vt:variant>
      <vt:variant>
        <vt:lpwstr>_Toc414885022</vt:lpwstr>
      </vt:variant>
      <vt:variant>
        <vt:i4>1638456</vt:i4>
      </vt:variant>
      <vt:variant>
        <vt:i4>86</vt:i4>
      </vt:variant>
      <vt:variant>
        <vt:i4>0</vt:i4>
      </vt:variant>
      <vt:variant>
        <vt:i4>5</vt:i4>
      </vt:variant>
      <vt:variant>
        <vt:lpwstr/>
      </vt:variant>
      <vt:variant>
        <vt:lpwstr>_Toc414885021</vt:lpwstr>
      </vt:variant>
      <vt:variant>
        <vt:i4>1638456</vt:i4>
      </vt:variant>
      <vt:variant>
        <vt:i4>80</vt:i4>
      </vt:variant>
      <vt:variant>
        <vt:i4>0</vt:i4>
      </vt:variant>
      <vt:variant>
        <vt:i4>5</vt:i4>
      </vt:variant>
      <vt:variant>
        <vt:lpwstr/>
      </vt:variant>
      <vt:variant>
        <vt:lpwstr>_Toc414885020</vt:lpwstr>
      </vt:variant>
      <vt:variant>
        <vt:i4>1703992</vt:i4>
      </vt:variant>
      <vt:variant>
        <vt:i4>74</vt:i4>
      </vt:variant>
      <vt:variant>
        <vt:i4>0</vt:i4>
      </vt:variant>
      <vt:variant>
        <vt:i4>5</vt:i4>
      </vt:variant>
      <vt:variant>
        <vt:lpwstr/>
      </vt:variant>
      <vt:variant>
        <vt:lpwstr>_Toc414885019</vt:lpwstr>
      </vt:variant>
      <vt:variant>
        <vt:i4>1703992</vt:i4>
      </vt:variant>
      <vt:variant>
        <vt:i4>68</vt:i4>
      </vt:variant>
      <vt:variant>
        <vt:i4>0</vt:i4>
      </vt:variant>
      <vt:variant>
        <vt:i4>5</vt:i4>
      </vt:variant>
      <vt:variant>
        <vt:lpwstr/>
      </vt:variant>
      <vt:variant>
        <vt:lpwstr>_Toc414885018</vt:lpwstr>
      </vt:variant>
      <vt:variant>
        <vt:i4>1703992</vt:i4>
      </vt:variant>
      <vt:variant>
        <vt:i4>62</vt:i4>
      </vt:variant>
      <vt:variant>
        <vt:i4>0</vt:i4>
      </vt:variant>
      <vt:variant>
        <vt:i4>5</vt:i4>
      </vt:variant>
      <vt:variant>
        <vt:lpwstr/>
      </vt:variant>
      <vt:variant>
        <vt:lpwstr>_Toc414885017</vt:lpwstr>
      </vt:variant>
      <vt:variant>
        <vt:i4>1703992</vt:i4>
      </vt:variant>
      <vt:variant>
        <vt:i4>56</vt:i4>
      </vt:variant>
      <vt:variant>
        <vt:i4>0</vt:i4>
      </vt:variant>
      <vt:variant>
        <vt:i4>5</vt:i4>
      </vt:variant>
      <vt:variant>
        <vt:lpwstr/>
      </vt:variant>
      <vt:variant>
        <vt:lpwstr>_Toc414885016</vt:lpwstr>
      </vt:variant>
      <vt:variant>
        <vt:i4>1703992</vt:i4>
      </vt:variant>
      <vt:variant>
        <vt:i4>50</vt:i4>
      </vt:variant>
      <vt:variant>
        <vt:i4>0</vt:i4>
      </vt:variant>
      <vt:variant>
        <vt:i4>5</vt:i4>
      </vt:variant>
      <vt:variant>
        <vt:lpwstr/>
      </vt:variant>
      <vt:variant>
        <vt:lpwstr>_Toc414885015</vt:lpwstr>
      </vt:variant>
      <vt:variant>
        <vt:i4>1703992</vt:i4>
      </vt:variant>
      <vt:variant>
        <vt:i4>44</vt:i4>
      </vt:variant>
      <vt:variant>
        <vt:i4>0</vt:i4>
      </vt:variant>
      <vt:variant>
        <vt:i4>5</vt:i4>
      </vt:variant>
      <vt:variant>
        <vt:lpwstr/>
      </vt:variant>
      <vt:variant>
        <vt:lpwstr>_Toc414885014</vt:lpwstr>
      </vt:variant>
      <vt:variant>
        <vt:i4>1703992</vt:i4>
      </vt:variant>
      <vt:variant>
        <vt:i4>38</vt:i4>
      </vt:variant>
      <vt:variant>
        <vt:i4>0</vt:i4>
      </vt:variant>
      <vt:variant>
        <vt:i4>5</vt:i4>
      </vt:variant>
      <vt:variant>
        <vt:lpwstr/>
      </vt:variant>
      <vt:variant>
        <vt:lpwstr>_Toc414885013</vt:lpwstr>
      </vt:variant>
      <vt:variant>
        <vt:i4>1703992</vt:i4>
      </vt:variant>
      <vt:variant>
        <vt:i4>32</vt:i4>
      </vt:variant>
      <vt:variant>
        <vt:i4>0</vt:i4>
      </vt:variant>
      <vt:variant>
        <vt:i4>5</vt:i4>
      </vt:variant>
      <vt:variant>
        <vt:lpwstr/>
      </vt:variant>
      <vt:variant>
        <vt:lpwstr>_Toc414885012</vt:lpwstr>
      </vt:variant>
      <vt:variant>
        <vt:i4>1703992</vt:i4>
      </vt:variant>
      <vt:variant>
        <vt:i4>26</vt:i4>
      </vt:variant>
      <vt:variant>
        <vt:i4>0</vt:i4>
      </vt:variant>
      <vt:variant>
        <vt:i4>5</vt:i4>
      </vt:variant>
      <vt:variant>
        <vt:lpwstr/>
      </vt:variant>
      <vt:variant>
        <vt:lpwstr>_Toc414885011</vt:lpwstr>
      </vt:variant>
      <vt:variant>
        <vt:i4>1703992</vt:i4>
      </vt:variant>
      <vt:variant>
        <vt:i4>20</vt:i4>
      </vt:variant>
      <vt:variant>
        <vt:i4>0</vt:i4>
      </vt:variant>
      <vt:variant>
        <vt:i4>5</vt:i4>
      </vt:variant>
      <vt:variant>
        <vt:lpwstr/>
      </vt:variant>
      <vt:variant>
        <vt:lpwstr>_Toc414885010</vt:lpwstr>
      </vt:variant>
      <vt:variant>
        <vt:i4>1769528</vt:i4>
      </vt:variant>
      <vt:variant>
        <vt:i4>14</vt:i4>
      </vt:variant>
      <vt:variant>
        <vt:i4>0</vt:i4>
      </vt:variant>
      <vt:variant>
        <vt:i4>5</vt:i4>
      </vt:variant>
      <vt:variant>
        <vt:lpwstr/>
      </vt:variant>
      <vt:variant>
        <vt:lpwstr>_Toc414885009</vt:lpwstr>
      </vt:variant>
      <vt:variant>
        <vt:i4>1769528</vt:i4>
      </vt:variant>
      <vt:variant>
        <vt:i4>8</vt:i4>
      </vt:variant>
      <vt:variant>
        <vt:i4>0</vt:i4>
      </vt:variant>
      <vt:variant>
        <vt:i4>5</vt:i4>
      </vt:variant>
      <vt:variant>
        <vt:lpwstr/>
      </vt:variant>
      <vt:variant>
        <vt:lpwstr>_Toc414885008</vt:lpwstr>
      </vt:variant>
      <vt:variant>
        <vt:i4>1769528</vt:i4>
      </vt:variant>
      <vt:variant>
        <vt:i4>2</vt:i4>
      </vt:variant>
      <vt:variant>
        <vt:i4>0</vt:i4>
      </vt:variant>
      <vt:variant>
        <vt:i4>5</vt:i4>
      </vt:variant>
      <vt:variant>
        <vt:lpwstr/>
      </vt:variant>
      <vt:variant>
        <vt:lpwstr>_Toc414885007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pedroluxemburgo@hotmail.com</dc:creator>
  <cp:lastModifiedBy>Inter-American HR Moot Court Competition</cp:lastModifiedBy>
  <cp:revision>2</cp:revision>
  <cp:lastPrinted>2015-03-23T17:41:00Z</cp:lastPrinted>
  <dcterms:created xsi:type="dcterms:W3CDTF">2017-09-21T15:49:00Z</dcterms:created>
  <dcterms:modified xsi:type="dcterms:W3CDTF">2017-09-21T15:49:00Z</dcterms:modified>
</cp:coreProperties>
</file>