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2DD" w:rsidRPr="00CF04BF" w:rsidRDefault="006802DD" w:rsidP="009972EA">
      <w:pPr>
        <w:spacing w:after="0" w:line="480" w:lineRule="auto"/>
        <w:jc w:val="both"/>
        <w:rPr>
          <w:rFonts w:ascii="Times New Roman" w:hAnsi="Times New Roman" w:cs="Times New Roman"/>
          <w:b/>
          <w:sz w:val="24"/>
          <w:szCs w:val="24"/>
        </w:rPr>
      </w:pPr>
      <w:bookmarkStart w:id="0" w:name="_GoBack"/>
      <w:bookmarkEnd w:id="0"/>
    </w:p>
    <w:p w:rsidR="006802DD" w:rsidRPr="00CF04BF" w:rsidRDefault="006802DD" w:rsidP="009972EA">
      <w:pPr>
        <w:spacing w:after="0" w:line="480" w:lineRule="auto"/>
        <w:jc w:val="both"/>
        <w:rPr>
          <w:rFonts w:ascii="Times New Roman" w:hAnsi="Times New Roman" w:cs="Times New Roman"/>
          <w:b/>
          <w:sz w:val="24"/>
          <w:szCs w:val="24"/>
        </w:rPr>
      </w:pPr>
    </w:p>
    <w:p w:rsidR="006802DD" w:rsidRPr="00CF04BF" w:rsidRDefault="006802DD" w:rsidP="009972EA">
      <w:pPr>
        <w:spacing w:after="0" w:line="480" w:lineRule="auto"/>
        <w:jc w:val="both"/>
        <w:rPr>
          <w:rFonts w:ascii="Times New Roman" w:hAnsi="Times New Roman" w:cs="Times New Roman"/>
          <w:b/>
          <w:sz w:val="24"/>
          <w:szCs w:val="24"/>
        </w:rPr>
      </w:pPr>
    </w:p>
    <w:p w:rsidR="006802DD" w:rsidRPr="00CF04BF" w:rsidRDefault="006802DD" w:rsidP="009972EA">
      <w:pPr>
        <w:spacing w:after="0" w:line="480" w:lineRule="auto"/>
        <w:jc w:val="both"/>
        <w:rPr>
          <w:rFonts w:ascii="Times New Roman" w:hAnsi="Times New Roman" w:cs="Times New Roman"/>
          <w:b/>
          <w:sz w:val="24"/>
          <w:szCs w:val="24"/>
        </w:rPr>
      </w:pPr>
    </w:p>
    <w:p w:rsidR="006802DD" w:rsidRPr="00CF04BF" w:rsidRDefault="006802DD" w:rsidP="009972EA">
      <w:pPr>
        <w:spacing w:after="0" w:line="480" w:lineRule="auto"/>
        <w:jc w:val="both"/>
        <w:rPr>
          <w:rFonts w:ascii="Times New Roman" w:hAnsi="Times New Roman" w:cs="Times New Roman"/>
          <w:b/>
          <w:sz w:val="24"/>
          <w:szCs w:val="24"/>
        </w:rPr>
      </w:pPr>
    </w:p>
    <w:p w:rsidR="006802DD" w:rsidRPr="00CF04BF" w:rsidRDefault="006802DD" w:rsidP="009972EA">
      <w:pPr>
        <w:spacing w:after="0" w:line="480" w:lineRule="auto"/>
        <w:jc w:val="both"/>
        <w:rPr>
          <w:rFonts w:ascii="Times New Roman" w:hAnsi="Times New Roman" w:cs="Times New Roman"/>
          <w:b/>
          <w:sz w:val="24"/>
          <w:szCs w:val="24"/>
        </w:rPr>
      </w:pPr>
    </w:p>
    <w:p w:rsidR="006802DD" w:rsidRPr="00CF04BF" w:rsidRDefault="006802DD" w:rsidP="009972EA">
      <w:pPr>
        <w:spacing w:after="0" w:line="480" w:lineRule="auto"/>
        <w:jc w:val="both"/>
        <w:rPr>
          <w:rFonts w:ascii="Times New Roman" w:hAnsi="Times New Roman" w:cs="Times New Roman"/>
          <w:b/>
          <w:sz w:val="24"/>
          <w:szCs w:val="24"/>
        </w:rPr>
      </w:pPr>
    </w:p>
    <w:p w:rsidR="006802DD" w:rsidRPr="00CF04BF" w:rsidRDefault="006802DD" w:rsidP="009972EA">
      <w:pPr>
        <w:spacing w:after="0" w:line="480" w:lineRule="auto"/>
        <w:jc w:val="both"/>
        <w:rPr>
          <w:rFonts w:ascii="Times New Roman" w:hAnsi="Times New Roman" w:cs="Times New Roman"/>
          <w:b/>
          <w:sz w:val="24"/>
          <w:szCs w:val="24"/>
        </w:rPr>
      </w:pPr>
    </w:p>
    <w:p w:rsidR="006802DD" w:rsidRPr="00CF04BF" w:rsidRDefault="006802DD" w:rsidP="009972EA">
      <w:pPr>
        <w:spacing w:after="0" w:line="480" w:lineRule="auto"/>
        <w:jc w:val="both"/>
        <w:rPr>
          <w:rFonts w:ascii="Times New Roman" w:hAnsi="Times New Roman" w:cs="Times New Roman"/>
          <w:b/>
          <w:sz w:val="24"/>
          <w:szCs w:val="24"/>
        </w:rPr>
      </w:pPr>
    </w:p>
    <w:p w:rsidR="00A44DDD" w:rsidRPr="00CF04BF" w:rsidRDefault="007B7C91" w:rsidP="009972EA">
      <w:pPr>
        <w:tabs>
          <w:tab w:val="left" w:pos="6450"/>
        </w:tabs>
        <w:spacing w:after="0" w:line="480" w:lineRule="auto"/>
        <w:jc w:val="both"/>
        <w:rPr>
          <w:rFonts w:ascii="Times New Roman" w:hAnsi="Times New Roman" w:cs="Times New Roman"/>
          <w:b/>
          <w:sz w:val="24"/>
          <w:szCs w:val="24"/>
        </w:rPr>
      </w:pPr>
      <w:r w:rsidRPr="00CF04BF">
        <w:rPr>
          <w:rFonts w:ascii="Times New Roman" w:hAnsi="Times New Roman" w:cs="Times New Roman"/>
          <w:b/>
          <w:sz w:val="24"/>
          <w:szCs w:val="24"/>
        </w:rPr>
        <w:tab/>
      </w:r>
    </w:p>
    <w:p w:rsidR="00A44DDD" w:rsidRPr="00CF04BF" w:rsidRDefault="00A44DDD" w:rsidP="009972EA">
      <w:pPr>
        <w:spacing w:after="0" w:line="480" w:lineRule="auto"/>
        <w:jc w:val="center"/>
        <w:rPr>
          <w:rFonts w:ascii="Times New Roman" w:hAnsi="Times New Roman" w:cs="Times New Roman"/>
          <w:b/>
          <w:sz w:val="24"/>
          <w:szCs w:val="24"/>
        </w:rPr>
      </w:pPr>
      <w:r w:rsidRPr="00CF04BF">
        <w:rPr>
          <w:rFonts w:ascii="Times New Roman" w:hAnsi="Times New Roman" w:cs="Times New Roman"/>
          <w:b/>
          <w:sz w:val="24"/>
          <w:szCs w:val="24"/>
        </w:rPr>
        <w:t xml:space="preserve">CASO </w:t>
      </w:r>
      <w:r w:rsidR="00131F4B" w:rsidRPr="00CF04BF">
        <w:rPr>
          <w:rFonts w:ascii="Times New Roman" w:hAnsi="Times New Roman" w:cs="Times New Roman"/>
          <w:b/>
          <w:sz w:val="24"/>
          <w:szCs w:val="24"/>
        </w:rPr>
        <w:t>CRISTAL</w:t>
      </w:r>
      <w:r w:rsidRPr="00CF04BF">
        <w:rPr>
          <w:rFonts w:ascii="Times New Roman" w:hAnsi="Times New Roman" w:cs="Times New Roman"/>
          <w:b/>
          <w:sz w:val="24"/>
          <w:szCs w:val="24"/>
        </w:rPr>
        <w:t xml:space="preserve"> TOVAR V. REPÚBLICA DEMOCRÁTICA DE </w:t>
      </w:r>
      <w:r w:rsidR="00131F4B" w:rsidRPr="00CF04BF">
        <w:rPr>
          <w:rFonts w:ascii="Times New Roman" w:hAnsi="Times New Roman" w:cs="Times New Roman"/>
          <w:b/>
          <w:sz w:val="24"/>
          <w:szCs w:val="24"/>
        </w:rPr>
        <w:t>EXCLUTIA</w:t>
      </w:r>
    </w:p>
    <w:p w:rsidR="00A44DDD" w:rsidRPr="00CF04BF" w:rsidRDefault="00A44DDD" w:rsidP="009972EA">
      <w:pPr>
        <w:spacing w:after="0" w:line="480" w:lineRule="auto"/>
        <w:jc w:val="center"/>
        <w:rPr>
          <w:rFonts w:ascii="Times New Roman" w:hAnsi="Times New Roman" w:cs="Times New Roman"/>
          <w:b/>
          <w:sz w:val="24"/>
          <w:szCs w:val="24"/>
        </w:rPr>
      </w:pPr>
    </w:p>
    <w:p w:rsidR="006802DD" w:rsidRPr="00CF04BF" w:rsidRDefault="006802DD" w:rsidP="009972EA">
      <w:pPr>
        <w:spacing w:after="0" w:line="480" w:lineRule="auto"/>
        <w:jc w:val="center"/>
        <w:rPr>
          <w:rFonts w:ascii="Times New Roman" w:hAnsi="Times New Roman" w:cs="Times New Roman"/>
          <w:b/>
          <w:sz w:val="24"/>
          <w:szCs w:val="24"/>
        </w:rPr>
      </w:pPr>
    </w:p>
    <w:p w:rsidR="00A44DDD" w:rsidRPr="00CF04BF" w:rsidRDefault="006802DD" w:rsidP="009972EA">
      <w:pPr>
        <w:spacing w:after="0" w:line="480" w:lineRule="auto"/>
        <w:jc w:val="center"/>
        <w:rPr>
          <w:rFonts w:ascii="Times New Roman" w:hAnsi="Times New Roman" w:cs="Times New Roman"/>
          <w:b/>
          <w:sz w:val="24"/>
          <w:szCs w:val="24"/>
        </w:rPr>
      </w:pPr>
      <w:r w:rsidRPr="00CF04BF">
        <w:rPr>
          <w:rFonts w:ascii="Times New Roman" w:hAnsi="Times New Roman" w:cs="Times New Roman"/>
          <w:b/>
          <w:sz w:val="24"/>
          <w:szCs w:val="24"/>
        </w:rPr>
        <w:t xml:space="preserve">REPRESENTANTES </w:t>
      </w:r>
      <w:r w:rsidR="00A44DDD" w:rsidRPr="00CF04BF">
        <w:rPr>
          <w:rFonts w:ascii="Times New Roman" w:hAnsi="Times New Roman" w:cs="Times New Roman"/>
          <w:b/>
          <w:sz w:val="24"/>
          <w:szCs w:val="24"/>
        </w:rPr>
        <w:t xml:space="preserve">DEL ESTADO DE </w:t>
      </w:r>
      <w:r w:rsidR="00131F4B" w:rsidRPr="00CF04BF">
        <w:rPr>
          <w:rFonts w:ascii="Times New Roman" w:hAnsi="Times New Roman" w:cs="Times New Roman"/>
          <w:b/>
          <w:sz w:val="24"/>
          <w:szCs w:val="24"/>
        </w:rPr>
        <w:t>E</w:t>
      </w:r>
      <w:r w:rsidR="00141D01" w:rsidRPr="00CF04BF">
        <w:rPr>
          <w:rFonts w:ascii="Times New Roman" w:hAnsi="Times New Roman" w:cs="Times New Roman"/>
          <w:b/>
          <w:sz w:val="24"/>
          <w:szCs w:val="24"/>
        </w:rPr>
        <w:t>XCLUTIA</w:t>
      </w:r>
    </w:p>
    <w:p w:rsidR="006802DD" w:rsidRPr="00CF04BF" w:rsidRDefault="006802DD" w:rsidP="009972EA">
      <w:pPr>
        <w:spacing w:after="0" w:line="480" w:lineRule="auto"/>
        <w:jc w:val="both"/>
        <w:rPr>
          <w:rFonts w:ascii="Times New Roman" w:hAnsi="Times New Roman" w:cs="Times New Roman"/>
          <w:b/>
          <w:sz w:val="24"/>
          <w:szCs w:val="24"/>
        </w:rPr>
      </w:pPr>
    </w:p>
    <w:p w:rsidR="006802DD" w:rsidRPr="00CF04BF" w:rsidRDefault="006802DD" w:rsidP="009972EA">
      <w:pPr>
        <w:spacing w:after="0" w:line="480" w:lineRule="auto"/>
        <w:jc w:val="both"/>
        <w:rPr>
          <w:rFonts w:ascii="Times New Roman" w:hAnsi="Times New Roman" w:cs="Times New Roman"/>
          <w:b/>
          <w:sz w:val="24"/>
          <w:szCs w:val="24"/>
        </w:rPr>
      </w:pPr>
    </w:p>
    <w:p w:rsidR="006802DD" w:rsidRPr="00CF04BF" w:rsidRDefault="006802DD" w:rsidP="009972EA">
      <w:pPr>
        <w:spacing w:after="0" w:line="480" w:lineRule="auto"/>
        <w:jc w:val="both"/>
        <w:rPr>
          <w:rFonts w:ascii="Times New Roman" w:hAnsi="Times New Roman" w:cs="Times New Roman"/>
          <w:b/>
          <w:sz w:val="24"/>
          <w:szCs w:val="24"/>
        </w:rPr>
      </w:pPr>
    </w:p>
    <w:p w:rsidR="006802DD" w:rsidRPr="00CF04BF" w:rsidRDefault="006802DD" w:rsidP="009972EA">
      <w:pPr>
        <w:spacing w:after="0" w:line="480" w:lineRule="auto"/>
        <w:jc w:val="both"/>
        <w:rPr>
          <w:rFonts w:ascii="Times New Roman" w:hAnsi="Times New Roman" w:cs="Times New Roman"/>
          <w:b/>
          <w:sz w:val="24"/>
          <w:szCs w:val="24"/>
        </w:rPr>
      </w:pPr>
    </w:p>
    <w:p w:rsidR="006802DD" w:rsidRPr="00CF04BF" w:rsidRDefault="006802DD" w:rsidP="009972EA">
      <w:pPr>
        <w:spacing w:after="0" w:line="480" w:lineRule="auto"/>
        <w:jc w:val="both"/>
        <w:rPr>
          <w:rFonts w:ascii="Times New Roman" w:hAnsi="Times New Roman" w:cs="Times New Roman"/>
          <w:b/>
          <w:sz w:val="24"/>
          <w:szCs w:val="24"/>
        </w:rPr>
      </w:pPr>
    </w:p>
    <w:p w:rsidR="006802DD" w:rsidRPr="00CF04BF" w:rsidRDefault="006802DD" w:rsidP="009972EA">
      <w:pPr>
        <w:spacing w:after="0" w:line="480" w:lineRule="auto"/>
        <w:jc w:val="both"/>
        <w:rPr>
          <w:rFonts w:ascii="Times New Roman" w:hAnsi="Times New Roman" w:cs="Times New Roman"/>
          <w:b/>
          <w:sz w:val="24"/>
          <w:szCs w:val="24"/>
        </w:rPr>
      </w:pPr>
    </w:p>
    <w:p w:rsidR="006802DD" w:rsidRPr="00CF04BF" w:rsidRDefault="006802DD" w:rsidP="009972EA">
      <w:pPr>
        <w:spacing w:after="0" w:line="480" w:lineRule="auto"/>
        <w:jc w:val="both"/>
        <w:rPr>
          <w:rFonts w:ascii="Times New Roman" w:hAnsi="Times New Roman" w:cs="Times New Roman"/>
          <w:b/>
          <w:sz w:val="24"/>
          <w:szCs w:val="24"/>
        </w:rPr>
      </w:pPr>
    </w:p>
    <w:p w:rsidR="006802DD" w:rsidRPr="00CF04BF" w:rsidRDefault="006802DD" w:rsidP="009972EA">
      <w:pPr>
        <w:spacing w:after="0" w:line="480" w:lineRule="auto"/>
        <w:jc w:val="both"/>
        <w:rPr>
          <w:rFonts w:ascii="Times New Roman" w:hAnsi="Times New Roman" w:cs="Times New Roman"/>
          <w:b/>
          <w:sz w:val="24"/>
          <w:szCs w:val="24"/>
        </w:rPr>
      </w:pPr>
    </w:p>
    <w:p w:rsidR="006802DD" w:rsidRPr="00CF04BF" w:rsidRDefault="006802DD" w:rsidP="009972EA">
      <w:pPr>
        <w:spacing w:after="0" w:line="480" w:lineRule="auto"/>
        <w:jc w:val="both"/>
        <w:rPr>
          <w:rFonts w:ascii="Times New Roman" w:hAnsi="Times New Roman" w:cs="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4"/>
        <w:gridCol w:w="2000"/>
      </w:tblGrid>
      <w:tr w:rsidR="008A6376" w:rsidRPr="00CF04BF" w:rsidTr="008A6376">
        <w:tc>
          <w:tcPr>
            <w:tcW w:w="7054" w:type="dxa"/>
            <w:hideMark/>
          </w:tcPr>
          <w:p w:rsidR="008A6376" w:rsidRPr="00CF04BF" w:rsidRDefault="008A6376" w:rsidP="009972EA">
            <w:pPr>
              <w:spacing w:line="480" w:lineRule="auto"/>
              <w:jc w:val="both"/>
              <w:rPr>
                <w:rFonts w:ascii="Times New Roman" w:hAnsi="Times New Roman" w:cs="Times New Roman"/>
                <w:b/>
                <w:sz w:val="24"/>
                <w:szCs w:val="24"/>
              </w:rPr>
            </w:pPr>
            <w:bookmarkStart w:id="1" w:name="_Toc362466892"/>
            <w:r w:rsidRPr="00CF04BF">
              <w:rPr>
                <w:rFonts w:ascii="Times New Roman" w:hAnsi="Times New Roman" w:cs="Times New Roman"/>
                <w:b/>
                <w:sz w:val="24"/>
                <w:szCs w:val="24"/>
              </w:rPr>
              <w:lastRenderedPageBreak/>
              <w:t>TABLA DE ABREVIATURAS</w:t>
            </w:r>
            <w:bookmarkEnd w:id="1"/>
            <w:r w:rsidRPr="00CF04BF">
              <w:rPr>
                <w:rFonts w:ascii="Times New Roman" w:hAnsi="Times New Roman" w:cs="Times New Roman"/>
                <w:b/>
                <w:sz w:val="24"/>
                <w:szCs w:val="24"/>
              </w:rPr>
              <w:t>.</w:t>
            </w:r>
          </w:p>
        </w:tc>
        <w:tc>
          <w:tcPr>
            <w:tcW w:w="2000" w:type="dxa"/>
          </w:tcPr>
          <w:p w:rsidR="008A6376" w:rsidRPr="00CF04BF" w:rsidRDefault="008A6376" w:rsidP="009972EA">
            <w:pPr>
              <w:pStyle w:val="Default"/>
              <w:spacing w:line="480" w:lineRule="auto"/>
              <w:jc w:val="both"/>
              <w:rPr>
                <w:rFonts w:ascii="Times New Roman" w:hAnsi="Times New Roman" w:cs="Times New Roman"/>
                <w:b/>
              </w:rPr>
            </w:pPr>
          </w:p>
        </w:tc>
      </w:tr>
      <w:tr w:rsidR="008A6376" w:rsidRPr="00CF04BF" w:rsidTr="008A6376">
        <w:tc>
          <w:tcPr>
            <w:tcW w:w="7054" w:type="dxa"/>
            <w:hideMark/>
          </w:tcPr>
          <w:p w:rsidR="008A6376" w:rsidRPr="00CF04BF" w:rsidRDefault="008A6376" w:rsidP="009972EA">
            <w:pPr>
              <w:pStyle w:val="Default"/>
              <w:spacing w:line="480" w:lineRule="auto"/>
              <w:jc w:val="both"/>
              <w:rPr>
                <w:rFonts w:ascii="Times New Roman" w:hAnsi="Times New Roman" w:cs="Times New Roman"/>
              </w:rPr>
            </w:pPr>
            <w:r w:rsidRPr="00CF04BF">
              <w:rPr>
                <w:rFonts w:ascii="Times New Roman" w:hAnsi="Times New Roman" w:cs="Times New Roman"/>
              </w:rPr>
              <w:t>Artículo (s)</w:t>
            </w:r>
          </w:p>
        </w:tc>
        <w:tc>
          <w:tcPr>
            <w:tcW w:w="2000" w:type="dxa"/>
            <w:hideMark/>
          </w:tcPr>
          <w:p w:rsidR="008A6376" w:rsidRPr="00CF04BF" w:rsidRDefault="008A6376" w:rsidP="009972EA">
            <w:pPr>
              <w:pStyle w:val="Default"/>
              <w:spacing w:line="480" w:lineRule="auto"/>
              <w:jc w:val="both"/>
              <w:rPr>
                <w:rFonts w:ascii="Times New Roman" w:hAnsi="Times New Roman" w:cs="Times New Roman"/>
              </w:rPr>
            </w:pPr>
            <w:r w:rsidRPr="00CF04BF">
              <w:rPr>
                <w:rFonts w:ascii="Times New Roman" w:hAnsi="Times New Roman" w:cs="Times New Roman"/>
              </w:rPr>
              <w:t>Art., Arts.</w:t>
            </w:r>
          </w:p>
        </w:tc>
      </w:tr>
      <w:tr w:rsidR="008A6376" w:rsidRPr="00CF04BF" w:rsidTr="008A6376">
        <w:tc>
          <w:tcPr>
            <w:tcW w:w="7054" w:type="dxa"/>
            <w:hideMark/>
          </w:tcPr>
          <w:p w:rsidR="008A6376" w:rsidRPr="00CF04BF" w:rsidRDefault="008A6376" w:rsidP="009972EA">
            <w:pPr>
              <w:pStyle w:val="Default"/>
              <w:spacing w:line="480" w:lineRule="auto"/>
              <w:jc w:val="both"/>
              <w:rPr>
                <w:rFonts w:ascii="Times New Roman" w:hAnsi="Times New Roman" w:cs="Times New Roman"/>
              </w:rPr>
            </w:pPr>
            <w:r w:rsidRPr="00CF04BF">
              <w:rPr>
                <w:rFonts w:ascii="Times New Roman" w:hAnsi="Times New Roman" w:cs="Times New Roman"/>
              </w:rPr>
              <w:t xml:space="preserve">Código Civil del Estado de </w:t>
            </w:r>
            <w:r w:rsidR="00131F4B" w:rsidRPr="00CF04BF">
              <w:rPr>
                <w:rFonts w:ascii="Times New Roman" w:hAnsi="Times New Roman" w:cs="Times New Roman"/>
              </w:rPr>
              <w:t>E</w:t>
            </w:r>
            <w:r w:rsidR="006F3ED2" w:rsidRPr="00CF04BF">
              <w:rPr>
                <w:rFonts w:ascii="Times New Roman" w:hAnsi="Times New Roman" w:cs="Times New Roman"/>
              </w:rPr>
              <w:t>xclutia</w:t>
            </w:r>
          </w:p>
        </w:tc>
        <w:tc>
          <w:tcPr>
            <w:tcW w:w="2000" w:type="dxa"/>
            <w:hideMark/>
          </w:tcPr>
          <w:p w:rsidR="008A6376" w:rsidRPr="00CF04BF" w:rsidRDefault="006F3ED2" w:rsidP="009972EA">
            <w:pPr>
              <w:pStyle w:val="Default"/>
              <w:spacing w:line="480" w:lineRule="auto"/>
              <w:jc w:val="both"/>
              <w:rPr>
                <w:rFonts w:ascii="Times New Roman" w:hAnsi="Times New Roman" w:cs="Times New Roman"/>
              </w:rPr>
            </w:pPr>
            <w:r w:rsidRPr="00CF04BF">
              <w:rPr>
                <w:rFonts w:ascii="Times New Roman" w:hAnsi="Times New Roman" w:cs="Times New Roman"/>
              </w:rPr>
              <w:t>Código Civil</w:t>
            </w:r>
          </w:p>
        </w:tc>
      </w:tr>
      <w:tr w:rsidR="008A6376" w:rsidRPr="00CF04BF" w:rsidTr="008A6376">
        <w:tc>
          <w:tcPr>
            <w:tcW w:w="7054" w:type="dxa"/>
            <w:hideMark/>
          </w:tcPr>
          <w:p w:rsidR="008A6376" w:rsidRPr="00CF04BF" w:rsidRDefault="008A6376" w:rsidP="009972EA">
            <w:pPr>
              <w:pStyle w:val="Default"/>
              <w:spacing w:line="480" w:lineRule="auto"/>
              <w:jc w:val="both"/>
              <w:rPr>
                <w:rFonts w:ascii="Times New Roman" w:hAnsi="Times New Roman" w:cs="Times New Roman"/>
              </w:rPr>
            </w:pPr>
            <w:r w:rsidRPr="00CF04BF">
              <w:rPr>
                <w:rFonts w:ascii="Times New Roman" w:hAnsi="Times New Roman" w:cs="Times New Roman"/>
              </w:rPr>
              <w:t>Comisión Interamericana de Derechos Humanos</w:t>
            </w:r>
          </w:p>
        </w:tc>
        <w:tc>
          <w:tcPr>
            <w:tcW w:w="2000" w:type="dxa"/>
            <w:hideMark/>
          </w:tcPr>
          <w:p w:rsidR="008A6376" w:rsidRPr="00CF04BF" w:rsidRDefault="008A6376" w:rsidP="009972EA">
            <w:pPr>
              <w:pStyle w:val="Default"/>
              <w:spacing w:line="480" w:lineRule="auto"/>
              <w:jc w:val="both"/>
              <w:rPr>
                <w:rFonts w:ascii="Times New Roman" w:hAnsi="Times New Roman" w:cs="Times New Roman"/>
              </w:rPr>
            </w:pPr>
            <w:r w:rsidRPr="00CF04BF">
              <w:rPr>
                <w:rFonts w:ascii="Times New Roman" w:hAnsi="Times New Roman" w:cs="Times New Roman"/>
              </w:rPr>
              <w:t>CIDH</w:t>
            </w:r>
          </w:p>
        </w:tc>
      </w:tr>
      <w:tr w:rsidR="008A6376" w:rsidRPr="00CF04BF" w:rsidTr="008A6376">
        <w:tc>
          <w:tcPr>
            <w:tcW w:w="7054" w:type="dxa"/>
            <w:hideMark/>
          </w:tcPr>
          <w:p w:rsidR="008A6376" w:rsidRPr="00CF04BF" w:rsidRDefault="008A6376" w:rsidP="009972EA">
            <w:pPr>
              <w:pStyle w:val="Default"/>
              <w:spacing w:line="480" w:lineRule="auto"/>
              <w:jc w:val="both"/>
              <w:rPr>
                <w:rFonts w:ascii="Times New Roman" w:hAnsi="Times New Roman" w:cs="Times New Roman"/>
              </w:rPr>
            </w:pPr>
            <w:r w:rsidRPr="00CF04BF">
              <w:rPr>
                <w:rFonts w:ascii="Times New Roman" w:hAnsi="Times New Roman" w:cs="Times New Roman"/>
              </w:rPr>
              <w:t>Comité de Derechos Económicos, Sociales y Culturales</w:t>
            </w:r>
          </w:p>
        </w:tc>
        <w:tc>
          <w:tcPr>
            <w:tcW w:w="2000" w:type="dxa"/>
            <w:hideMark/>
          </w:tcPr>
          <w:p w:rsidR="008A6376" w:rsidRPr="00CF04BF" w:rsidRDefault="008A6376" w:rsidP="009972EA">
            <w:pPr>
              <w:pStyle w:val="Default"/>
              <w:spacing w:line="480" w:lineRule="auto"/>
              <w:jc w:val="both"/>
              <w:rPr>
                <w:rFonts w:ascii="Times New Roman" w:hAnsi="Times New Roman" w:cs="Times New Roman"/>
              </w:rPr>
            </w:pPr>
            <w:r w:rsidRPr="00CF04BF">
              <w:rPr>
                <w:rFonts w:ascii="Times New Roman" w:hAnsi="Times New Roman" w:cs="Times New Roman"/>
              </w:rPr>
              <w:t>Comité DESC</w:t>
            </w:r>
          </w:p>
        </w:tc>
      </w:tr>
      <w:tr w:rsidR="008A6376" w:rsidRPr="00CF04BF" w:rsidTr="008A6376">
        <w:tc>
          <w:tcPr>
            <w:tcW w:w="7054" w:type="dxa"/>
            <w:hideMark/>
          </w:tcPr>
          <w:p w:rsidR="008A6376" w:rsidRPr="00CF04BF" w:rsidRDefault="008A6376" w:rsidP="009972EA">
            <w:pPr>
              <w:pStyle w:val="Default"/>
              <w:spacing w:line="480" w:lineRule="auto"/>
              <w:jc w:val="both"/>
              <w:rPr>
                <w:rFonts w:ascii="Times New Roman" w:hAnsi="Times New Roman" w:cs="Times New Roman"/>
              </w:rPr>
            </w:pPr>
            <w:r w:rsidRPr="00CF04BF">
              <w:rPr>
                <w:rFonts w:ascii="Times New Roman" w:hAnsi="Times New Roman" w:cs="Times New Roman"/>
              </w:rPr>
              <w:t xml:space="preserve">Confrontar </w:t>
            </w:r>
          </w:p>
        </w:tc>
        <w:tc>
          <w:tcPr>
            <w:tcW w:w="2000" w:type="dxa"/>
            <w:hideMark/>
          </w:tcPr>
          <w:p w:rsidR="008A6376" w:rsidRPr="00CF04BF" w:rsidRDefault="008A6376" w:rsidP="009972EA">
            <w:pPr>
              <w:pStyle w:val="Default"/>
              <w:spacing w:line="480" w:lineRule="auto"/>
              <w:jc w:val="both"/>
              <w:rPr>
                <w:rFonts w:ascii="Times New Roman" w:hAnsi="Times New Roman" w:cs="Times New Roman"/>
              </w:rPr>
            </w:pPr>
            <w:r w:rsidRPr="00CF04BF">
              <w:rPr>
                <w:rFonts w:ascii="Times New Roman" w:hAnsi="Times New Roman" w:cs="Times New Roman"/>
                <w:i/>
              </w:rPr>
              <w:t>Cfr</w:t>
            </w:r>
            <w:r w:rsidRPr="00CF04BF">
              <w:rPr>
                <w:rFonts w:ascii="Times New Roman" w:hAnsi="Times New Roman" w:cs="Times New Roman"/>
              </w:rPr>
              <w:t>.</w:t>
            </w:r>
          </w:p>
        </w:tc>
      </w:tr>
      <w:tr w:rsidR="008A6376" w:rsidRPr="00CF04BF" w:rsidTr="008A6376">
        <w:tc>
          <w:tcPr>
            <w:tcW w:w="7054" w:type="dxa"/>
            <w:hideMark/>
          </w:tcPr>
          <w:p w:rsidR="008A6376" w:rsidRPr="00CF04BF" w:rsidRDefault="008A6376" w:rsidP="009972EA">
            <w:pPr>
              <w:pStyle w:val="Default"/>
              <w:spacing w:line="480" w:lineRule="auto"/>
              <w:jc w:val="both"/>
              <w:rPr>
                <w:rFonts w:ascii="Times New Roman" w:hAnsi="Times New Roman" w:cs="Times New Roman"/>
              </w:rPr>
            </w:pPr>
            <w:r w:rsidRPr="00CF04BF">
              <w:rPr>
                <w:rFonts w:ascii="Times New Roman" w:hAnsi="Times New Roman" w:cs="Times New Roman"/>
              </w:rPr>
              <w:t>Convención Americana Sobre Derechos Humanos</w:t>
            </w:r>
          </w:p>
        </w:tc>
        <w:tc>
          <w:tcPr>
            <w:tcW w:w="2000" w:type="dxa"/>
            <w:hideMark/>
          </w:tcPr>
          <w:p w:rsidR="008A6376" w:rsidRPr="00CF04BF" w:rsidRDefault="008A6376" w:rsidP="009972EA">
            <w:pPr>
              <w:pStyle w:val="Default"/>
              <w:spacing w:line="480" w:lineRule="auto"/>
              <w:jc w:val="both"/>
              <w:rPr>
                <w:rFonts w:ascii="Times New Roman" w:hAnsi="Times New Roman" w:cs="Times New Roman"/>
              </w:rPr>
            </w:pPr>
            <w:r w:rsidRPr="00CF04BF">
              <w:rPr>
                <w:rFonts w:ascii="Times New Roman" w:hAnsi="Times New Roman" w:cs="Times New Roman"/>
              </w:rPr>
              <w:t>CADH</w:t>
            </w:r>
          </w:p>
        </w:tc>
      </w:tr>
      <w:tr w:rsidR="008A6376" w:rsidRPr="00CF04BF" w:rsidTr="008A6376">
        <w:tc>
          <w:tcPr>
            <w:tcW w:w="7054" w:type="dxa"/>
            <w:hideMark/>
          </w:tcPr>
          <w:p w:rsidR="008A6376" w:rsidRPr="00CF04BF" w:rsidRDefault="008A6376" w:rsidP="009972EA">
            <w:pPr>
              <w:pStyle w:val="Default"/>
              <w:spacing w:line="480" w:lineRule="auto"/>
              <w:jc w:val="both"/>
              <w:rPr>
                <w:rFonts w:ascii="Times New Roman" w:hAnsi="Times New Roman" w:cs="Times New Roman"/>
              </w:rPr>
            </w:pPr>
            <w:r w:rsidRPr="00CF04BF">
              <w:rPr>
                <w:rFonts w:ascii="Times New Roman" w:hAnsi="Times New Roman" w:cs="Times New Roman"/>
              </w:rPr>
              <w:t xml:space="preserve">Convención Interamericana para </w:t>
            </w:r>
            <w:r w:rsidRPr="00CF04BF">
              <w:rPr>
                <w:rFonts w:ascii="Times New Roman" w:hAnsi="Times New Roman" w:cs="Times New Roman"/>
                <w:bCs/>
              </w:rPr>
              <w:t>Eliminación de todas las formas de Discriminación contra las Personas con Discapacidad</w:t>
            </w:r>
          </w:p>
        </w:tc>
        <w:tc>
          <w:tcPr>
            <w:tcW w:w="2000" w:type="dxa"/>
            <w:hideMark/>
          </w:tcPr>
          <w:p w:rsidR="008A6376" w:rsidRPr="00CF04BF" w:rsidRDefault="008A6376" w:rsidP="009972EA">
            <w:pPr>
              <w:pStyle w:val="Default"/>
              <w:spacing w:line="480" w:lineRule="auto"/>
              <w:jc w:val="both"/>
              <w:rPr>
                <w:rFonts w:ascii="Times New Roman" w:hAnsi="Times New Roman" w:cs="Times New Roman"/>
              </w:rPr>
            </w:pPr>
            <w:r w:rsidRPr="00CF04BF">
              <w:rPr>
                <w:rFonts w:ascii="Times New Roman" w:hAnsi="Times New Roman" w:cs="Times New Roman"/>
              </w:rPr>
              <w:t>CIEDPD</w:t>
            </w:r>
          </w:p>
        </w:tc>
      </w:tr>
      <w:tr w:rsidR="008A6376" w:rsidRPr="00CF04BF" w:rsidTr="008A6376">
        <w:tc>
          <w:tcPr>
            <w:tcW w:w="7054" w:type="dxa"/>
            <w:hideMark/>
          </w:tcPr>
          <w:p w:rsidR="008A6376" w:rsidRPr="00CF04BF" w:rsidRDefault="008A6376" w:rsidP="009972EA">
            <w:pPr>
              <w:pStyle w:val="Default"/>
              <w:spacing w:line="480" w:lineRule="auto"/>
              <w:jc w:val="both"/>
              <w:rPr>
                <w:rFonts w:ascii="Times New Roman" w:hAnsi="Times New Roman" w:cs="Times New Roman"/>
                <w:bCs/>
              </w:rPr>
            </w:pPr>
            <w:r w:rsidRPr="00CF04BF">
              <w:rPr>
                <w:rFonts w:ascii="Times New Roman" w:hAnsi="Times New Roman" w:cs="Times New Roman"/>
                <w:bCs/>
              </w:rPr>
              <w:t xml:space="preserve">Convención sobre los Derechos de las Personas con Discapacidad </w:t>
            </w:r>
          </w:p>
        </w:tc>
        <w:tc>
          <w:tcPr>
            <w:tcW w:w="2000" w:type="dxa"/>
            <w:hideMark/>
          </w:tcPr>
          <w:p w:rsidR="008A6376" w:rsidRPr="00CF04BF" w:rsidRDefault="008A6376" w:rsidP="009972EA">
            <w:pPr>
              <w:pStyle w:val="Default"/>
              <w:spacing w:line="480" w:lineRule="auto"/>
              <w:jc w:val="both"/>
              <w:rPr>
                <w:rFonts w:ascii="Times New Roman" w:hAnsi="Times New Roman" w:cs="Times New Roman"/>
              </w:rPr>
            </w:pPr>
            <w:r w:rsidRPr="00CF04BF">
              <w:rPr>
                <w:rFonts w:ascii="Times New Roman" w:hAnsi="Times New Roman" w:cs="Times New Roman"/>
              </w:rPr>
              <w:t>CDPD</w:t>
            </w:r>
          </w:p>
        </w:tc>
      </w:tr>
      <w:tr w:rsidR="008A6376" w:rsidRPr="00CF04BF" w:rsidTr="008A6376">
        <w:tc>
          <w:tcPr>
            <w:tcW w:w="7054" w:type="dxa"/>
            <w:hideMark/>
          </w:tcPr>
          <w:p w:rsidR="008A6376" w:rsidRPr="00CF04BF" w:rsidRDefault="008A6376" w:rsidP="009972EA">
            <w:pPr>
              <w:pStyle w:val="Default"/>
              <w:spacing w:line="480" w:lineRule="auto"/>
              <w:jc w:val="both"/>
              <w:rPr>
                <w:rFonts w:ascii="Times New Roman" w:hAnsi="Times New Roman" w:cs="Times New Roman"/>
              </w:rPr>
            </w:pPr>
            <w:r w:rsidRPr="00CF04BF">
              <w:rPr>
                <w:rFonts w:ascii="Times New Roman" w:hAnsi="Times New Roman" w:cs="Times New Roman"/>
              </w:rPr>
              <w:t>Corte Interamericana de Derechos Humanos</w:t>
            </w:r>
          </w:p>
        </w:tc>
        <w:tc>
          <w:tcPr>
            <w:tcW w:w="2000" w:type="dxa"/>
            <w:hideMark/>
          </w:tcPr>
          <w:p w:rsidR="008A6376" w:rsidRPr="00CF04BF" w:rsidRDefault="008A6376" w:rsidP="009972EA">
            <w:pPr>
              <w:pStyle w:val="Default"/>
              <w:spacing w:line="480" w:lineRule="auto"/>
              <w:jc w:val="both"/>
              <w:rPr>
                <w:rFonts w:ascii="Times New Roman" w:hAnsi="Times New Roman" w:cs="Times New Roman"/>
              </w:rPr>
            </w:pPr>
            <w:r w:rsidRPr="00CF04BF">
              <w:rPr>
                <w:rFonts w:ascii="Times New Roman" w:hAnsi="Times New Roman" w:cs="Times New Roman"/>
              </w:rPr>
              <w:t>Corte IDH, Corte</w:t>
            </w:r>
          </w:p>
        </w:tc>
      </w:tr>
      <w:tr w:rsidR="008A6376" w:rsidRPr="00CF04BF" w:rsidTr="008A6376">
        <w:tc>
          <w:tcPr>
            <w:tcW w:w="7054" w:type="dxa"/>
            <w:hideMark/>
          </w:tcPr>
          <w:p w:rsidR="008A6376" w:rsidRPr="00CF04BF" w:rsidRDefault="00131F4B" w:rsidP="009972EA">
            <w:pPr>
              <w:pStyle w:val="Default"/>
              <w:spacing w:line="480" w:lineRule="auto"/>
              <w:jc w:val="both"/>
              <w:rPr>
                <w:rFonts w:ascii="Times New Roman" w:hAnsi="Times New Roman" w:cs="Times New Roman"/>
              </w:rPr>
            </w:pPr>
            <w:r w:rsidRPr="00CF04BF">
              <w:rPr>
                <w:rFonts w:ascii="Times New Roman" w:hAnsi="Times New Roman" w:cs="Times New Roman"/>
              </w:rPr>
              <w:t>Cristal</w:t>
            </w:r>
            <w:r w:rsidR="008A6376" w:rsidRPr="00CF04BF">
              <w:rPr>
                <w:rFonts w:ascii="Times New Roman" w:hAnsi="Times New Roman" w:cs="Times New Roman"/>
              </w:rPr>
              <w:t xml:space="preserve"> Tovar</w:t>
            </w:r>
          </w:p>
        </w:tc>
        <w:tc>
          <w:tcPr>
            <w:tcW w:w="2000" w:type="dxa"/>
            <w:hideMark/>
          </w:tcPr>
          <w:p w:rsidR="008A6376" w:rsidRPr="00CF04BF" w:rsidRDefault="00131F4B" w:rsidP="009972EA">
            <w:pPr>
              <w:pStyle w:val="Default"/>
              <w:spacing w:line="480" w:lineRule="auto"/>
              <w:jc w:val="both"/>
              <w:rPr>
                <w:rFonts w:ascii="Times New Roman" w:hAnsi="Times New Roman" w:cs="Times New Roman"/>
              </w:rPr>
            </w:pPr>
            <w:r w:rsidRPr="00CF04BF">
              <w:rPr>
                <w:rFonts w:ascii="Times New Roman" w:hAnsi="Times New Roman" w:cs="Times New Roman"/>
              </w:rPr>
              <w:t>C</w:t>
            </w:r>
          </w:p>
        </w:tc>
      </w:tr>
      <w:tr w:rsidR="008A6376" w:rsidRPr="00CF04BF" w:rsidTr="008A6376">
        <w:tc>
          <w:tcPr>
            <w:tcW w:w="7054" w:type="dxa"/>
            <w:hideMark/>
          </w:tcPr>
          <w:p w:rsidR="008A6376" w:rsidRPr="00CF04BF" w:rsidRDefault="008A6376" w:rsidP="009972EA">
            <w:pPr>
              <w:pStyle w:val="Default"/>
              <w:spacing w:line="480" w:lineRule="auto"/>
              <w:jc w:val="both"/>
              <w:rPr>
                <w:rFonts w:ascii="Times New Roman" w:hAnsi="Times New Roman" w:cs="Times New Roman"/>
              </w:rPr>
            </w:pPr>
            <w:r w:rsidRPr="00CF04BF">
              <w:rPr>
                <w:rFonts w:ascii="Times New Roman" w:hAnsi="Times New Roman" w:cs="Times New Roman"/>
              </w:rPr>
              <w:t>Número</w:t>
            </w:r>
          </w:p>
        </w:tc>
        <w:tc>
          <w:tcPr>
            <w:tcW w:w="2000" w:type="dxa"/>
            <w:hideMark/>
          </w:tcPr>
          <w:p w:rsidR="008A6376" w:rsidRPr="00CF04BF" w:rsidRDefault="008A6376" w:rsidP="009972EA">
            <w:pPr>
              <w:pStyle w:val="Default"/>
              <w:spacing w:line="480" w:lineRule="auto"/>
              <w:jc w:val="both"/>
              <w:rPr>
                <w:rFonts w:ascii="Times New Roman" w:hAnsi="Times New Roman" w:cs="Times New Roman"/>
              </w:rPr>
            </w:pPr>
            <w:r w:rsidRPr="00CF04BF">
              <w:rPr>
                <w:rFonts w:ascii="Times New Roman" w:hAnsi="Times New Roman" w:cs="Times New Roman"/>
              </w:rPr>
              <w:t>No.</w:t>
            </w:r>
          </w:p>
        </w:tc>
      </w:tr>
      <w:tr w:rsidR="008A6376" w:rsidRPr="00CF04BF" w:rsidTr="008A6376">
        <w:tc>
          <w:tcPr>
            <w:tcW w:w="7054" w:type="dxa"/>
            <w:hideMark/>
          </w:tcPr>
          <w:p w:rsidR="008A6376" w:rsidRPr="00CF04BF" w:rsidRDefault="008A6376" w:rsidP="009972EA">
            <w:pPr>
              <w:pStyle w:val="Default"/>
              <w:spacing w:line="480" w:lineRule="auto"/>
              <w:jc w:val="both"/>
              <w:rPr>
                <w:rFonts w:ascii="Times New Roman" w:hAnsi="Times New Roman" w:cs="Times New Roman"/>
              </w:rPr>
            </w:pPr>
            <w:r w:rsidRPr="00CF04BF">
              <w:rPr>
                <w:rFonts w:ascii="Times New Roman" w:hAnsi="Times New Roman" w:cs="Times New Roman"/>
              </w:rPr>
              <w:t>Organización de Derechos Humanos de personas con discapacidad denominado “Discapacidad no es Incapacidad”</w:t>
            </w:r>
          </w:p>
        </w:tc>
        <w:tc>
          <w:tcPr>
            <w:tcW w:w="2000" w:type="dxa"/>
            <w:hideMark/>
          </w:tcPr>
          <w:p w:rsidR="008A6376" w:rsidRPr="00CF04BF" w:rsidRDefault="008A6376" w:rsidP="009972EA">
            <w:pPr>
              <w:pStyle w:val="Default"/>
              <w:spacing w:line="480" w:lineRule="auto"/>
              <w:jc w:val="both"/>
              <w:rPr>
                <w:rFonts w:ascii="Times New Roman" w:hAnsi="Times New Roman" w:cs="Times New Roman"/>
              </w:rPr>
            </w:pPr>
            <w:r w:rsidRPr="00CF04BF">
              <w:rPr>
                <w:rFonts w:ascii="Times New Roman" w:hAnsi="Times New Roman" w:cs="Times New Roman"/>
              </w:rPr>
              <w:t>ODNEI</w:t>
            </w:r>
          </w:p>
        </w:tc>
      </w:tr>
      <w:tr w:rsidR="008A6376" w:rsidRPr="00CF04BF" w:rsidTr="008A6376">
        <w:tc>
          <w:tcPr>
            <w:tcW w:w="7054" w:type="dxa"/>
            <w:hideMark/>
          </w:tcPr>
          <w:p w:rsidR="008A6376" w:rsidRPr="00CF04BF" w:rsidRDefault="008A6376" w:rsidP="009972EA">
            <w:pPr>
              <w:pStyle w:val="Default"/>
              <w:spacing w:line="480" w:lineRule="auto"/>
              <w:jc w:val="both"/>
              <w:rPr>
                <w:rFonts w:ascii="Times New Roman" w:hAnsi="Times New Roman" w:cs="Times New Roman"/>
              </w:rPr>
            </w:pPr>
            <w:r w:rsidRPr="00CF04BF">
              <w:rPr>
                <w:rFonts w:ascii="Times New Roman" w:hAnsi="Times New Roman" w:cs="Times New Roman"/>
              </w:rPr>
              <w:t>Organización de Estados Americanos</w:t>
            </w:r>
          </w:p>
        </w:tc>
        <w:tc>
          <w:tcPr>
            <w:tcW w:w="2000" w:type="dxa"/>
            <w:hideMark/>
          </w:tcPr>
          <w:p w:rsidR="008A6376" w:rsidRPr="00CF04BF" w:rsidRDefault="008A6376" w:rsidP="009972EA">
            <w:pPr>
              <w:pStyle w:val="Default"/>
              <w:spacing w:line="480" w:lineRule="auto"/>
              <w:jc w:val="both"/>
              <w:rPr>
                <w:rFonts w:ascii="Times New Roman" w:hAnsi="Times New Roman" w:cs="Times New Roman"/>
              </w:rPr>
            </w:pPr>
            <w:r w:rsidRPr="00CF04BF">
              <w:rPr>
                <w:rFonts w:ascii="Times New Roman" w:hAnsi="Times New Roman" w:cs="Times New Roman"/>
              </w:rPr>
              <w:t>OEA</w:t>
            </w:r>
          </w:p>
        </w:tc>
      </w:tr>
      <w:tr w:rsidR="008A6376" w:rsidRPr="00CF04BF" w:rsidTr="008A6376">
        <w:tc>
          <w:tcPr>
            <w:tcW w:w="7054" w:type="dxa"/>
            <w:hideMark/>
          </w:tcPr>
          <w:p w:rsidR="008A6376" w:rsidRPr="00CF04BF" w:rsidRDefault="008A6376" w:rsidP="009972EA">
            <w:pPr>
              <w:pStyle w:val="Default"/>
              <w:spacing w:line="480" w:lineRule="auto"/>
              <w:jc w:val="both"/>
              <w:rPr>
                <w:rFonts w:ascii="Times New Roman" w:hAnsi="Times New Roman" w:cs="Times New Roman"/>
              </w:rPr>
            </w:pPr>
            <w:r w:rsidRPr="00CF04BF">
              <w:rPr>
                <w:rFonts w:ascii="Times New Roman" w:hAnsi="Times New Roman" w:cs="Times New Roman"/>
              </w:rPr>
              <w:t xml:space="preserve">Organización de Naciones Unidas </w:t>
            </w:r>
          </w:p>
        </w:tc>
        <w:tc>
          <w:tcPr>
            <w:tcW w:w="2000" w:type="dxa"/>
            <w:hideMark/>
          </w:tcPr>
          <w:p w:rsidR="008A6376" w:rsidRPr="00CF04BF" w:rsidRDefault="008A6376" w:rsidP="009972EA">
            <w:pPr>
              <w:pStyle w:val="Default"/>
              <w:spacing w:line="480" w:lineRule="auto"/>
              <w:jc w:val="both"/>
              <w:rPr>
                <w:rFonts w:ascii="Times New Roman" w:hAnsi="Times New Roman" w:cs="Times New Roman"/>
              </w:rPr>
            </w:pPr>
            <w:r w:rsidRPr="00CF04BF">
              <w:rPr>
                <w:rFonts w:ascii="Times New Roman" w:hAnsi="Times New Roman" w:cs="Times New Roman"/>
              </w:rPr>
              <w:t>ONU</w:t>
            </w:r>
          </w:p>
        </w:tc>
      </w:tr>
      <w:tr w:rsidR="008A6376" w:rsidRPr="00CF04BF" w:rsidTr="008A6376">
        <w:tc>
          <w:tcPr>
            <w:tcW w:w="7054" w:type="dxa"/>
            <w:hideMark/>
          </w:tcPr>
          <w:p w:rsidR="008A6376" w:rsidRPr="00CF04BF" w:rsidRDefault="008A6376" w:rsidP="009972EA">
            <w:pPr>
              <w:pStyle w:val="Default"/>
              <w:spacing w:line="480" w:lineRule="auto"/>
              <w:jc w:val="both"/>
              <w:rPr>
                <w:rFonts w:ascii="Times New Roman" w:hAnsi="Times New Roman" w:cs="Times New Roman"/>
              </w:rPr>
            </w:pPr>
            <w:r w:rsidRPr="00CF04BF">
              <w:rPr>
                <w:rFonts w:ascii="Times New Roman" w:hAnsi="Times New Roman" w:cs="Times New Roman"/>
              </w:rPr>
              <w:t>Organización Mundial de la Salud</w:t>
            </w:r>
          </w:p>
        </w:tc>
        <w:tc>
          <w:tcPr>
            <w:tcW w:w="2000" w:type="dxa"/>
            <w:hideMark/>
          </w:tcPr>
          <w:p w:rsidR="008A6376" w:rsidRPr="00CF04BF" w:rsidRDefault="008A6376" w:rsidP="009972EA">
            <w:pPr>
              <w:pStyle w:val="Default"/>
              <w:spacing w:line="480" w:lineRule="auto"/>
              <w:jc w:val="both"/>
              <w:rPr>
                <w:rFonts w:ascii="Times New Roman" w:hAnsi="Times New Roman" w:cs="Times New Roman"/>
              </w:rPr>
            </w:pPr>
            <w:r w:rsidRPr="00CF04BF">
              <w:rPr>
                <w:rFonts w:ascii="Times New Roman" w:hAnsi="Times New Roman" w:cs="Times New Roman"/>
              </w:rPr>
              <w:t>OMS</w:t>
            </w:r>
          </w:p>
        </w:tc>
      </w:tr>
      <w:tr w:rsidR="008A6376" w:rsidRPr="00CF04BF" w:rsidTr="008A6376">
        <w:tc>
          <w:tcPr>
            <w:tcW w:w="7054" w:type="dxa"/>
            <w:hideMark/>
          </w:tcPr>
          <w:p w:rsidR="008A6376" w:rsidRPr="00CF04BF" w:rsidRDefault="008A6376" w:rsidP="009972EA">
            <w:pPr>
              <w:pStyle w:val="Default"/>
              <w:spacing w:line="480" w:lineRule="auto"/>
              <w:jc w:val="both"/>
              <w:rPr>
                <w:rFonts w:ascii="Times New Roman" w:hAnsi="Times New Roman" w:cs="Times New Roman"/>
              </w:rPr>
            </w:pPr>
            <w:r w:rsidRPr="00CF04BF">
              <w:rPr>
                <w:rFonts w:ascii="Times New Roman" w:hAnsi="Times New Roman" w:cs="Times New Roman"/>
              </w:rPr>
              <w:t>Página (s)</w:t>
            </w:r>
          </w:p>
        </w:tc>
        <w:tc>
          <w:tcPr>
            <w:tcW w:w="2000" w:type="dxa"/>
            <w:hideMark/>
          </w:tcPr>
          <w:p w:rsidR="008A6376" w:rsidRPr="00CF04BF" w:rsidRDefault="008A6376" w:rsidP="009972EA">
            <w:pPr>
              <w:pStyle w:val="Default"/>
              <w:spacing w:line="480" w:lineRule="auto"/>
              <w:jc w:val="both"/>
              <w:rPr>
                <w:rFonts w:ascii="Times New Roman" w:hAnsi="Times New Roman" w:cs="Times New Roman"/>
              </w:rPr>
            </w:pPr>
            <w:r w:rsidRPr="00CF04BF">
              <w:rPr>
                <w:rFonts w:ascii="Times New Roman" w:hAnsi="Times New Roman" w:cs="Times New Roman"/>
              </w:rPr>
              <w:t>pág., págs.</w:t>
            </w:r>
          </w:p>
        </w:tc>
      </w:tr>
      <w:tr w:rsidR="008A6376" w:rsidRPr="00CF04BF" w:rsidTr="008A6376">
        <w:tc>
          <w:tcPr>
            <w:tcW w:w="7054" w:type="dxa"/>
            <w:hideMark/>
          </w:tcPr>
          <w:p w:rsidR="008A6376" w:rsidRPr="00CF04BF" w:rsidRDefault="008A6376" w:rsidP="009972EA">
            <w:pPr>
              <w:pStyle w:val="Default"/>
              <w:spacing w:line="480" w:lineRule="auto"/>
              <w:jc w:val="both"/>
              <w:rPr>
                <w:rFonts w:ascii="Times New Roman" w:hAnsi="Times New Roman" w:cs="Times New Roman"/>
              </w:rPr>
            </w:pPr>
            <w:r w:rsidRPr="00CF04BF">
              <w:rPr>
                <w:rFonts w:ascii="Times New Roman" w:hAnsi="Times New Roman" w:cs="Times New Roman"/>
              </w:rPr>
              <w:t>Párrafo (s)</w:t>
            </w:r>
          </w:p>
        </w:tc>
        <w:tc>
          <w:tcPr>
            <w:tcW w:w="2000" w:type="dxa"/>
            <w:hideMark/>
          </w:tcPr>
          <w:p w:rsidR="008A6376" w:rsidRPr="00CF04BF" w:rsidRDefault="008A6376" w:rsidP="009972EA">
            <w:pPr>
              <w:pStyle w:val="Default"/>
              <w:spacing w:line="480" w:lineRule="auto"/>
              <w:jc w:val="both"/>
              <w:rPr>
                <w:rFonts w:ascii="Times New Roman" w:hAnsi="Times New Roman" w:cs="Times New Roman"/>
              </w:rPr>
            </w:pPr>
            <w:r w:rsidRPr="00CF04BF">
              <w:rPr>
                <w:rFonts w:ascii="Times New Roman" w:hAnsi="Times New Roman" w:cs="Times New Roman"/>
              </w:rPr>
              <w:t>párr., párrs.</w:t>
            </w:r>
          </w:p>
        </w:tc>
      </w:tr>
      <w:tr w:rsidR="008A6376" w:rsidRPr="00CF04BF" w:rsidTr="008A6376">
        <w:tc>
          <w:tcPr>
            <w:tcW w:w="7054" w:type="dxa"/>
            <w:hideMark/>
          </w:tcPr>
          <w:p w:rsidR="008A6376" w:rsidRPr="00CF04BF" w:rsidRDefault="008A6376" w:rsidP="009972EA">
            <w:pPr>
              <w:spacing w:line="480" w:lineRule="auto"/>
              <w:jc w:val="both"/>
              <w:rPr>
                <w:rFonts w:ascii="Times New Roman" w:hAnsi="Times New Roman" w:cs="Times New Roman"/>
                <w:sz w:val="24"/>
                <w:szCs w:val="24"/>
              </w:rPr>
            </w:pPr>
            <w:r w:rsidRPr="00CF04BF">
              <w:rPr>
                <w:rFonts w:ascii="Times New Roman" w:hAnsi="Times New Roman" w:cs="Times New Roman"/>
                <w:sz w:val="24"/>
                <w:szCs w:val="24"/>
              </w:rPr>
              <w:t xml:space="preserve">República Democrática de </w:t>
            </w:r>
            <w:r w:rsidR="00131F4B" w:rsidRPr="00CF04BF">
              <w:rPr>
                <w:rFonts w:ascii="Times New Roman" w:hAnsi="Times New Roman" w:cs="Times New Roman"/>
                <w:sz w:val="24"/>
                <w:szCs w:val="24"/>
              </w:rPr>
              <w:t>Exclutia</w:t>
            </w:r>
          </w:p>
        </w:tc>
        <w:tc>
          <w:tcPr>
            <w:tcW w:w="2000" w:type="dxa"/>
            <w:hideMark/>
          </w:tcPr>
          <w:p w:rsidR="008A6376" w:rsidRPr="00CF04BF" w:rsidRDefault="00131F4B" w:rsidP="009972EA">
            <w:pPr>
              <w:pStyle w:val="Default"/>
              <w:spacing w:line="480" w:lineRule="auto"/>
              <w:jc w:val="both"/>
              <w:rPr>
                <w:rFonts w:ascii="Times New Roman" w:hAnsi="Times New Roman" w:cs="Times New Roman"/>
              </w:rPr>
            </w:pPr>
            <w:r w:rsidRPr="00CF04BF">
              <w:rPr>
                <w:rFonts w:ascii="Times New Roman" w:hAnsi="Times New Roman" w:cs="Times New Roman"/>
              </w:rPr>
              <w:t>E</w:t>
            </w:r>
            <w:r w:rsidR="008A6376" w:rsidRPr="00CF04BF">
              <w:rPr>
                <w:rFonts w:ascii="Times New Roman" w:hAnsi="Times New Roman" w:cs="Times New Roman"/>
              </w:rPr>
              <w:t>, Estado</w:t>
            </w:r>
          </w:p>
        </w:tc>
      </w:tr>
      <w:tr w:rsidR="008A6376" w:rsidRPr="00CF04BF" w:rsidTr="008A6376">
        <w:tc>
          <w:tcPr>
            <w:tcW w:w="7054" w:type="dxa"/>
            <w:hideMark/>
          </w:tcPr>
          <w:p w:rsidR="008A6376" w:rsidRPr="00CF04BF" w:rsidRDefault="008A6376" w:rsidP="009972EA">
            <w:pPr>
              <w:pStyle w:val="Default"/>
              <w:spacing w:line="480" w:lineRule="auto"/>
              <w:jc w:val="both"/>
              <w:rPr>
                <w:rFonts w:ascii="Times New Roman" w:hAnsi="Times New Roman" w:cs="Times New Roman"/>
              </w:rPr>
            </w:pPr>
            <w:r w:rsidRPr="00CF04BF">
              <w:rPr>
                <w:rFonts w:ascii="Times New Roman" w:hAnsi="Times New Roman" w:cs="Times New Roman"/>
              </w:rPr>
              <w:t>Tribunal de Apelaciones de Inclutiarán</w:t>
            </w:r>
          </w:p>
        </w:tc>
        <w:tc>
          <w:tcPr>
            <w:tcW w:w="2000" w:type="dxa"/>
            <w:hideMark/>
          </w:tcPr>
          <w:p w:rsidR="008A6376" w:rsidRPr="00CF04BF" w:rsidRDefault="008A6376" w:rsidP="009972EA">
            <w:pPr>
              <w:pStyle w:val="Default"/>
              <w:spacing w:line="480" w:lineRule="auto"/>
              <w:jc w:val="both"/>
              <w:rPr>
                <w:rFonts w:ascii="Times New Roman" w:hAnsi="Times New Roman" w:cs="Times New Roman"/>
              </w:rPr>
            </w:pPr>
            <w:r w:rsidRPr="00CF04BF">
              <w:rPr>
                <w:rFonts w:ascii="Times New Roman" w:hAnsi="Times New Roman" w:cs="Times New Roman"/>
              </w:rPr>
              <w:t>T.A.I.</w:t>
            </w:r>
          </w:p>
        </w:tc>
      </w:tr>
      <w:tr w:rsidR="008A6376" w:rsidRPr="00CF04BF" w:rsidTr="008A6376">
        <w:tc>
          <w:tcPr>
            <w:tcW w:w="7054" w:type="dxa"/>
            <w:hideMark/>
          </w:tcPr>
          <w:p w:rsidR="008A6376" w:rsidRPr="00CF04BF" w:rsidRDefault="008A6376" w:rsidP="009972EA">
            <w:pPr>
              <w:pStyle w:val="Default"/>
              <w:spacing w:line="480" w:lineRule="auto"/>
              <w:jc w:val="both"/>
              <w:rPr>
                <w:rFonts w:ascii="Times New Roman" w:hAnsi="Times New Roman" w:cs="Times New Roman"/>
              </w:rPr>
            </w:pPr>
            <w:r w:rsidRPr="00CF04BF">
              <w:rPr>
                <w:rFonts w:ascii="Times New Roman" w:hAnsi="Times New Roman" w:cs="Times New Roman"/>
              </w:rPr>
              <w:t>Tribunal Europeo de Derechos Humanos</w:t>
            </w:r>
          </w:p>
        </w:tc>
        <w:tc>
          <w:tcPr>
            <w:tcW w:w="2000" w:type="dxa"/>
            <w:hideMark/>
          </w:tcPr>
          <w:p w:rsidR="008A6376" w:rsidRPr="00CF04BF" w:rsidRDefault="008A6376" w:rsidP="009972EA">
            <w:pPr>
              <w:pStyle w:val="Default"/>
              <w:spacing w:line="480" w:lineRule="auto"/>
              <w:jc w:val="both"/>
              <w:rPr>
                <w:rFonts w:ascii="Times New Roman" w:hAnsi="Times New Roman" w:cs="Times New Roman"/>
              </w:rPr>
            </w:pPr>
            <w:r w:rsidRPr="00CF04BF">
              <w:rPr>
                <w:rFonts w:ascii="Times New Roman" w:hAnsi="Times New Roman" w:cs="Times New Roman"/>
              </w:rPr>
              <w:t>TEDH</w:t>
            </w:r>
          </w:p>
        </w:tc>
      </w:tr>
    </w:tbl>
    <w:p w:rsidR="00FE0A54" w:rsidRPr="00CF04BF" w:rsidRDefault="00FE0A54" w:rsidP="009972EA">
      <w:pPr>
        <w:tabs>
          <w:tab w:val="left" w:leader="hyphen" w:pos="9214"/>
          <w:tab w:val="left" w:leader="hyphen" w:pos="9356"/>
          <w:tab w:val="left" w:leader="hyphen" w:pos="11340"/>
          <w:tab w:val="left" w:leader="hyphen" w:pos="14175"/>
        </w:tabs>
        <w:spacing w:after="0" w:line="480" w:lineRule="auto"/>
        <w:jc w:val="both"/>
        <w:rPr>
          <w:rFonts w:ascii="Times New Roman" w:hAnsi="Times New Roman" w:cs="Times New Roman"/>
          <w:b/>
          <w:sz w:val="24"/>
          <w:szCs w:val="24"/>
        </w:rPr>
      </w:pPr>
      <w:r w:rsidRPr="00CF04BF">
        <w:rPr>
          <w:rFonts w:ascii="Times New Roman" w:hAnsi="Times New Roman" w:cs="Times New Roman"/>
          <w:b/>
          <w:sz w:val="24"/>
          <w:szCs w:val="24"/>
        </w:rPr>
        <w:lastRenderedPageBreak/>
        <w:t>ÍNDICE.</w:t>
      </w:r>
    </w:p>
    <w:p w:rsidR="006802DD" w:rsidRPr="00CF04BF" w:rsidRDefault="00131F4B" w:rsidP="009972EA">
      <w:pPr>
        <w:tabs>
          <w:tab w:val="left" w:leader="hyphen" w:pos="9214"/>
          <w:tab w:val="left" w:leader="hyphen" w:pos="9356"/>
          <w:tab w:val="left" w:leader="hyphen" w:pos="11340"/>
          <w:tab w:val="left" w:leader="hyphen" w:pos="14175"/>
        </w:tabs>
        <w:spacing w:after="0" w:line="480" w:lineRule="auto"/>
        <w:jc w:val="both"/>
        <w:rPr>
          <w:rFonts w:ascii="Times New Roman" w:hAnsi="Times New Roman" w:cs="Times New Roman"/>
          <w:sz w:val="24"/>
          <w:szCs w:val="24"/>
        </w:rPr>
      </w:pPr>
      <w:r w:rsidRPr="00CF04BF">
        <w:rPr>
          <w:rFonts w:ascii="Times New Roman" w:hAnsi="Times New Roman" w:cs="Times New Roman"/>
          <w:sz w:val="24"/>
          <w:szCs w:val="24"/>
        </w:rPr>
        <w:t>PORTADA</w:t>
      </w:r>
      <w:r w:rsidR="00304C82" w:rsidRPr="00CF04BF">
        <w:rPr>
          <w:rFonts w:ascii="Times New Roman" w:hAnsi="Times New Roman" w:cs="Times New Roman"/>
          <w:sz w:val="24"/>
          <w:szCs w:val="24"/>
        </w:rPr>
        <w:tab/>
      </w:r>
      <w:r w:rsidR="0035031F" w:rsidRPr="00CF04BF">
        <w:rPr>
          <w:rFonts w:ascii="Times New Roman" w:hAnsi="Times New Roman" w:cs="Times New Roman"/>
          <w:sz w:val="24"/>
          <w:szCs w:val="24"/>
        </w:rPr>
        <w:t>1</w:t>
      </w:r>
    </w:p>
    <w:p w:rsidR="008A6376" w:rsidRPr="00CF04BF" w:rsidRDefault="007B7C91" w:rsidP="009972EA">
      <w:pPr>
        <w:tabs>
          <w:tab w:val="left" w:leader="hyphen" w:pos="9214"/>
          <w:tab w:val="left" w:leader="hyphen" w:pos="11340"/>
          <w:tab w:val="left" w:leader="hyphen" w:pos="14175"/>
          <w:tab w:val="left" w:leader="hyphen" w:pos="14459"/>
        </w:tabs>
        <w:spacing w:after="0" w:line="480" w:lineRule="auto"/>
        <w:jc w:val="both"/>
        <w:rPr>
          <w:rFonts w:ascii="Times New Roman" w:hAnsi="Times New Roman" w:cs="Times New Roman"/>
          <w:sz w:val="24"/>
          <w:szCs w:val="24"/>
        </w:rPr>
      </w:pPr>
      <w:r w:rsidRPr="00CF04BF">
        <w:rPr>
          <w:rFonts w:ascii="Times New Roman" w:hAnsi="Times New Roman" w:cs="Times New Roman"/>
          <w:sz w:val="24"/>
          <w:szCs w:val="24"/>
        </w:rPr>
        <w:t xml:space="preserve">TABLA DE </w:t>
      </w:r>
      <w:r w:rsidR="00131F4B" w:rsidRPr="00CF04BF">
        <w:rPr>
          <w:rFonts w:ascii="Times New Roman" w:hAnsi="Times New Roman" w:cs="Times New Roman"/>
          <w:sz w:val="24"/>
          <w:szCs w:val="24"/>
        </w:rPr>
        <w:t>ABREVIATURAS</w:t>
      </w:r>
      <w:r w:rsidR="00304C82" w:rsidRPr="00CF04BF">
        <w:rPr>
          <w:rFonts w:ascii="Times New Roman" w:hAnsi="Times New Roman" w:cs="Times New Roman"/>
          <w:sz w:val="24"/>
          <w:szCs w:val="24"/>
        </w:rPr>
        <w:tab/>
      </w:r>
      <w:r w:rsidR="0035031F" w:rsidRPr="00CF04BF">
        <w:rPr>
          <w:rFonts w:ascii="Times New Roman" w:hAnsi="Times New Roman" w:cs="Times New Roman"/>
          <w:sz w:val="24"/>
          <w:szCs w:val="24"/>
        </w:rPr>
        <w:t>2</w:t>
      </w:r>
    </w:p>
    <w:p w:rsidR="008A6376" w:rsidRPr="00CF04BF" w:rsidRDefault="00131F4B" w:rsidP="009972EA">
      <w:pPr>
        <w:tabs>
          <w:tab w:val="left" w:leader="hyphen" w:pos="9214"/>
          <w:tab w:val="left" w:leader="hyphen" w:pos="9299"/>
          <w:tab w:val="left" w:leader="hyphen" w:pos="9356"/>
          <w:tab w:val="left" w:leader="hyphen" w:pos="11340"/>
          <w:tab w:val="left" w:leader="hyphen" w:pos="14175"/>
          <w:tab w:val="left" w:leader="hyphen" w:pos="14459"/>
        </w:tabs>
        <w:spacing w:after="0" w:line="480" w:lineRule="auto"/>
        <w:jc w:val="both"/>
        <w:rPr>
          <w:rFonts w:ascii="Times New Roman" w:hAnsi="Times New Roman" w:cs="Times New Roman"/>
          <w:sz w:val="24"/>
          <w:szCs w:val="24"/>
        </w:rPr>
      </w:pPr>
      <w:r w:rsidRPr="00CF04BF">
        <w:rPr>
          <w:rFonts w:ascii="Times New Roman" w:hAnsi="Times New Roman" w:cs="Times New Roman"/>
          <w:sz w:val="24"/>
          <w:szCs w:val="24"/>
        </w:rPr>
        <w:t>ÍNDICE</w:t>
      </w:r>
      <w:r w:rsidR="0035031F" w:rsidRPr="00CF04BF">
        <w:rPr>
          <w:rFonts w:ascii="Times New Roman" w:hAnsi="Times New Roman" w:cs="Times New Roman"/>
          <w:sz w:val="24"/>
          <w:szCs w:val="24"/>
        </w:rPr>
        <w:tab/>
        <w:t>3</w:t>
      </w:r>
    </w:p>
    <w:p w:rsidR="008A6376" w:rsidRPr="00CF04BF" w:rsidRDefault="00131F4B" w:rsidP="009972EA">
      <w:pPr>
        <w:tabs>
          <w:tab w:val="left" w:leader="hyphen" w:pos="9214"/>
          <w:tab w:val="left" w:leader="hyphen" w:pos="9356"/>
          <w:tab w:val="left" w:leader="hyphen" w:pos="11340"/>
          <w:tab w:val="left" w:leader="hyphen" w:pos="14175"/>
          <w:tab w:val="left" w:leader="hyphen" w:pos="14459"/>
        </w:tabs>
        <w:spacing w:after="0" w:line="480" w:lineRule="auto"/>
        <w:jc w:val="both"/>
        <w:rPr>
          <w:rFonts w:ascii="Times New Roman" w:hAnsi="Times New Roman" w:cs="Times New Roman"/>
          <w:sz w:val="24"/>
          <w:szCs w:val="24"/>
        </w:rPr>
      </w:pPr>
      <w:r w:rsidRPr="00CF04BF">
        <w:rPr>
          <w:rFonts w:ascii="Times New Roman" w:hAnsi="Times New Roman" w:cs="Times New Roman"/>
          <w:sz w:val="24"/>
          <w:szCs w:val="24"/>
        </w:rPr>
        <w:t>BIBLIOGRAFÍA</w:t>
      </w:r>
      <w:r w:rsidR="0035031F" w:rsidRPr="00CF04BF">
        <w:rPr>
          <w:rFonts w:ascii="Times New Roman" w:hAnsi="Times New Roman" w:cs="Times New Roman"/>
          <w:sz w:val="24"/>
          <w:szCs w:val="24"/>
        </w:rPr>
        <w:tab/>
        <w:t>3</w:t>
      </w:r>
    </w:p>
    <w:p w:rsidR="00131F4B" w:rsidRPr="00CF04BF" w:rsidRDefault="00A970EC" w:rsidP="009972EA">
      <w:pPr>
        <w:tabs>
          <w:tab w:val="left" w:leader="hyphen" w:pos="9072"/>
          <w:tab w:val="left" w:leader="hyphen" w:pos="9214"/>
          <w:tab w:val="left" w:leader="hyphen" w:pos="11340"/>
          <w:tab w:val="left" w:leader="hyphen" w:pos="14175"/>
          <w:tab w:val="left" w:leader="hyphen" w:pos="14459"/>
        </w:tabs>
        <w:spacing w:after="0" w:line="480" w:lineRule="auto"/>
        <w:jc w:val="both"/>
        <w:rPr>
          <w:rFonts w:ascii="Times New Roman" w:hAnsi="Times New Roman" w:cs="Times New Roman"/>
          <w:sz w:val="24"/>
          <w:szCs w:val="24"/>
        </w:rPr>
      </w:pPr>
      <w:r w:rsidRPr="00CF04BF">
        <w:rPr>
          <w:rFonts w:ascii="Times New Roman" w:hAnsi="Times New Roman" w:cs="Times New Roman"/>
          <w:sz w:val="24"/>
          <w:szCs w:val="24"/>
        </w:rPr>
        <w:t>1. Ex</w:t>
      </w:r>
      <w:r w:rsidR="00F5213E" w:rsidRPr="00CF04BF">
        <w:rPr>
          <w:rFonts w:ascii="Times New Roman" w:hAnsi="Times New Roman" w:cs="Times New Roman"/>
          <w:sz w:val="24"/>
          <w:szCs w:val="24"/>
        </w:rPr>
        <w:t>posición de los Hechos del Caso.</w:t>
      </w:r>
      <w:r w:rsidR="00304C82" w:rsidRPr="00CF04BF">
        <w:rPr>
          <w:rFonts w:ascii="Times New Roman" w:hAnsi="Times New Roman" w:cs="Times New Roman"/>
          <w:sz w:val="24"/>
          <w:szCs w:val="24"/>
        </w:rPr>
        <w:tab/>
      </w:r>
      <w:r w:rsidR="0035031F" w:rsidRPr="00CF04BF">
        <w:rPr>
          <w:rFonts w:ascii="Times New Roman" w:hAnsi="Times New Roman" w:cs="Times New Roman"/>
          <w:sz w:val="24"/>
          <w:szCs w:val="24"/>
        </w:rPr>
        <w:t>11</w:t>
      </w:r>
    </w:p>
    <w:p w:rsidR="00131F4B" w:rsidRPr="00CF04BF" w:rsidRDefault="00F5213E" w:rsidP="009972EA">
      <w:pPr>
        <w:tabs>
          <w:tab w:val="left" w:leader="hyphen" w:pos="9072"/>
          <w:tab w:val="left" w:leader="hyphen" w:pos="9214"/>
          <w:tab w:val="left" w:leader="hyphen" w:pos="9356"/>
          <w:tab w:val="left" w:leader="hyphen" w:pos="11340"/>
          <w:tab w:val="left" w:leader="hyphen" w:pos="14175"/>
          <w:tab w:val="left" w:leader="hyphen" w:pos="14459"/>
        </w:tabs>
        <w:spacing w:after="0" w:line="480" w:lineRule="auto"/>
        <w:jc w:val="both"/>
        <w:rPr>
          <w:rFonts w:ascii="Times New Roman" w:hAnsi="Times New Roman" w:cs="Times New Roman"/>
          <w:sz w:val="24"/>
          <w:szCs w:val="24"/>
        </w:rPr>
      </w:pPr>
      <w:r w:rsidRPr="00CF04BF">
        <w:rPr>
          <w:rFonts w:ascii="Times New Roman" w:hAnsi="Times New Roman" w:cs="Times New Roman"/>
          <w:sz w:val="24"/>
          <w:szCs w:val="24"/>
        </w:rPr>
        <w:t>2. Análisis Legal del Caso.</w:t>
      </w:r>
      <w:r w:rsidR="00304C82" w:rsidRPr="00CF04BF">
        <w:rPr>
          <w:rFonts w:ascii="Times New Roman" w:hAnsi="Times New Roman" w:cs="Times New Roman"/>
          <w:sz w:val="24"/>
          <w:szCs w:val="24"/>
        </w:rPr>
        <w:tab/>
      </w:r>
      <w:r w:rsidR="0035031F" w:rsidRPr="00CF04BF">
        <w:rPr>
          <w:rFonts w:ascii="Times New Roman" w:hAnsi="Times New Roman" w:cs="Times New Roman"/>
          <w:sz w:val="24"/>
          <w:szCs w:val="24"/>
        </w:rPr>
        <w:t>12</w:t>
      </w:r>
    </w:p>
    <w:p w:rsidR="008A6376" w:rsidRPr="00CF04BF" w:rsidRDefault="00A970EC" w:rsidP="009972EA">
      <w:pPr>
        <w:tabs>
          <w:tab w:val="left" w:leader="hyphen" w:pos="9072"/>
          <w:tab w:val="left" w:leader="hyphen" w:pos="9214"/>
          <w:tab w:val="left" w:leader="hyphen" w:pos="9356"/>
          <w:tab w:val="left" w:leader="hyphen" w:pos="11340"/>
          <w:tab w:val="left" w:leader="hyphen" w:pos="14175"/>
          <w:tab w:val="left" w:leader="hyphen" w:pos="14459"/>
        </w:tabs>
        <w:spacing w:after="0" w:line="480" w:lineRule="auto"/>
        <w:jc w:val="both"/>
        <w:rPr>
          <w:rFonts w:ascii="Times New Roman" w:hAnsi="Times New Roman" w:cs="Times New Roman"/>
          <w:sz w:val="24"/>
          <w:szCs w:val="24"/>
        </w:rPr>
      </w:pPr>
      <w:r w:rsidRPr="00CF04BF">
        <w:rPr>
          <w:rFonts w:ascii="Times New Roman" w:hAnsi="Times New Roman" w:cs="Times New Roman"/>
          <w:sz w:val="24"/>
          <w:szCs w:val="24"/>
        </w:rPr>
        <w:t>2.1. Excepción Preliminar</w:t>
      </w:r>
      <w:r w:rsidR="00F5213E" w:rsidRPr="00CF04BF">
        <w:rPr>
          <w:rFonts w:ascii="Times New Roman" w:hAnsi="Times New Roman" w:cs="Times New Roman"/>
          <w:sz w:val="24"/>
          <w:szCs w:val="24"/>
        </w:rPr>
        <w:t>.</w:t>
      </w:r>
      <w:r w:rsidR="00304C82" w:rsidRPr="00CF04BF">
        <w:rPr>
          <w:rFonts w:ascii="Times New Roman" w:hAnsi="Times New Roman" w:cs="Times New Roman"/>
          <w:sz w:val="24"/>
          <w:szCs w:val="24"/>
        </w:rPr>
        <w:tab/>
      </w:r>
      <w:r w:rsidR="0035031F" w:rsidRPr="00CF04BF">
        <w:rPr>
          <w:rFonts w:ascii="Times New Roman" w:hAnsi="Times New Roman" w:cs="Times New Roman"/>
          <w:sz w:val="24"/>
          <w:szCs w:val="24"/>
        </w:rPr>
        <w:t>12</w:t>
      </w:r>
    </w:p>
    <w:p w:rsidR="006F3ED2" w:rsidRPr="00CF04BF" w:rsidRDefault="006F3ED2" w:rsidP="009972EA">
      <w:pPr>
        <w:tabs>
          <w:tab w:val="left" w:leader="hyphen" w:pos="9072"/>
          <w:tab w:val="left" w:leader="hyphen" w:pos="9299"/>
          <w:tab w:val="left" w:leader="hyphen" w:pos="9356"/>
          <w:tab w:val="left" w:leader="hyphen" w:pos="11340"/>
          <w:tab w:val="left" w:leader="hyphen" w:pos="14175"/>
          <w:tab w:val="left" w:leader="hyphen" w:pos="14459"/>
        </w:tabs>
        <w:spacing w:after="0" w:line="480" w:lineRule="auto"/>
        <w:jc w:val="both"/>
        <w:rPr>
          <w:rFonts w:ascii="Times New Roman" w:hAnsi="Times New Roman" w:cs="Times New Roman"/>
          <w:sz w:val="24"/>
          <w:szCs w:val="24"/>
        </w:rPr>
      </w:pPr>
      <w:r w:rsidRPr="00CF04BF">
        <w:rPr>
          <w:rFonts w:ascii="Times New Roman" w:hAnsi="Times New Roman" w:cs="Times New Roman"/>
          <w:sz w:val="24"/>
          <w:szCs w:val="24"/>
        </w:rPr>
        <w:t>2.2 Medidas Provisionales</w:t>
      </w:r>
      <w:r w:rsidR="00F5213E" w:rsidRPr="00CF04BF">
        <w:rPr>
          <w:rFonts w:ascii="Times New Roman" w:hAnsi="Times New Roman" w:cs="Times New Roman"/>
          <w:sz w:val="24"/>
          <w:szCs w:val="24"/>
        </w:rPr>
        <w:t>.</w:t>
      </w:r>
      <w:r w:rsidR="00304C82" w:rsidRPr="00CF04BF">
        <w:rPr>
          <w:rFonts w:ascii="Times New Roman" w:hAnsi="Times New Roman" w:cs="Times New Roman"/>
          <w:sz w:val="24"/>
          <w:szCs w:val="24"/>
        </w:rPr>
        <w:tab/>
      </w:r>
      <w:r w:rsidR="0035031F" w:rsidRPr="00CF04BF">
        <w:rPr>
          <w:rFonts w:ascii="Times New Roman" w:hAnsi="Times New Roman" w:cs="Times New Roman"/>
          <w:sz w:val="24"/>
          <w:szCs w:val="24"/>
        </w:rPr>
        <w:t>13</w:t>
      </w:r>
    </w:p>
    <w:p w:rsidR="00131F4B" w:rsidRPr="00CF04BF" w:rsidRDefault="00A970EC" w:rsidP="009972EA">
      <w:pPr>
        <w:tabs>
          <w:tab w:val="left" w:leader="hyphen" w:pos="9072"/>
          <w:tab w:val="left" w:leader="hyphen" w:pos="9356"/>
          <w:tab w:val="left" w:leader="hyphen" w:pos="11340"/>
          <w:tab w:val="left" w:leader="hyphen" w:pos="14175"/>
          <w:tab w:val="left" w:leader="hyphen" w:pos="14459"/>
        </w:tabs>
        <w:spacing w:after="0" w:line="480" w:lineRule="auto"/>
        <w:jc w:val="both"/>
        <w:rPr>
          <w:rFonts w:ascii="Times New Roman" w:hAnsi="Times New Roman" w:cs="Times New Roman"/>
          <w:sz w:val="24"/>
          <w:szCs w:val="24"/>
          <w:lang w:val="es-ES"/>
        </w:rPr>
      </w:pPr>
      <w:r w:rsidRPr="00CF04BF">
        <w:rPr>
          <w:rFonts w:ascii="Times New Roman" w:hAnsi="Times New Roman" w:cs="Times New Roman"/>
          <w:sz w:val="24"/>
          <w:szCs w:val="24"/>
          <w:lang w:val="es-ES"/>
        </w:rPr>
        <w:t>2.</w:t>
      </w:r>
      <w:r w:rsidR="006F3ED2" w:rsidRPr="00CF04BF">
        <w:rPr>
          <w:rFonts w:ascii="Times New Roman" w:hAnsi="Times New Roman" w:cs="Times New Roman"/>
          <w:sz w:val="24"/>
          <w:szCs w:val="24"/>
          <w:lang w:val="es-ES"/>
        </w:rPr>
        <w:t>3</w:t>
      </w:r>
      <w:r w:rsidRPr="00CF04BF">
        <w:rPr>
          <w:rFonts w:ascii="Times New Roman" w:hAnsi="Times New Roman" w:cs="Times New Roman"/>
          <w:sz w:val="24"/>
          <w:szCs w:val="24"/>
          <w:lang w:val="es-ES"/>
        </w:rPr>
        <w:t>.  Cuestiones de Fondo y Análisis de Asuntos Legales.</w:t>
      </w:r>
      <w:r w:rsidR="00304C82" w:rsidRPr="00CF04BF">
        <w:rPr>
          <w:rFonts w:ascii="Times New Roman" w:hAnsi="Times New Roman" w:cs="Times New Roman"/>
          <w:sz w:val="24"/>
          <w:szCs w:val="24"/>
          <w:lang w:val="es-ES"/>
        </w:rPr>
        <w:tab/>
      </w:r>
      <w:r w:rsidR="0035031F" w:rsidRPr="00CF04BF">
        <w:rPr>
          <w:rFonts w:ascii="Times New Roman" w:hAnsi="Times New Roman" w:cs="Times New Roman"/>
          <w:sz w:val="24"/>
          <w:szCs w:val="24"/>
          <w:lang w:val="es-ES"/>
        </w:rPr>
        <w:t>15</w:t>
      </w:r>
    </w:p>
    <w:p w:rsidR="00131F4B" w:rsidRPr="00CF04BF" w:rsidRDefault="006F3ED2" w:rsidP="009972EA">
      <w:pPr>
        <w:tabs>
          <w:tab w:val="left" w:leader="hyphen" w:pos="9072"/>
          <w:tab w:val="left" w:leader="hyphen" w:pos="9214"/>
          <w:tab w:val="left" w:leader="hyphen" w:pos="11340"/>
          <w:tab w:val="left" w:leader="hyphen" w:pos="14175"/>
          <w:tab w:val="left" w:leader="hyphen" w:pos="14459"/>
        </w:tabs>
        <w:spacing w:after="0" w:line="480" w:lineRule="auto"/>
        <w:jc w:val="both"/>
        <w:rPr>
          <w:rFonts w:ascii="Times New Roman" w:hAnsi="Times New Roman" w:cs="Times New Roman"/>
          <w:sz w:val="24"/>
          <w:szCs w:val="24"/>
          <w:lang w:val="es-ES"/>
        </w:rPr>
      </w:pPr>
      <w:r w:rsidRPr="00CF04BF">
        <w:rPr>
          <w:rFonts w:ascii="Times New Roman" w:hAnsi="Times New Roman" w:cs="Times New Roman"/>
          <w:sz w:val="24"/>
          <w:szCs w:val="24"/>
          <w:lang w:val="es-ES"/>
        </w:rPr>
        <w:t>2.3</w:t>
      </w:r>
      <w:r w:rsidR="00131F4B" w:rsidRPr="00CF04BF">
        <w:rPr>
          <w:rFonts w:ascii="Times New Roman" w:hAnsi="Times New Roman" w:cs="Times New Roman"/>
          <w:sz w:val="24"/>
          <w:szCs w:val="24"/>
          <w:lang w:val="es-ES"/>
        </w:rPr>
        <w:t>.1. E</w:t>
      </w:r>
      <w:r w:rsidRPr="00CF04BF">
        <w:rPr>
          <w:rFonts w:ascii="Times New Roman" w:hAnsi="Times New Roman" w:cs="Times New Roman"/>
          <w:sz w:val="24"/>
          <w:szCs w:val="24"/>
          <w:lang w:val="es-ES"/>
        </w:rPr>
        <w:t>xclutia</w:t>
      </w:r>
      <w:r w:rsidR="00286EFD" w:rsidRPr="00CF04BF">
        <w:rPr>
          <w:rFonts w:ascii="Times New Roman" w:hAnsi="Times New Roman" w:cs="Times New Roman"/>
          <w:sz w:val="24"/>
          <w:szCs w:val="24"/>
          <w:lang w:val="es-ES"/>
        </w:rPr>
        <w:t xml:space="preserve"> respetó el Art. 3 </w:t>
      </w:r>
      <w:r w:rsidR="00131F4B" w:rsidRPr="00CF04BF">
        <w:rPr>
          <w:rFonts w:ascii="Times New Roman" w:hAnsi="Times New Roman" w:cs="Times New Roman"/>
          <w:sz w:val="24"/>
          <w:szCs w:val="24"/>
          <w:lang w:val="es-ES"/>
        </w:rPr>
        <w:t xml:space="preserve">en relación con los Arts. 1.1 y 2 </w:t>
      </w:r>
      <w:r w:rsidR="00286EFD" w:rsidRPr="00CF04BF">
        <w:rPr>
          <w:rFonts w:ascii="Times New Roman" w:hAnsi="Times New Roman" w:cs="Times New Roman"/>
          <w:sz w:val="24"/>
          <w:szCs w:val="24"/>
          <w:lang w:val="es-ES"/>
        </w:rPr>
        <w:t>de la CADH.</w:t>
      </w:r>
      <w:r w:rsidR="00304C82" w:rsidRPr="00CF04BF">
        <w:rPr>
          <w:rFonts w:ascii="Times New Roman" w:hAnsi="Times New Roman" w:cs="Times New Roman"/>
          <w:sz w:val="24"/>
          <w:szCs w:val="24"/>
          <w:lang w:val="es-ES"/>
        </w:rPr>
        <w:tab/>
      </w:r>
      <w:r w:rsidR="0035031F" w:rsidRPr="00CF04BF">
        <w:rPr>
          <w:rFonts w:ascii="Times New Roman" w:hAnsi="Times New Roman" w:cs="Times New Roman"/>
          <w:sz w:val="24"/>
          <w:szCs w:val="24"/>
          <w:lang w:val="es-ES"/>
        </w:rPr>
        <w:t>15</w:t>
      </w:r>
    </w:p>
    <w:p w:rsidR="00A970EC" w:rsidRPr="00CF04BF" w:rsidRDefault="006F3ED2" w:rsidP="009972EA">
      <w:pPr>
        <w:tabs>
          <w:tab w:val="left" w:leader="hyphen" w:pos="9072"/>
          <w:tab w:val="left" w:leader="hyphen" w:pos="9299"/>
          <w:tab w:val="left" w:leader="hyphen" w:pos="9356"/>
          <w:tab w:val="left" w:leader="hyphen" w:pos="11340"/>
          <w:tab w:val="left" w:leader="hyphen" w:pos="14175"/>
          <w:tab w:val="left" w:leader="hyphen" w:pos="14459"/>
        </w:tabs>
        <w:spacing w:after="0" w:line="480" w:lineRule="auto"/>
        <w:jc w:val="both"/>
        <w:rPr>
          <w:rFonts w:ascii="Times New Roman" w:hAnsi="Times New Roman" w:cs="Times New Roman"/>
          <w:color w:val="000000" w:themeColor="text1"/>
          <w:sz w:val="24"/>
          <w:szCs w:val="24"/>
        </w:rPr>
      </w:pPr>
      <w:r w:rsidRPr="00CF04BF">
        <w:rPr>
          <w:rFonts w:ascii="Times New Roman" w:hAnsi="Times New Roman" w:cs="Times New Roman"/>
          <w:color w:val="000000" w:themeColor="text1"/>
          <w:sz w:val="24"/>
          <w:szCs w:val="24"/>
        </w:rPr>
        <w:t>2.3</w:t>
      </w:r>
      <w:r w:rsidR="00A970EC" w:rsidRPr="00CF04BF">
        <w:rPr>
          <w:rFonts w:ascii="Times New Roman" w:hAnsi="Times New Roman" w:cs="Times New Roman"/>
          <w:color w:val="000000" w:themeColor="text1"/>
          <w:sz w:val="24"/>
          <w:szCs w:val="24"/>
        </w:rPr>
        <w:t>.1.1. E</w:t>
      </w:r>
      <w:r w:rsidRPr="00CF04BF">
        <w:rPr>
          <w:rFonts w:ascii="Times New Roman" w:hAnsi="Times New Roman" w:cs="Times New Roman"/>
          <w:color w:val="000000" w:themeColor="text1"/>
          <w:sz w:val="24"/>
          <w:szCs w:val="24"/>
        </w:rPr>
        <w:t>xclutia</w:t>
      </w:r>
      <w:r w:rsidR="00A970EC" w:rsidRPr="00CF04BF">
        <w:rPr>
          <w:rFonts w:ascii="Times New Roman" w:hAnsi="Times New Roman" w:cs="Times New Roman"/>
          <w:color w:val="000000" w:themeColor="text1"/>
          <w:sz w:val="24"/>
          <w:szCs w:val="24"/>
        </w:rPr>
        <w:t xml:space="preserve"> respetó el Art. 24 </w:t>
      </w:r>
      <w:r w:rsidR="00286EFD" w:rsidRPr="00CF04BF">
        <w:rPr>
          <w:rFonts w:ascii="Times New Roman" w:hAnsi="Times New Roman" w:cs="Times New Roman"/>
          <w:color w:val="000000" w:themeColor="text1"/>
          <w:sz w:val="24"/>
          <w:szCs w:val="24"/>
        </w:rPr>
        <w:t xml:space="preserve">en relación con el Art. 3 </w:t>
      </w:r>
      <w:r w:rsidR="00A970EC" w:rsidRPr="00CF04BF">
        <w:rPr>
          <w:rFonts w:ascii="Times New Roman" w:hAnsi="Times New Roman" w:cs="Times New Roman"/>
          <w:color w:val="000000" w:themeColor="text1"/>
          <w:sz w:val="24"/>
          <w:szCs w:val="24"/>
        </w:rPr>
        <w:t>de la CADH.</w:t>
      </w:r>
      <w:r w:rsidR="00304C82" w:rsidRPr="00CF04BF">
        <w:rPr>
          <w:rFonts w:ascii="Times New Roman" w:hAnsi="Times New Roman" w:cs="Times New Roman"/>
          <w:color w:val="000000" w:themeColor="text1"/>
          <w:sz w:val="24"/>
          <w:szCs w:val="24"/>
        </w:rPr>
        <w:tab/>
      </w:r>
      <w:r w:rsidR="0035031F" w:rsidRPr="00CF04BF">
        <w:rPr>
          <w:rFonts w:ascii="Times New Roman" w:hAnsi="Times New Roman" w:cs="Times New Roman"/>
          <w:color w:val="000000" w:themeColor="text1"/>
          <w:sz w:val="24"/>
          <w:szCs w:val="24"/>
        </w:rPr>
        <w:t>19</w:t>
      </w:r>
    </w:p>
    <w:p w:rsidR="00131F4B" w:rsidRPr="00CF04BF" w:rsidRDefault="006F3ED2" w:rsidP="009972EA">
      <w:pPr>
        <w:tabs>
          <w:tab w:val="left" w:leader="hyphen" w:pos="9072"/>
          <w:tab w:val="left" w:leader="hyphen" w:pos="9356"/>
          <w:tab w:val="left" w:leader="hyphen" w:pos="11340"/>
          <w:tab w:val="left" w:leader="hyphen" w:pos="14175"/>
          <w:tab w:val="left" w:leader="hyphen" w:pos="14459"/>
        </w:tabs>
        <w:spacing w:after="0" w:line="480" w:lineRule="auto"/>
        <w:jc w:val="both"/>
        <w:rPr>
          <w:rFonts w:ascii="Times New Roman" w:hAnsi="Times New Roman" w:cs="Times New Roman"/>
          <w:sz w:val="24"/>
          <w:szCs w:val="24"/>
        </w:rPr>
      </w:pPr>
      <w:r w:rsidRPr="00CF04BF">
        <w:rPr>
          <w:rFonts w:ascii="Times New Roman" w:hAnsi="Times New Roman" w:cs="Times New Roman"/>
          <w:sz w:val="24"/>
          <w:szCs w:val="24"/>
        </w:rPr>
        <w:t>2.3</w:t>
      </w:r>
      <w:r w:rsidR="00131F4B" w:rsidRPr="00CF04BF">
        <w:rPr>
          <w:rFonts w:ascii="Times New Roman" w:hAnsi="Times New Roman" w:cs="Times New Roman"/>
          <w:sz w:val="24"/>
          <w:szCs w:val="24"/>
        </w:rPr>
        <w:t>.2. E</w:t>
      </w:r>
      <w:r w:rsidRPr="00CF04BF">
        <w:rPr>
          <w:rFonts w:ascii="Times New Roman" w:hAnsi="Times New Roman" w:cs="Times New Roman"/>
          <w:sz w:val="24"/>
          <w:szCs w:val="24"/>
        </w:rPr>
        <w:t>xclutia</w:t>
      </w:r>
      <w:r w:rsidR="0035031F" w:rsidRPr="00CF04BF">
        <w:rPr>
          <w:rFonts w:ascii="Times New Roman" w:hAnsi="Times New Roman" w:cs="Times New Roman"/>
          <w:sz w:val="24"/>
          <w:szCs w:val="24"/>
        </w:rPr>
        <w:t xml:space="preserve"> respetó </w:t>
      </w:r>
      <w:r w:rsidR="00131F4B" w:rsidRPr="00CF04BF">
        <w:rPr>
          <w:rFonts w:ascii="Times New Roman" w:hAnsi="Times New Roman" w:cs="Times New Roman"/>
          <w:sz w:val="24"/>
          <w:szCs w:val="24"/>
        </w:rPr>
        <w:t xml:space="preserve">el Art. 7.1 en relación con </w:t>
      </w:r>
      <w:r w:rsidR="00F5213E" w:rsidRPr="00CF04BF">
        <w:rPr>
          <w:rFonts w:ascii="Times New Roman" w:hAnsi="Times New Roman" w:cs="Times New Roman"/>
          <w:sz w:val="24"/>
          <w:szCs w:val="24"/>
        </w:rPr>
        <w:t>los Arts.</w:t>
      </w:r>
      <w:r w:rsidR="00131F4B" w:rsidRPr="00CF04BF">
        <w:rPr>
          <w:rFonts w:ascii="Times New Roman" w:hAnsi="Times New Roman" w:cs="Times New Roman"/>
          <w:sz w:val="24"/>
          <w:szCs w:val="24"/>
        </w:rPr>
        <w:t xml:space="preserve"> 1.1 y 2 de la CADH.</w:t>
      </w:r>
      <w:r w:rsidR="00304C82" w:rsidRPr="00CF04BF">
        <w:rPr>
          <w:rFonts w:ascii="Times New Roman" w:hAnsi="Times New Roman" w:cs="Times New Roman"/>
          <w:sz w:val="24"/>
          <w:szCs w:val="24"/>
        </w:rPr>
        <w:tab/>
      </w:r>
      <w:r w:rsidR="0035031F" w:rsidRPr="00CF04BF">
        <w:rPr>
          <w:rFonts w:ascii="Times New Roman" w:hAnsi="Times New Roman" w:cs="Times New Roman"/>
          <w:sz w:val="24"/>
          <w:szCs w:val="24"/>
        </w:rPr>
        <w:t>21</w:t>
      </w:r>
    </w:p>
    <w:p w:rsidR="00E6065F" w:rsidRPr="00CF04BF" w:rsidRDefault="006F3ED2" w:rsidP="009972EA">
      <w:pPr>
        <w:tabs>
          <w:tab w:val="left" w:leader="hyphen" w:pos="9072"/>
          <w:tab w:val="left" w:leader="hyphen" w:pos="9214"/>
          <w:tab w:val="right" w:pos="9356"/>
          <w:tab w:val="left" w:leader="hyphen" w:pos="11340"/>
          <w:tab w:val="left" w:leader="hyphen" w:pos="14175"/>
          <w:tab w:val="left" w:leader="hyphen" w:pos="14459"/>
        </w:tabs>
        <w:spacing w:after="0" w:line="480" w:lineRule="auto"/>
        <w:jc w:val="both"/>
        <w:rPr>
          <w:rFonts w:ascii="Times New Roman" w:hAnsi="Times New Roman" w:cs="Times New Roman"/>
          <w:sz w:val="24"/>
          <w:szCs w:val="24"/>
        </w:rPr>
      </w:pPr>
      <w:r w:rsidRPr="00CF04BF">
        <w:rPr>
          <w:rFonts w:ascii="Times New Roman" w:hAnsi="Times New Roman" w:cs="Times New Roman"/>
          <w:sz w:val="24"/>
          <w:szCs w:val="24"/>
        </w:rPr>
        <w:t>2.3</w:t>
      </w:r>
      <w:r w:rsidR="00131F4B" w:rsidRPr="00CF04BF">
        <w:rPr>
          <w:rFonts w:ascii="Times New Roman" w:hAnsi="Times New Roman" w:cs="Times New Roman"/>
          <w:sz w:val="24"/>
          <w:szCs w:val="24"/>
        </w:rPr>
        <w:t xml:space="preserve">.3. </w:t>
      </w:r>
      <w:r w:rsidRPr="00CF04BF">
        <w:rPr>
          <w:rFonts w:ascii="Times New Roman" w:hAnsi="Times New Roman" w:cs="Times New Roman"/>
          <w:sz w:val="24"/>
          <w:szCs w:val="24"/>
        </w:rPr>
        <w:t>Exclutia</w:t>
      </w:r>
      <w:r w:rsidR="00E6065F" w:rsidRPr="00CF04BF">
        <w:rPr>
          <w:rFonts w:ascii="Times New Roman" w:hAnsi="Times New Roman" w:cs="Times New Roman"/>
          <w:sz w:val="24"/>
          <w:szCs w:val="24"/>
        </w:rPr>
        <w:t xml:space="preserve"> respetó l</w:t>
      </w:r>
      <w:r w:rsidR="00F5213E" w:rsidRPr="00CF04BF">
        <w:rPr>
          <w:rFonts w:ascii="Times New Roman" w:hAnsi="Times New Roman" w:cs="Times New Roman"/>
          <w:sz w:val="24"/>
          <w:szCs w:val="24"/>
        </w:rPr>
        <w:t>os Arts. 5.1 y 5.2 en relación con</w:t>
      </w:r>
      <w:r w:rsidR="00E6065F" w:rsidRPr="00CF04BF">
        <w:rPr>
          <w:rFonts w:ascii="Times New Roman" w:hAnsi="Times New Roman" w:cs="Times New Roman"/>
          <w:sz w:val="24"/>
          <w:szCs w:val="24"/>
        </w:rPr>
        <w:t xml:space="preserve"> los Arts. 1.1 y 2 de la CADH.</w:t>
      </w:r>
      <w:r w:rsidR="00304C82" w:rsidRPr="00CF04BF">
        <w:rPr>
          <w:rFonts w:ascii="Times New Roman" w:hAnsi="Times New Roman" w:cs="Times New Roman"/>
          <w:sz w:val="24"/>
          <w:szCs w:val="24"/>
        </w:rPr>
        <w:tab/>
      </w:r>
      <w:r w:rsidR="00B96080" w:rsidRPr="00CF04BF">
        <w:rPr>
          <w:rFonts w:ascii="Times New Roman" w:hAnsi="Times New Roman" w:cs="Times New Roman"/>
          <w:sz w:val="24"/>
          <w:szCs w:val="24"/>
        </w:rPr>
        <w:t>23</w:t>
      </w:r>
    </w:p>
    <w:p w:rsidR="00A970EC" w:rsidRPr="00CF04BF" w:rsidRDefault="006F3ED2" w:rsidP="009972EA">
      <w:pPr>
        <w:tabs>
          <w:tab w:val="left" w:leader="hyphen" w:pos="9072"/>
          <w:tab w:val="left" w:leader="hyphen" w:pos="9214"/>
          <w:tab w:val="left" w:leader="hyphen" w:pos="11340"/>
          <w:tab w:val="left" w:leader="hyphen" w:pos="14175"/>
          <w:tab w:val="left" w:leader="hyphen" w:pos="14459"/>
        </w:tabs>
        <w:spacing w:after="0" w:line="480" w:lineRule="auto"/>
        <w:jc w:val="both"/>
        <w:rPr>
          <w:rFonts w:ascii="Times New Roman" w:hAnsi="Times New Roman" w:cs="Times New Roman"/>
          <w:sz w:val="24"/>
          <w:szCs w:val="24"/>
        </w:rPr>
      </w:pPr>
      <w:r w:rsidRPr="00CF04BF">
        <w:rPr>
          <w:rFonts w:ascii="Times New Roman" w:hAnsi="Times New Roman" w:cs="Times New Roman"/>
          <w:sz w:val="24"/>
          <w:szCs w:val="24"/>
        </w:rPr>
        <w:t>2.3</w:t>
      </w:r>
      <w:r w:rsidR="00A970EC" w:rsidRPr="00CF04BF">
        <w:rPr>
          <w:rFonts w:ascii="Times New Roman" w:hAnsi="Times New Roman" w:cs="Times New Roman"/>
          <w:sz w:val="24"/>
          <w:szCs w:val="24"/>
        </w:rPr>
        <w:t xml:space="preserve">.4. </w:t>
      </w:r>
      <w:r w:rsidRPr="00CF04BF">
        <w:rPr>
          <w:rFonts w:ascii="Times New Roman" w:hAnsi="Times New Roman" w:cs="Times New Roman"/>
          <w:sz w:val="24"/>
          <w:szCs w:val="24"/>
        </w:rPr>
        <w:t>Exclutia</w:t>
      </w:r>
      <w:r w:rsidR="0035031F" w:rsidRPr="00CF04BF">
        <w:rPr>
          <w:rFonts w:ascii="Times New Roman" w:hAnsi="Times New Roman" w:cs="Times New Roman"/>
          <w:sz w:val="24"/>
          <w:szCs w:val="24"/>
        </w:rPr>
        <w:t xml:space="preserve"> respetó </w:t>
      </w:r>
      <w:r w:rsidR="00A970EC" w:rsidRPr="00CF04BF">
        <w:rPr>
          <w:rFonts w:ascii="Times New Roman" w:hAnsi="Times New Roman" w:cs="Times New Roman"/>
          <w:sz w:val="24"/>
          <w:szCs w:val="24"/>
        </w:rPr>
        <w:t>el Art. 11 en relación con los Arts. 1.1 y 2 de la CADH.</w:t>
      </w:r>
      <w:r w:rsidR="00304C82" w:rsidRPr="00CF04BF">
        <w:rPr>
          <w:rFonts w:ascii="Times New Roman" w:hAnsi="Times New Roman" w:cs="Times New Roman"/>
          <w:sz w:val="24"/>
          <w:szCs w:val="24"/>
        </w:rPr>
        <w:tab/>
      </w:r>
      <w:r w:rsidR="00B96080" w:rsidRPr="00CF04BF">
        <w:rPr>
          <w:rFonts w:ascii="Times New Roman" w:hAnsi="Times New Roman" w:cs="Times New Roman"/>
          <w:sz w:val="24"/>
          <w:szCs w:val="24"/>
        </w:rPr>
        <w:t>29</w:t>
      </w:r>
    </w:p>
    <w:p w:rsidR="00A970EC" w:rsidRPr="00CF04BF" w:rsidRDefault="006F3ED2" w:rsidP="009972EA">
      <w:pPr>
        <w:tabs>
          <w:tab w:val="left" w:leader="hyphen" w:pos="9072"/>
          <w:tab w:val="left" w:leader="hyphen" w:pos="9214"/>
          <w:tab w:val="left" w:leader="hyphen" w:pos="11340"/>
          <w:tab w:val="left" w:leader="hyphen" w:pos="14175"/>
          <w:tab w:val="left" w:leader="hyphen" w:pos="14459"/>
        </w:tabs>
        <w:spacing w:after="0" w:line="480" w:lineRule="auto"/>
        <w:jc w:val="both"/>
        <w:rPr>
          <w:rFonts w:ascii="Times New Roman" w:hAnsi="Times New Roman" w:cs="Times New Roman"/>
          <w:sz w:val="24"/>
          <w:szCs w:val="24"/>
        </w:rPr>
      </w:pPr>
      <w:r w:rsidRPr="00CF04BF">
        <w:rPr>
          <w:rFonts w:ascii="Times New Roman" w:hAnsi="Times New Roman" w:cs="Times New Roman"/>
          <w:sz w:val="24"/>
          <w:szCs w:val="24"/>
        </w:rPr>
        <w:t>2.3</w:t>
      </w:r>
      <w:r w:rsidR="00A970EC" w:rsidRPr="00CF04BF">
        <w:rPr>
          <w:rFonts w:ascii="Times New Roman" w:hAnsi="Times New Roman" w:cs="Times New Roman"/>
          <w:sz w:val="24"/>
          <w:szCs w:val="24"/>
        </w:rPr>
        <w:t>.5. E</w:t>
      </w:r>
      <w:r w:rsidRPr="00CF04BF">
        <w:rPr>
          <w:rFonts w:ascii="Times New Roman" w:hAnsi="Times New Roman" w:cs="Times New Roman"/>
          <w:sz w:val="24"/>
          <w:szCs w:val="24"/>
        </w:rPr>
        <w:t>xclutia</w:t>
      </w:r>
      <w:r w:rsidR="00A970EC" w:rsidRPr="00CF04BF">
        <w:rPr>
          <w:rFonts w:ascii="Times New Roman" w:hAnsi="Times New Roman" w:cs="Times New Roman"/>
          <w:sz w:val="24"/>
          <w:szCs w:val="24"/>
        </w:rPr>
        <w:t xml:space="preserve"> respetó el Art. 8.1 y 25 en relación con los Arts. 1.1. y 2 de la CADH.</w:t>
      </w:r>
      <w:r w:rsidR="00304C82" w:rsidRPr="00CF04BF">
        <w:rPr>
          <w:rFonts w:ascii="Times New Roman" w:hAnsi="Times New Roman" w:cs="Times New Roman"/>
          <w:sz w:val="24"/>
          <w:szCs w:val="24"/>
        </w:rPr>
        <w:tab/>
      </w:r>
      <w:r w:rsidR="00B96080" w:rsidRPr="00CF04BF">
        <w:rPr>
          <w:rFonts w:ascii="Times New Roman" w:hAnsi="Times New Roman" w:cs="Times New Roman"/>
          <w:sz w:val="24"/>
          <w:szCs w:val="24"/>
        </w:rPr>
        <w:t>30</w:t>
      </w:r>
    </w:p>
    <w:p w:rsidR="00A970EC" w:rsidRPr="00CF04BF" w:rsidRDefault="006F3ED2" w:rsidP="009972EA">
      <w:pPr>
        <w:tabs>
          <w:tab w:val="left" w:leader="hyphen" w:pos="9072"/>
          <w:tab w:val="left" w:leader="hyphen" w:pos="11340"/>
          <w:tab w:val="left" w:leader="hyphen" w:pos="14175"/>
          <w:tab w:val="left" w:leader="hyphen" w:pos="14459"/>
        </w:tabs>
        <w:spacing w:after="0" w:line="480" w:lineRule="auto"/>
        <w:jc w:val="both"/>
        <w:rPr>
          <w:rFonts w:ascii="Times New Roman" w:hAnsi="Times New Roman" w:cs="Times New Roman"/>
          <w:sz w:val="24"/>
          <w:szCs w:val="24"/>
        </w:rPr>
      </w:pPr>
      <w:r w:rsidRPr="00CF04BF">
        <w:rPr>
          <w:rFonts w:ascii="Times New Roman" w:hAnsi="Times New Roman" w:cs="Times New Roman"/>
          <w:sz w:val="24"/>
          <w:szCs w:val="24"/>
        </w:rPr>
        <w:t>2.4</w:t>
      </w:r>
      <w:r w:rsidR="00A970EC" w:rsidRPr="00CF04BF">
        <w:rPr>
          <w:rFonts w:ascii="Times New Roman" w:hAnsi="Times New Roman" w:cs="Times New Roman"/>
          <w:sz w:val="24"/>
          <w:szCs w:val="24"/>
        </w:rPr>
        <w:t>. Petitorio</w:t>
      </w:r>
      <w:r w:rsidR="00304C82" w:rsidRPr="00CF04BF">
        <w:rPr>
          <w:rFonts w:ascii="Times New Roman" w:hAnsi="Times New Roman" w:cs="Times New Roman"/>
          <w:sz w:val="24"/>
          <w:szCs w:val="24"/>
        </w:rPr>
        <w:tab/>
      </w:r>
      <w:r w:rsidR="00B96080" w:rsidRPr="00CF04BF">
        <w:rPr>
          <w:rFonts w:ascii="Times New Roman" w:hAnsi="Times New Roman" w:cs="Times New Roman"/>
          <w:sz w:val="24"/>
          <w:szCs w:val="24"/>
        </w:rPr>
        <w:t>35</w:t>
      </w:r>
    </w:p>
    <w:p w:rsidR="008A6376" w:rsidRPr="00CF04BF" w:rsidRDefault="008A6376" w:rsidP="009972EA">
      <w:pPr>
        <w:spacing w:after="0" w:line="480" w:lineRule="auto"/>
        <w:jc w:val="both"/>
        <w:rPr>
          <w:rFonts w:ascii="Times New Roman" w:hAnsi="Times New Roman" w:cs="Times New Roman"/>
          <w:b/>
          <w:sz w:val="24"/>
          <w:szCs w:val="24"/>
        </w:rPr>
      </w:pPr>
      <w:r w:rsidRPr="00CF04BF">
        <w:rPr>
          <w:rFonts w:ascii="Times New Roman" w:hAnsi="Times New Roman" w:cs="Times New Roman"/>
          <w:b/>
          <w:sz w:val="24"/>
          <w:szCs w:val="24"/>
        </w:rPr>
        <w:t>BIBLIOGRAFÍA.</w:t>
      </w:r>
    </w:p>
    <w:p w:rsidR="008A6376" w:rsidRPr="00CF04BF" w:rsidRDefault="008A6376" w:rsidP="009972EA">
      <w:pPr>
        <w:spacing w:after="0" w:line="480" w:lineRule="auto"/>
        <w:jc w:val="both"/>
        <w:rPr>
          <w:rFonts w:ascii="Times New Roman" w:hAnsi="Times New Roman" w:cs="Times New Roman"/>
          <w:b/>
          <w:sz w:val="24"/>
          <w:szCs w:val="24"/>
        </w:rPr>
      </w:pPr>
      <w:r w:rsidRPr="00CF04BF">
        <w:rPr>
          <w:rFonts w:ascii="Times New Roman" w:hAnsi="Times New Roman" w:cs="Times New Roman"/>
          <w:b/>
          <w:sz w:val="24"/>
          <w:szCs w:val="24"/>
          <w:u w:val="single"/>
        </w:rPr>
        <w:t>Libros, Revistas Legales y Otros</w:t>
      </w:r>
      <w:r w:rsidR="00FE0A54" w:rsidRPr="00CF04BF">
        <w:rPr>
          <w:rFonts w:ascii="Times New Roman" w:hAnsi="Times New Roman" w:cs="Times New Roman"/>
          <w:b/>
          <w:sz w:val="24"/>
          <w:szCs w:val="24"/>
          <w:u w:val="single"/>
        </w:rPr>
        <w:t>:</w:t>
      </w:r>
      <w:r w:rsidR="005424E7">
        <w:rPr>
          <w:rFonts w:ascii="Times New Roman" w:hAnsi="Times New Roman" w:cs="Times New Roman"/>
          <w:b/>
          <w:sz w:val="24"/>
          <w:szCs w:val="24"/>
        </w:rPr>
        <w:t xml:space="preserve"> </w:t>
      </w:r>
      <w:r w:rsidRPr="00CF04BF">
        <w:rPr>
          <w:rFonts w:ascii="Times New Roman" w:hAnsi="Times New Roman" w:cs="Times New Roman"/>
          <w:sz w:val="24"/>
          <w:szCs w:val="24"/>
        </w:rPr>
        <w:t>B. Quintanilla Navarro, “Discapacidad y discriminación: de la igualdad de trato a la accesibilidad universal, Revista Relaciones Laborales”, en Revista crítica de teoría y práctica, año XXII, No.11, Madrid, 2006.</w:t>
      </w:r>
      <w:r w:rsidR="00783767" w:rsidRPr="00CF04BF">
        <w:rPr>
          <w:rFonts w:ascii="Times New Roman" w:hAnsi="Times New Roman" w:cs="Times New Roman"/>
          <w:sz w:val="24"/>
          <w:szCs w:val="24"/>
        </w:rPr>
        <w:t xml:space="preserve"> p</w:t>
      </w:r>
      <w:r w:rsidR="009610F7" w:rsidRPr="00CF04BF">
        <w:rPr>
          <w:rFonts w:ascii="Times New Roman" w:hAnsi="Times New Roman" w:cs="Times New Roman"/>
          <w:sz w:val="24"/>
          <w:szCs w:val="24"/>
        </w:rPr>
        <w:t>ág. 17.</w:t>
      </w:r>
    </w:p>
    <w:p w:rsidR="008A6376" w:rsidRPr="00CF04BF" w:rsidRDefault="008A6376" w:rsidP="009972EA">
      <w:pPr>
        <w:pStyle w:val="FootnoteText"/>
        <w:spacing w:line="480" w:lineRule="auto"/>
        <w:jc w:val="both"/>
        <w:rPr>
          <w:rFonts w:ascii="Times New Roman" w:hAnsi="Times New Roman" w:cs="Times New Roman"/>
          <w:sz w:val="24"/>
          <w:szCs w:val="24"/>
        </w:rPr>
      </w:pPr>
      <w:r w:rsidRPr="00CF04BF">
        <w:rPr>
          <w:rFonts w:ascii="Times New Roman" w:hAnsi="Times New Roman" w:cs="Times New Roman"/>
          <w:sz w:val="24"/>
          <w:szCs w:val="24"/>
        </w:rPr>
        <w:t>Corte Constitucional de la República de Colombia, Sentencia C-OO6 de 2012, Magistrada Ponente María Victoria Calle Correa.</w:t>
      </w:r>
      <w:r w:rsidR="009610F7" w:rsidRPr="00CF04BF">
        <w:rPr>
          <w:rFonts w:ascii="Times New Roman" w:hAnsi="Times New Roman" w:cs="Times New Roman"/>
          <w:sz w:val="24"/>
          <w:szCs w:val="24"/>
        </w:rPr>
        <w:t xml:space="preserve"> </w:t>
      </w:r>
      <w:r w:rsidR="00783767" w:rsidRPr="00CF04BF">
        <w:rPr>
          <w:rFonts w:ascii="Times New Roman" w:hAnsi="Times New Roman" w:cs="Times New Roman"/>
          <w:sz w:val="24"/>
          <w:szCs w:val="24"/>
        </w:rPr>
        <w:t>p</w:t>
      </w:r>
      <w:r w:rsidR="009610F7" w:rsidRPr="00CF04BF">
        <w:rPr>
          <w:rFonts w:ascii="Times New Roman" w:hAnsi="Times New Roman" w:cs="Times New Roman"/>
          <w:sz w:val="24"/>
          <w:szCs w:val="24"/>
        </w:rPr>
        <w:t>ág. 34.</w:t>
      </w:r>
    </w:p>
    <w:p w:rsidR="008A6376" w:rsidRPr="00CF04BF" w:rsidRDefault="008A6376" w:rsidP="009972EA">
      <w:pPr>
        <w:pStyle w:val="FootnoteText"/>
        <w:spacing w:line="480" w:lineRule="auto"/>
        <w:jc w:val="both"/>
        <w:rPr>
          <w:rFonts w:ascii="Times New Roman" w:hAnsi="Times New Roman" w:cs="Times New Roman"/>
          <w:sz w:val="24"/>
          <w:szCs w:val="24"/>
        </w:rPr>
      </w:pPr>
      <w:r w:rsidRPr="00CF04BF">
        <w:rPr>
          <w:rFonts w:ascii="Times New Roman" w:hAnsi="Times New Roman" w:cs="Times New Roman"/>
          <w:sz w:val="24"/>
          <w:szCs w:val="24"/>
        </w:rPr>
        <w:lastRenderedPageBreak/>
        <w:t>D. T. Váhale Carrillo, Protección a las personas en situación de dependencia. Formación Alcalá, Alcalá, 2012.</w:t>
      </w:r>
      <w:r w:rsidR="00783767" w:rsidRPr="00CF04BF">
        <w:rPr>
          <w:rFonts w:ascii="Times New Roman" w:hAnsi="Times New Roman" w:cs="Times New Roman"/>
          <w:sz w:val="24"/>
          <w:szCs w:val="24"/>
        </w:rPr>
        <w:t xml:space="preserve"> p</w:t>
      </w:r>
      <w:r w:rsidR="009610F7" w:rsidRPr="00CF04BF">
        <w:rPr>
          <w:rFonts w:ascii="Times New Roman" w:hAnsi="Times New Roman" w:cs="Times New Roman"/>
          <w:sz w:val="24"/>
          <w:szCs w:val="24"/>
        </w:rPr>
        <w:t>ág. 18.</w:t>
      </w:r>
    </w:p>
    <w:p w:rsidR="008A6376" w:rsidRPr="00CF04BF" w:rsidRDefault="008A6376" w:rsidP="009972EA">
      <w:pPr>
        <w:pStyle w:val="FootnoteText"/>
        <w:spacing w:line="480" w:lineRule="auto"/>
        <w:jc w:val="both"/>
        <w:rPr>
          <w:rFonts w:ascii="Times New Roman" w:hAnsi="Times New Roman" w:cs="Times New Roman"/>
          <w:sz w:val="24"/>
          <w:szCs w:val="24"/>
        </w:rPr>
      </w:pPr>
      <w:r w:rsidRPr="00CF04BF">
        <w:rPr>
          <w:rFonts w:ascii="Times New Roman" w:hAnsi="Times New Roman" w:cs="Times New Roman"/>
          <w:sz w:val="24"/>
          <w:szCs w:val="24"/>
        </w:rPr>
        <w:t>Faúndez Ledesma, Héctor. “El Sistema Interamericano de Protección de los Derechos Humanos: aspectos institucionales y procesales”. Instituto Interamericano de Derechos Humanos (IIDH). 3° Edición, San José. 2004.</w:t>
      </w:r>
      <w:r w:rsidR="00783767" w:rsidRPr="00CF04BF">
        <w:rPr>
          <w:rFonts w:ascii="Times New Roman" w:hAnsi="Times New Roman" w:cs="Times New Roman"/>
          <w:sz w:val="24"/>
          <w:szCs w:val="24"/>
        </w:rPr>
        <w:t xml:space="preserve"> p</w:t>
      </w:r>
      <w:r w:rsidR="009610F7" w:rsidRPr="00CF04BF">
        <w:rPr>
          <w:rFonts w:ascii="Times New Roman" w:hAnsi="Times New Roman" w:cs="Times New Roman"/>
          <w:sz w:val="24"/>
          <w:szCs w:val="24"/>
        </w:rPr>
        <w:t>ág</w:t>
      </w:r>
      <w:r w:rsidR="00783767" w:rsidRPr="00CF04BF">
        <w:rPr>
          <w:rFonts w:ascii="Times New Roman" w:hAnsi="Times New Roman" w:cs="Times New Roman"/>
          <w:sz w:val="24"/>
          <w:szCs w:val="24"/>
        </w:rPr>
        <w:t>s</w:t>
      </w:r>
      <w:r w:rsidR="009610F7" w:rsidRPr="00CF04BF">
        <w:rPr>
          <w:rFonts w:ascii="Times New Roman" w:hAnsi="Times New Roman" w:cs="Times New Roman"/>
          <w:sz w:val="24"/>
          <w:szCs w:val="24"/>
        </w:rPr>
        <w:t>. 13, 14 y 34.</w:t>
      </w:r>
    </w:p>
    <w:p w:rsidR="008A6376" w:rsidRDefault="008A6376" w:rsidP="009972EA">
      <w:pPr>
        <w:pStyle w:val="FootnoteText"/>
        <w:spacing w:line="480" w:lineRule="auto"/>
        <w:jc w:val="both"/>
        <w:rPr>
          <w:rFonts w:ascii="Times New Roman" w:hAnsi="Times New Roman" w:cs="Times New Roman"/>
          <w:sz w:val="24"/>
          <w:szCs w:val="24"/>
        </w:rPr>
      </w:pPr>
      <w:r w:rsidRPr="00CF04BF">
        <w:rPr>
          <w:rFonts w:ascii="Times New Roman" w:hAnsi="Times New Roman" w:cs="Times New Roman"/>
          <w:sz w:val="24"/>
          <w:szCs w:val="24"/>
        </w:rPr>
        <w:t>Ferrer Mac-Gregor Eduardo, Sánchez Gil Rubén. El Nuevo Juicio de Amparo. Guía de la Reforma Constitucional y la Nueva Ley de Amparo. México. 2014.</w:t>
      </w:r>
      <w:r w:rsidR="00783767" w:rsidRPr="00CF04BF">
        <w:rPr>
          <w:rFonts w:ascii="Times New Roman" w:hAnsi="Times New Roman" w:cs="Times New Roman"/>
          <w:sz w:val="24"/>
          <w:szCs w:val="24"/>
        </w:rPr>
        <w:t xml:space="preserve"> p</w:t>
      </w:r>
      <w:r w:rsidR="009610F7" w:rsidRPr="00CF04BF">
        <w:rPr>
          <w:rFonts w:ascii="Times New Roman" w:hAnsi="Times New Roman" w:cs="Times New Roman"/>
          <w:sz w:val="24"/>
          <w:szCs w:val="24"/>
        </w:rPr>
        <w:t>ág. 31.</w:t>
      </w:r>
    </w:p>
    <w:p w:rsidR="00304FB5" w:rsidRPr="00CF04BF" w:rsidRDefault="00304FB5" w:rsidP="009972EA">
      <w:pPr>
        <w:pStyle w:val="FootnoteText"/>
        <w:spacing w:line="480" w:lineRule="auto"/>
        <w:jc w:val="both"/>
        <w:rPr>
          <w:rFonts w:ascii="Times New Roman" w:hAnsi="Times New Roman" w:cs="Times New Roman"/>
          <w:sz w:val="24"/>
          <w:szCs w:val="24"/>
        </w:rPr>
      </w:pPr>
      <w:r w:rsidRPr="00304FB5">
        <w:rPr>
          <w:rFonts w:ascii="Times New Roman" w:hAnsi="Times New Roman" w:cs="Times New Roman"/>
          <w:sz w:val="24"/>
          <w:szCs w:val="24"/>
        </w:rPr>
        <w:t>Ganzenmüeller Roig</w:t>
      </w:r>
      <w:r w:rsidRPr="00CF04BF">
        <w:rPr>
          <w:rFonts w:ascii="Times New Roman" w:hAnsi="Times New Roman" w:cs="Times New Roman"/>
          <w:sz w:val="24"/>
          <w:szCs w:val="24"/>
        </w:rPr>
        <w:t xml:space="preserve"> y J.F. Escudero Moratalla, Discapacidad y derecho. Tratamiento jurídico y sociológico, Bosch, Barcelona, 2005. pág. 20.</w:t>
      </w:r>
    </w:p>
    <w:p w:rsidR="008A6376" w:rsidRPr="00CF04BF" w:rsidRDefault="008A6376" w:rsidP="009972EA">
      <w:pPr>
        <w:spacing w:after="0" w:line="480" w:lineRule="auto"/>
        <w:jc w:val="both"/>
        <w:rPr>
          <w:rFonts w:ascii="Times New Roman" w:hAnsi="Times New Roman" w:cs="Times New Roman"/>
          <w:sz w:val="24"/>
          <w:szCs w:val="24"/>
        </w:rPr>
      </w:pPr>
      <w:r w:rsidRPr="00CF04BF">
        <w:rPr>
          <w:rFonts w:ascii="Times New Roman" w:hAnsi="Times New Roman" w:cs="Times New Roman"/>
          <w:sz w:val="24"/>
          <w:szCs w:val="24"/>
        </w:rPr>
        <w:t>J.V. García Alonso, “Las nuevas fronteras de</w:t>
      </w:r>
      <w:r w:rsidR="00783767" w:rsidRPr="00CF04BF">
        <w:rPr>
          <w:rFonts w:ascii="Times New Roman" w:hAnsi="Times New Roman" w:cs="Times New Roman"/>
          <w:sz w:val="24"/>
          <w:szCs w:val="24"/>
        </w:rPr>
        <w:t xml:space="preserve"> </w:t>
      </w:r>
      <w:r w:rsidRPr="00CF04BF">
        <w:rPr>
          <w:rFonts w:ascii="Times New Roman" w:hAnsi="Times New Roman" w:cs="Times New Roman"/>
          <w:sz w:val="24"/>
          <w:szCs w:val="24"/>
        </w:rPr>
        <w:t>la discapacidad”, en Tratado sobre discapacidad, Aranzadi, Pamplona, 2007.</w:t>
      </w:r>
      <w:r w:rsidR="00783767" w:rsidRPr="00CF04BF">
        <w:rPr>
          <w:rFonts w:ascii="Times New Roman" w:hAnsi="Times New Roman" w:cs="Times New Roman"/>
          <w:sz w:val="24"/>
          <w:szCs w:val="24"/>
        </w:rPr>
        <w:t xml:space="preserve"> pág. 18.</w:t>
      </w:r>
    </w:p>
    <w:p w:rsidR="008A6376" w:rsidRPr="00CF04BF" w:rsidRDefault="008A6376" w:rsidP="009972EA">
      <w:pPr>
        <w:pStyle w:val="FootnoteText"/>
        <w:spacing w:line="480" w:lineRule="auto"/>
        <w:jc w:val="both"/>
        <w:rPr>
          <w:rFonts w:ascii="Times New Roman" w:hAnsi="Times New Roman" w:cs="Times New Roman"/>
          <w:sz w:val="24"/>
          <w:szCs w:val="24"/>
        </w:rPr>
      </w:pPr>
      <w:r w:rsidRPr="00CF04BF">
        <w:rPr>
          <w:rFonts w:ascii="Times New Roman" w:hAnsi="Times New Roman" w:cs="Times New Roman"/>
          <w:sz w:val="24"/>
          <w:szCs w:val="24"/>
        </w:rPr>
        <w:t>M. Rodríguez–Piñero Bravo-Ferrer, “Novedades sobre la discriminación por discapacidad en la Unión Europea”, Revista Relaciones Laborales. Revista crítica de teoría y práctica, año XXIV, volumen 21, Madrid, 2008.</w:t>
      </w:r>
      <w:r w:rsidR="00783767" w:rsidRPr="00CF04BF">
        <w:rPr>
          <w:rFonts w:ascii="Times New Roman" w:hAnsi="Times New Roman" w:cs="Times New Roman"/>
          <w:sz w:val="24"/>
          <w:szCs w:val="24"/>
        </w:rPr>
        <w:t xml:space="preserve"> pág. 17.</w:t>
      </w:r>
    </w:p>
    <w:p w:rsidR="008A6376" w:rsidRPr="00CF04BF" w:rsidRDefault="008A6376" w:rsidP="009972EA">
      <w:pPr>
        <w:spacing w:after="0" w:line="480" w:lineRule="auto"/>
        <w:jc w:val="both"/>
        <w:rPr>
          <w:rFonts w:ascii="Times New Roman" w:hAnsi="Times New Roman" w:cs="Times New Roman"/>
          <w:b/>
          <w:sz w:val="24"/>
          <w:szCs w:val="24"/>
        </w:rPr>
      </w:pPr>
      <w:r w:rsidRPr="00CF04BF">
        <w:rPr>
          <w:rFonts w:ascii="Times New Roman" w:hAnsi="Times New Roman" w:cs="Times New Roman"/>
          <w:b/>
          <w:sz w:val="24"/>
          <w:szCs w:val="24"/>
        </w:rPr>
        <w:t>Documentos legales</w:t>
      </w:r>
    </w:p>
    <w:p w:rsidR="008A6376" w:rsidRPr="00CF04BF" w:rsidRDefault="008A6376" w:rsidP="009972EA">
      <w:pPr>
        <w:spacing w:after="0" w:line="480" w:lineRule="auto"/>
        <w:jc w:val="both"/>
        <w:rPr>
          <w:rFonts w:ascii="Times New Roman" w:hAnsi="Times New Roman" w:cs="Times New Roman"/>
          <w:b/>
          <w:sz w:val="24"/>
          <w:szCs w:val="24"/>
        </w:rPr>
      </w:pPr>
      <w:r w:rsidRPr="00CF04BF">
        <w:rPr>
          <w:rFonts w:ascii="Times New Roman" w:hAnsi="Times New Roman" w:cs="Times New Roman"/>
          <w:b/>
          <w:sz w:val="24"/>
          <w:szCs w:val="24"/>
          <w:u w:val="single"/>
        </w:rPr>
        <w:t>D</w:t>
      </w:r>
      <w:r w:rsidR="00CB11FB" w:rsidRPr="00CF04BF">
        <w:rPr>
          <w:rFonts w:ascii="Times New Roman" w:hAnsi="Times New Roman" w:cs="Times New Roman"/>
          <w:b/>
          <w:sz w:val="24"/>
          <w:szCs w:val="24"/>
          <w:u w:val="single"/>
        </w:rPr>
        <w:t>ocumentos del Sistema Universal:</w:t>
      </w:r>
      <w:r w:rsidR="005424E7">
        <w:rPr>
          <w:rFonts w:ascii="Times New Roman" w:hAnsi="Times New Roman" w:cs="Times New Roman"/>
          <w:b/>
          <w:sz w:val="24"/>
          <w:szCs w:val="24"/>
        </w:rPr>
        <w:t xml:space="preserve"> </w:t>
      </w:r>
      <w:r w:rsidRPr="00CF04BF">
        <w:rPr>
          <w:rFonts w:ascii="Times New Roman" w:hAnsi="Times New Roman" w:cs="Times New Roman"/>
          <w:sz w:val="24"/>
          <w:szCs w:val="24"/>
        </w:rPr>
        <w:t>ONU, Comité de DESC, Observación General No. 5, “Personas con Discapacidad”. Naciones Unidas, Documento E/1995/22 (1994).</w:t>
      </w:r>
      <w:r w:rsidR="00783767" w:rsidRPr="00CF04BF">
        <w:rPr>
          <w:rFonts w:ascii="Times New Roman" w:hAnsi="Times New Roman" w:cs="Times New Roman"/>
          <w:sz w:val="24"/>
          <w:szCs w:val="24"/>
        </w:rPr>
        <w:t xml:space="preserve"> págs. 17 y 24.</w:t>
      </w:r>
    </w:p>
    <w:p w:rsidR="008A6376" w:rsidRPr="00CF04BF" w:rsidRDefault="008A6376" w:rsidP="009972EA">
      <w:pPr>
        <w:pStyle w:val="FootnoteText"/>
        <w:tabs>
          <w:tab w:val="left" w:pos="720"/>
        </w:tabs>
        <w:spacing w:line="480" w:lineRule="auto"/>
        <w:jc w:val="both"/>
        <w:rPr>
          <w:rFonts w:ascii="Times New Roman" w:hAnsi="Times New Roman" w:cs="Times New Roman"/>
          <w:sz w:val="24"/>
          <w:szCs w:val="24"/>
        </w:rPr>
      </w:pPr>
      <w:r w:rsidRPr="00CF04BF">
        <w:rPr>
          <w:rFonts w:ascii="Times New Roman" w:hAnsi="Times New Roman" w:cs="Times New Roman"/>
          <w:sz w:val="24"/>
          <w:szCs w:val="24"/>
        </w:rPr>
        <w:t>ONU, Comité de Derechos Humanos, Consideración de los Informes presentados por los Estados Partes conforme al artículo 40 del Pacto, Observaciones Finales respecto de Gabón, Doc. CCPR/C/31/ADD.4, 18 de noviembre de 1996.</w:t>
      </w:r>
      <w:r w:rsidR="00783767" w:rsidRPr="00CF04BF">
        <w:rPr>
          <w:rFonts w:ascii="Times New Roman" w:hAnsi="Times New Roman" w:cs="Times New Roman"/>
          <w:sz w:val="24"/>
          <w:szCs w:val="24"/>
        </w:rPr>
        <w:t xml:space="preserve"> pág. 15.</w:t>
      </w:r>
    </w:p>
    <w:p w:rsidR="008A6376" w:rsidRPr="00CF04BF" w:rsidRDefault="008A6376" w:rsidP="009972EA">
      <w:pPr>
        <w:pStyle w:val="FootnoteText"/>
        <w:spacing w:line="480" w:lineRule="auto"/>
        <w:jc w:val="both"/>
        <w:rPr>
          <w:rFonts w:ascii="Times New Roman" w:hAnsi="Times New Roman" w:cs="Times New Roman"/>
          <w:sz w:val="24"/>
          <w:szCs w:val="24"/>
        </w:rPr>
      </w:pPr>
      <w:r w:rsidRPr="00CF04BF">
        <w:rPr>
          <w:rFonts w:ascii="Times New Roman" w:hAnsi="Times New Roman" w:cs="Times New Roman"/>
          <w:sz w:val="24"/>
          <w:szCs w:val="24"/>
        </w:rPr>
        <w:t>ONU, Comité de Derechos Humanos, Observación General No. 18, No discriminación, 10 de noviembre de 989, CCPR/C/37.</w:t>
      </w:r>
      <w:r w:rsidR="008C3B2C">
        <w:rPr>
          <w:rFonts w:ascii="Times New Roman" w:hAnsi="Times New Roman" w:cs="Times New Roman"/>
          <w:sz w:val="24"/>
          <w:szCs w:val="24"/>
        </w:rPr>
        <w:t xml:space="preserve"> pág</w:t>
      </w:r>
      <w:r w:rsidR="00783767" w:rsidRPr="00CF04BF">
        <w:rPr>
          <w:rFonts w:ascii="Times New Roman" w:hAnsi="Times New Roman" w:cs="Times New Roman"/>
          <w:sz w:val="24"/>
          <w:szCs w:val="24"/>
        </w:rPr>
        <w:t>. 1</w:t>
      </w:r>
      <w:r w:rsidR="008C3B2C">
        <w:rPr>
          <w:rFonts w:ascii="Times New Roman" w:hAnsi="Times New Roman" w:cs="Times New Roman"/>
          <w:sz w:val="24"/>
          <w:szCs w:val="24"/>
        </w:rPr>
        <w:t>9</w:t>
      </w:r>
      <w:r w:rsidR="00783767" w:rsidRPr="00CF04BF">
        <w:rPr>
          <w:rFonts w:ascii="Times New Roman" w:hAnsi="Times New Roman" w:cs="Times New Roman"/>
          <w:sz w:val="24"/>
          <w:szCs w:val="24"/>
        </w:rPr>
        <w:t>.</w:t>
      </w:r>
    </w:p>
    <w:p w:rsidR="008A6376" w:rsidRPr="00CF04BF" w:rsidRDefault="008A6376" w:rsidP="009972EA">
      <w:pPr>
        <w:pStyle w:val="FootnoteText"/>
        <w:spacing w:line="480" w:lineRule="auto"/>
        <w:jc w:val="both"/>
        <w:rPr>
          <w:rFonts w:ascii="Times New Roman" w:hAnsi="Times New Roman" w:cs="Times New Roman"/>
          <w:sz w:val="24"/>
          <w:szCs w:val="24"/>
        </w:rPr>
      </w:pPr>
      <w:r w:rsidRPr="00CF04BF">
        <w:rPr>
          <w:rFonts w:ascii="Times New Roman" w:hAnsi="Times New Roman" w:cs="Times New Roman"/>
          <w:sz w:val="24"/>
          <w:szCs w:val="24"/>
        </w:rPr>
        <w:t xml:space="preserve">ONU, Comité de Derechos Humanos, Toonen </w:t>
      </w:r>
      <w:r w:rsidR="00286EFD" w:rsidRPr="00CF04BF">
        <w:rPr>
          <w:rFonts w:ascii="Times New Roman" w:hAnsi="Times New Roman" w:cs="Times New Roman"/>
          <w:sz w:val="24"/>
          <w:szCs w:val="24"/>
        </w:rPr>
        <w:t xml:space="preserve">Vs. Australia, Comunicación </w:t>
      </w:r>
      <w:r w:rsidRPr="00CF04BF">
        <w:rPr>
          <w:rFonts w:ascii="Times New Roman" w:hAnsi="Times New Roman" w:cs="Times New Roman"/>
          <w:sz w:val="24"/>
          <w:szCs w:val="24"/>
        </w:rPr>
        <w:t>488/1992.</w:t>
      </w:r>
      <w:r w:rsidR="00783767" w:rsidRPr="00CF04BF">
        <w:rPr>
          <w:rFonts w:ascii="Times New Roman" w:hAnsi="Times New Roman" w:cs="Times New Roman"/>
          <w:sz w:val="24"/>
          <w:szCs w:val="24"/>
        </w:rPr>
        <w:t xml:space="preserve"> pág. 19.</w:t>
      </w:r>
    </w:p>
    <w:p w:rsidR="008A6376" w:rsidRPr="00CF04BF" w:rsidRDefault="008A6376" w:rsidP="009972EA">
      <w:pPr>
        <w:pStyle w:val="FootnoteText"/>
        <w:spacing w:line="480" w:lineRule="auto"/>
        <w:jc w:val="both"/>
        <w:rPr>
          <w:rFonts w:ascii="Times New Roman" w:hAnsi="Times New Roman" w:cs="Times New Roman"/>
          <w:bCs/>
          <w:sz w:val="24"/>
          <w:szCs w:val="24"/>
        </w:rPr>
      </w:pPr>
      <w:r w:rsidRPr="00CF04BF">
        <w:rPr>
          <w:rFonts w:ascii="Times New Roman" w:hAnsi="Times New Roman" w:cs="Times New Roman"/>
          <w:sz w:val="24"/>
          <w:szCs w:val="24"/>
        </w:rPr>
        <w:lastRenderedPageBreak/>
        <w:t xml:space="preserve">ONU, </w:t>
      </w:r>
      <w:r w:rsidRPr="00CF04BF">
        <w:rPr>
          <w:rFonts w:ascii="Times New Roman" w:hAnsi="Times New Roman" w:cs="Times New Roman"/>
          <w:bCs/>
          <w:sz w:val="24"/>
          <w:szCs w:val="24"/>
        </w:rPr>
        <w:t>Convención sobre los Derechos de las Personas con Discapacidad.</w:t>
      </w:r>
      <w:r w:rsidR="00783767" w:rsidRPr="00CF04BF">
        <w:rPr>
          <w:rFonts w:ascii="Times New Roman" w:hAnsi="Times New Roman" w:cs="Times New Roman"/>
          <w:bCs/>
          <w:sz w:val="24"/>
          <w:szCs w:val="24"/>
        </w:rPr>
        <w:t xml:space="preserve"> pág. 17.</w:t>
      </w:r>
    </w:p>
    <w:p w:rsidR="008A6376" w:rsidRPr="00CF04BF" w:rsidRDefault="008A6376" w:rsidP="009972EA">
      <w:pPr>
        <w:pStyle w:val="FootnoteText"/>
        <w:spacing w:line="480" w:lineRule="auto"/>
        <w:jc w:val="both"/>
        <w:rPr>
          <w:rFonts w:ascii="Times New Roman" w:hAnsi="Times New Roman" w:cs="Times New Roman"/>
          <w:sz w:val="24"/>
          <w:szCs w:val="24"/>
        </w:rPr>
      </w:pPr>
      <w:r w:rsidRPr="00CF04BF">
        <w:rPr>
          <w:rFonts w:ascii="Times New Roman" w:hAnsi="Times New Roman" w:cs="Times New Roman"/>
          <w:sz w:val="24"/>
          <w:szCs w:val="24"/>
        </w:rPr>
        <w:t>ONU, Declaración de Estambul sobre la utilización y los efectos de la reclusión en régimen de aislamiento. 9 de diciembre de 2007.</w:t>
      </w:r>
      <w:r w:rsidR="00783767" w:rsidRPr="00CF04BF">
        <w:rPr>
          <w:rFonts w:ascii="Times New Roman" w:hAnsi="Times New Roman" w:cs="Times New Roman"/>
          <w:sz w:val="24"/>
          <w:szCs w:val="24"/>
        </w:rPr>
        <w:t xml:space="preserve"> págs. 14 y 27.</w:t>
      </w:r>
    </w:p>
    <w:p w:rsidR="008A6376" w:rsidRPr="00CF04BF" w:rsidRDefault="008A6376" w:rsidP="009972EA">
      <w:pPr>
        <w:pStyle w:val="FootnoteText"/>
        <w:spacing w:line="480" w:lineRule="auto"/>
        <w:jc w:val="both"/>
        <w:rPr>
          <w:rFonts w:ascii="Times New Roman" w:hAnsi="Times New Roman" w:cs="Times New Roman"/>
          <w:sz w:val="24"/>
          <w:szCs w:val="24"/>
        </w:rPr>
      </w:pPr>
      <w:r w:rsidRPr="00CF04BF">
        <w:rPr>
          <w:rFonts w:ascii="Times New Roman" w:hAnsi="Times New Roman" w:cs="Times New Roman"/>
          <w:sz w:val="24"/>
          <w:szCs w:val="24"/>
        </w:rPr>
        <w:t>ONU, Informe del Comité contra la Tortura sobre Turquía, Naciones Unidas, Cuadragésimo octavo Periodo de Sesiones, (A/48/44/Add.1), 1994</w:t>
      </w:r>
      <w:r w:rsidR="00991798" w:rsidRPr="00CF04BF">
        <w:rPr>
          <w:rFonts w:ascii="Times New Roman" w:hAnsi="Times New Roman" w:cs="Times New Roman"/>
          <w:sz w:val="24"/>
          <w:szCs w:val="24"/>
        </w:rPr>
        <w:t>.</w:t>
      </w:r>
      <w:r w:rsidR="00783767" w:rsidRPr="00CF04BF">
        <w:rPr>
          <w:rFonts w:ascii="Times New Roman" w:hAnsi="Times New Roman" w:cs="Times New Roman"/>
          <w:sz w:val="24"/>
          <w:szCs w:val="24"/>
        </w:rPr>
        <w:t xml:space="preserve"> pág. 28.</w:t>
      </w:r>
    </w:p>
    <w:p w:rsidR="008A6376" w:rsidRPr="00CF04BF" w:rsidRDefault="008A6376" w:rsidP="009972EA">
      <w:pPr>
        <w:pStyle w:val="FootnoteText"/>
        <w:spacing w:line="480" w:lineRule="auto"/>
        <w:jc w:val="both"/>
        <w:rPr>
          <w:rFonts w:ascii="Times New Roman" w:hAnsi="Times New Roman" w:cs="Times New Roman"/>
          <w:sz w:val="24"/>
          <w:szCs w:val="24"/>
        </w:rPr>
      </w:pPr>
      <w:r w:rsidRPr="00CF04BF">
        <w:rPr>
          <w:rFonts w:ascii="Times New Roman" w:hAnsi="Times New Roman" w:cs="Times New Roman"/>
          <w:sz w:val="24"/>
          <w:szCs w:val="24"/>
        </w:rPr>
        <w:t>ONU, Informe provisional del Relator Especial sobre la cuestión de la tortura y otros tratos o penas crueles, inhumanos o degradantes. A/63/175. 28 de julio de 2008.</w:t>
      </w:r>
      <w:r w:rsidR="00783767" w:rsidRPr="00CF04BF">
        <w:rPr>
          <w:rFonts w:ascii="Times New Roman" w:hAnsi="Times New Roman" w:cs="Times New Roman"/>
          <w:sz w:val="24"/>
          <w:szCs w:val="24"/>
        </w:rPr>
        <w:t xml:space="preserve"> págs. 14 y 27.</w:t>
      </w:r>
    </w:p>
    <w:p w:rsidR="008A6376" w:rsidRPr="00CF04BF" w:rsidRDefault="008A6376" w:rsidP="009972EA">
      <w:pPr>
        <w:spacing w:after="0" w:line="480" w:lineRule="auto"/>
        <w:jc w:val="both"/>
        <w:rPr>
          <w:rFonts w:ascii="Times New Roman" w:hAnsi="Times New Roman" w:cs="Times New Roman"/>
          <w:sz w:val="24"/>
          <w:szCs w:val="24"/>
        </w:rPr>
      </w:pPr>
      <w:r w:rsidRPr="00CF04BF">
        <w:rPr>
          <w:rFonts w:ascii="Times New Roman" w:hAnsi="Times New Roman" w:cs="Times New Roman"/>
          <w:sz w:val="24"/>
          <w:szCs w:val="24"/>
          <w:lang w:val="es-CO"/>
        </w:rPr>
        <w:t xml:space="preserve">ONU, </w:t>
      </w:r>
      <w:r w:rsidRPr="00CF04BF">
        <w:rPr>
          <w:rFonts w:ascii="Times New Roman" w:hAnsi="Times New Roman" w:cs="Times New Roman"/>
          <w:sz w:val="24"/>
          <w:szCs w:val="24"/>
        </w:rPr>
        <w:t>Normas Uniformes sobre la igualdad de oportunidades para las personas con discapacidad, Art. 5.</w:t>
      </w:r>
      <w:r w:rsidR="00783767" w:rsidRPr="00CF04BF">
        <w:rPr>
          <w:rFonts w:ascii="Times New Roman" w:hAnsi="Times New Roman" w:cs="Times New Roman"/>
          <w:sz w:val="24"/>
          <w:szCs w:val="24"/>
        </w:rPr>
        <w:t xml:space="preserve"> pág. 17.</w:t>
      </w:r>
    </w:p>
    <w:p w:rsidR="008A6376" w:rsidRPr="00CF04BF" w:rsidRDefault="008A6376" w:rsidP="009972EA">
      <w:pPr>
        <w:pStyle w:val="FootnoteText"/>
        <w:spacing w:line="480" w:lineRule="auto"/>
        <w:jc w:val="both"/>
        <w:rPr>
          <w:rFonts w:ascii="Times New Roman" w:hAnsi="Times New Roman" w:cs="Times New Roman"/>
          <w:sz w:val="24"/>
          <w:szCs w:val="24"/>
        </w:rPr>
      </w:pPr>
      <w:r w:rsidRPr="00CF04BF">
        <w:rPr>
          <w:rFonts w:ascii="Times New Roman" w:hAnsi="Times New Roman" w:cs="Times New Roman"/>
          <w:sz w:val="24"/>
          <w:szCs w:val="24"/>
        </w:rPr>
        <w:t>ONU, Principios de Siracusa sobre las Disposiciones de Limitación y Suspensión del Pacto Internacional de Derechos Civiles y Políticos. 24 de agosto de 1984</w:t>
      </w:r>
      <w:r w:rsidR="00783767" w:rsidRPr="00CF04BF">
        <w:rPr>
          <w:rFonts w:ascii="Times New Roman" w:hAnsi="Times New Roman" w:cs="Times New Roman"/>
          <w:sz w:val="24"/>
          <w:szCs w:val="24"/>
        </w:rPr>
        <w:t>. pág. 22.</w:t>
      </w:r>
    </w:p>
    <w:p w:rsidR="008A6376" w:rsidRPr="00CF04BF" w:rsidRDefault="008A6376" w:rsidP="009972EA">
      <w:pPr>
        <w:pStyle w:val="FootnoteText"/>
        <w:spacing w:line="480" w:lineRule="auto"/>
        <w:jc w:val="both"/>
        <w:rPr>
          <w:rFonts w:ascii="Times New Roman" w:hAnsi="Times New Roman" w:cs="Times New Roman"/>
          <w:sz w:val="24"/>
          <w:szCs w:val="24"/>
        </w:rPr>
      </w:pPr>
      <w:r w:rsidRPr="00CF04BF">
        <w:rPr>
          <w:rFonts w:ascii="Times New Roman" w:hAnsi="Times New Roman" w:cs="Times New Roman"/>
          <w:sz w:val="24"/>
          <w:szCs w:val="24"/>
        </w:rPr>
        <w:t>OMS, Programa de acción para superar la brecha en salud mental (mhGAP). 2008</w:t>
      </w:r>
      <w:r w:rsidR="00783767" w:rsidRPr="00CF04BF">
        <w:rPr>
          <w:rFonts w:ascii="Times New Roman" w:hAnsi="Times New Roman" w:cs="Times New Roman"/>
          <w:sz w:val="24"/>
          <w:szCs w:val="24"/>
        </w:rPr>
        <w:t>. pág. 25.</w:t>
      </w:r>
    </w:p>
    <w:p w:rsidR="008A6376" w:rsidRPr="00CF04BF" w:rsidRDefault="008A6376" w:rsidP="009972EA">
      <w:pPr>
        <w:pStyle w:val="FootnoteText"/>
        <w:spacing w:line="480" w:lineRule="auto"/>
        <w:jc w:val="both"/>
        <w:rPr>
          <w:rFonts w:ascii="Times New Roman" w:hAnsi="Times New Roman" w:cs="Times New Roman"/>
          <w:sz w:val="24"/>
          <w:szCs w:val="24"/>
        </w:rPr>
      </w:pPr>
      <w:r w:rsidRPr="00CF04BF">
        <w:rPr>
          <w:rFonts w:ascii="Times New Roman" w:hAnsi="Times New Roman" w:cs="Times New Roman"/>
          <w:sz w:val="24"/>
          <w:szCs w:val="24"/>
        </w:rPr>
        <w:t>OMS, Nota Descriptiva No. 369. Octubre 2012.</w:t>
      </w:r>
      <w:r w:rsidR="00783767" w:rsidRPr="00CF04BF">
        <w:rPr>
          <w:rFonts w:ascii="Times New Roman" w:hAnsi="Times New Roman" w:cs="Times New Roman"/>
          <w:sz w:val="24"/>
          <w:szCs w:val="24"/>
        </w:rPr>
        <w:t xml:space="preserve"> pág. 25.</w:t>
      </w:r>
    </w:p>
    <w:p w:rsidR="008A6376" w:rsidRPr="00CF04BF" w:rsidRDefault="008A6376" w:rsidP="009972EA">
      <w:pPr>
        <w:spacing w:after="0" w:line="480" w:lineRule="auto"/>
        <w:jc w:val="both"/>
        <w:rPr>
          <w:rFonts w:ascii="Times New Roman" w:hAnsi="Times New Roman" w:cs="Times New Roman"/>
          <w:b/>
          <w:sz w:val="24"/>
          <w:szCs w:val="24"/>
        </w:rPr>
      </w:pPr>
      <w:r w:rsidRPr="00CF04BF">
        <w:rPr>
          <w:rFonts w:ascii="Times New Roman" w:hAnsi="Times New Roman" w:cs="Times New Roman"/>
          <w:b/>
          <w:sz w:val="24"/>
          <w:szCs w:val="24"/>
          <w:u w:val="single"/>
        </w:rPr>
        <w:t>Docume</w:t>
      </w:r>
      <w:r w:rsidR="00CB11FB" w:rsidRPr="00CF04BF">
        <w:rPr>
          <w:rFonts w:ascii="Times New Roman" w:hAnsi="Times New Roman" w:cs="Times New Roman"/>
          <w:b/>
          <w:sz w:val="24"/>
          <w:szCs w:val="24"/>
          <w:u w:val="single"/>
        </w:rPr>
        <w:t>ntos del Sistema Interamericano:</w:t>
      </w:r>
      <w:r w:rsidR="005424E7">
        <w:rPr>
          <w:rFonts w:ascii="Times New Roman" w:hAnsi="Times New Roman" w:cs="Times New Roman"/>
          <w:b/>
          <w:sz w:val="24"/>
          <w:szCs w:val="24"/>
        </w:rPr>
        <w:t xml:space="preserve"> </w:t>
      </w:r>
      <w:r w:rsidRPr="00CF04BF">
        <w:rPr>
          <w:rFonts w:ascii="Times New Roman" w:hAnsi="Times New Roman" w:cs="Times New Roman"/>
          <w:sz w:val="24"/>
          <w:szCs w:val="24"/>
        </w:rPr>
        <w:t>OEA, Convención Interamericana para la Eliminación de Todas las Formas de Discriminación contra las personas con Discapacidad, 7 de junio de 1999, artículo III.</w:t>
      </w:r>
      <w:r w:rsidR="00783767" w:rsidRPr="00CF04BF">
        <w:rPr>
          <w:rFonts w:ascii="Times New Roman" w:hAnsi="Times New Roman" w:cs="Times New Roman"/>
          <w:sz w:val="24"/>
          <w:szCs w:val="24"/>
        </w:rPr>
        <w:t xml:space="preserve"> págs. 21 y 24.</w:t>
      </w:r>
    </w:p>
    <w:p w:rsidR="008A6376" w:rsidRPr="00CF04BF" w:rsidRDefault="008A6376" w:rsidP="009972EA">
      <w:pPr>
        <w:pStyle w:val="FootnoteText"/>
        <w:spacing w:line="480" w:lineRule="auto"/>
        <w:jc w:val="both"/>
        <w:rPr>
          <w:rFonts w:ascii="Times New Roman" w:hAnsi="Times New Roman" w:cs="Times New Roman"/>
          <w:sz w:val="24"/>
          <w:szCs w:val="24"/>
        </w:rPr>
      </w:pPr>
      <w:r w:rsidRPr="00CF04BF">
        <w:rPr>
          <w:rFonts w:ascii="Times New Roman" w:hAnsi="Times New Roman" w:cs="Times New Roman"/>
          <w:sz w:val="24"/>
          <w:szCs w:val="24"/>
        </w:rPr>
        <w:t>CIDH. Informe anual 1997. Recomendaciones a los Estados miembros en áreas en las cuales deben adoptarse medidas para la cabal observancia de los derechos humanos. OEA/Ser.L/V/II.98 Doc. 6, 17 de febrero de 1998.</w:t>
      </w:r>
      <w:r w:rsidR="00783767" w:rsidRPr="00CF04BF">
        <w:rPr>
          <w:rFonts w:ascii="Times New Roman" w:hAnsi="Times New Roman" w:cs="Times New Roman"/>
          <w:sz w:val="24"/>
          <w:szCs w:val="24"/>
        </w:rPr>
        <w:t xml:space="preserve"> pág. 30.</w:t>
      </w:r>
    </w:p>
    <w:p w:rsidR="008A6376" w:rsidRPr="00CF04BF" w:rsidRDefault="008A6376" w:rsidP="009972EA">
      <w:pPr>
        <w:pStyle w:val="FootnoteText"/>
        <w:spacing w:line="480" w:lineRule="auto"/>
        <w:jc w:val="both"/>
        <w:rPr>
          <w:rFonts w:ascii="Times New Roman" w:hAnsi="Times New Roman" w:cs="Times New Roman"/>
          <w:sz w:val="24"/>
          <w:szCs w:val="24"/>
        </w:rPr>
      </w:pPr>
      <w:r w:rsidRPr="00CF04BF">
        <w:rPr>
          <w:rFonts w:ascii="Times New Roman" w:hAnsi="Times New Roman" w:cs="Times New Roman"/>
          <w:sz w:val="24"/>
          <w:szCs w:val="24"/>
        </w:rPr>
        <w:t>CIDH, Principios y Buenas Prácticas sobre la Protección de las Personas Privadas de su Libertad en las Américas. Principio XXII.3). Relatoría sobre los Derechos de las Personas Privadas de su Libertad. Marzo 2008.</w:t>
      </w:r>
      <w:r w:rsidR="00783767" w:rsidRPr="00CF04BF">
        <w:rPr>
          <w:rFonts w:ascii="Times New Roman" w:hAnsi="Times New Roman" w:cs="Times New Roman"/>
          <w:sz w:val="24"/>
          <w:szCs w:val="24"/>
        </w:rPr>
        <w:t xml:space="preserve"> pág. 13.</w:t>
      </w:r>
    </w:p>
    <w:p w:rsidR="008A6376" w:rsidRPr="00CF04BF" w:rsidRDefault="008A6376" w:rsidP="009972EA">
      <w:pPr>
        <w:pStyle w:val="FootnoteText"/>
        <w:spacing w:line="480" w:lineRule="auto"/>
        <w:jc w:val="both"/>
        <w:rPr>
          <w:rFonts w:ascii="Times New Roman" w:hAnsi="Times New Roman" w:cs="Times New Roman"/>
          <w:sz w:val="24"/>
          <w:szCs w:val="24"/>
        </w:rPr>
      </w:pPr>
      <w:r w:rsidRPr="00CF04BF">
        <w:rPr>
          <w:rFonts w:ascii="Times New Roman" w:hAnsi="Times New Roman" w:cs="Times New Roman"/>
          <w:sz w:val="24"/>
          <w:szCs w:val="24"/>
        </w:rPr>
        <w:lastRenderedPageBreak/>
        <w:t>CIDH. Principios para la protección de los enfermos mentales y el mejoramiento de la atención de la salud mental. Relatoría sobre los derechos de las personas privadas de la Libertad en las Américas. Resolución 46/119. 17 de diciembre 1991.</w:t>
      </w:r>
      <w:r w:rsidR="00864B56" w:rsidRPr="00CF04BF">
        <w:rPr>
          <w:rFonts w:ascii="Times New Roman" w:hAnsi="Times New Roman" w:cs="Times New Roman"/>
          <w:sz w:val="24"/>
          <w:szCs w:val="24"/>
        </w:rPr>
        <w:t xml:space="preserve"> pág. 26.</w:t>
      </w:r>
    </w:p>
    <w:p w:rsidR="00ED5CDF" w:rsidRPr="00CF04BF" w:rsidRDefault="00ED5CDF" w:rsidP="009972EA">
      <w:pPr>
        <w:pStyle w:val="FootnoteText"/>
        <w:spacing w:line="480" w:lineRule="auto"/>
        <w:jc w:val="both"/>
        <w:rPr>
          <w:rFonts w:ascii="Times New Roman" w:hAnsi="Times New Roman" w:cs="Times New Roman"/>
          <w:sz w:val="24"/>
          <w:szCs w:val="24"/>
        </w:rPr>
      </w:pPr>
      <w:r w:rsidRPr="00CF04BF">
        <w:rPr>
          <w:rFonts w:ascii="Times New Roman" w:hAnsi="Times New Roman" w:cs="Times New Roman"/>
          <w:sz w:val="24"/>
          <w:szCs w:val="24"/>
        </w:rPr>
        <w:t>CIDH, Reglamento de la CIDH.</w:t>
      </w:r>
      <w:r w:rsidR="00864B56" w:rsidRPr="00CF04BF">
        <w:rPr>
          <w:rFonts w:ascii="Times New Roman" w:hAnsi="Times New Roman" w:cs="Times New Roman"/>
          <w:sz w:val="24"/>
          <w:szCs w:val="24"/>
        </w:rPr>
        <w:t xml:space="preserve"> pág. 15.</w:t>
      </w:r>
    </w:p>
    <w:p w:rsidR="008A6376" w:rsidRPr="00CF04BF" w:rsidRDefault="008A6376" w:rsidP="009972EA">
      <w:pPr>
        <w:spacing w:after="0" w:line="480" w:lineRule="auto"/>
        <w:jc w:val="both"/>
        <w:rPr>
          <w:rFonts w:ascii="Times New Roman" w:hAnsi="Times New Roman" w:cs="Times New Roman"/>
          <w:b/>
          <w:sz w:val="24"/>
          <w:szCs w:val="24"/>
        </w:rPr>
      </w:pPr>
      <w:r w:rsidRPr="00CF04BF">
        <w:rPr>
          <w:rFonts w:ascii="Times New Roman" w:hAnsi="Times New Roman" w:cs="Times New Roman"/>
          <w:b/>
          <w:sz w:val="24"/>
          <w:szCs w:val="24"/>
        </w:rPr>
        <w:t xml:space="preserve">CASOS LEGALES </w:t>
      </w:r>
    </w:p>
    <w:p w:rsidR="008A6376" w:rsidRPr="00CF04BF" w:rsidRDefault="008A6376" w:rsidP="009972EA">
      <w:pPr>
        <w:spacing w:after="0" w:line="480" w:lineRule="auto"/>
        <w:jc w:val="both"/>
        <w:rPr>
          <w:rFonts w:ascii="Times New Roman" w:hAnsi="Times New Roman" w:cs="Times New Roman"/>
          <w:b/>
          <w:sz w:val="24"/>
          <w:szCs w:val="24"/>
        </w:rPr>
      </w:pPr>
      <w:r w:rsidRPr="00CF04BF">
        <w:rPr>
          <w:rFonts w:ascii="Times New Roman" w:hAnsi="Times New Roman" w:cs="Times New Roman"/>
          <w:b/>
          <w:sz w:val="24"/>
          <w:szCs w:val="24"/>
        </w:rPr>
        <w:t>Corte Interamericana de Derechos Humanos</w:t>
      </w:r>
    </w:p>
    <w:p w:rsidR="008A6376" w:rsidRPr="00CF04BF" w:rsidRDefault="00E6065F" w:rsidP="009972EA">
      <w:pPr>
        <w:spacing w:after="0" w:line="480" w:lineRule="auto"/>
        <w:jc w:val="both"/>
        <w:rPr>
          <w:rFonts w:ascii="Times New Roman" w:hAnsi="Times New Roman" w:cs="Times New Roman"/>
          <w:b/>
          <w:sz w:val="24"/>
          <w:szCs w:val="24"/>
        </w:rPr>
      </w:pPr>
      <w:r w:rsidRPr="00CF04BF">
        <w:rPr>
          <w:rFonts w:ascii="Times New Roman" w:hAnsi="Times New Roman" w:cs="Times New Roman"/>
          <w:b/>
          <w:sz w:val="24"/>
          <w:szCs w:val="24"/>
          <w:u w:val="single"/>
        </w:rPr>
        <w:t>Casos Contenciosos:</w:t>
      </w:r>
      <w:r w:rsidR="005424E7">
        <w:rPr>
          <w:rFonts w:ascii="Times New Roman" w:hAnsi="Times New Roman" w:cs="Times New Roman"/>
          <w:b/>
          <w:sz w:val="24"/>
          <w:szCs w:val="24"/>
        </w:rPr>
        <w:t xml:space="preserve"> </w:t>
      </w:r>
      <w:r w:rsidR="008A6376" w:rsidRPr="00CF04BF">
        <w:rPr>
          <w:rFonts w:ascii="Times New Roman" w:hAnsi="Times New Roman" w:cs="Times New Roman"/>
          <w:sz w:val="24"/>
          <w:szCs w:val="24"/>
        </w:rPr>
        <w:t>Corte IDH. Caso Velásquez Rodríguez Vs Honduras. Fondo. Sentencia de 29 de julio de 1988. Serie C No. 4.</w:t>
      </w:r>
      <w:r w:rsidR="00864B56" w:rsidRPr="00CF04BF">
        <w:rPr>
          <w:rFonts w:ascii="Times New Roman" w:hAnsi="Times New Roman" w:cs="Times New Roman"/>
          <w:sz w:val="24"/>
          <w:szCs w:val="24"/>
        </w:rPr>
        <w:t xml:space="preserve"> págs. 28 y 33.</w:t>
      </w:r>
    </w:p>
    <w:p w:rsidR="008A6376" w:rsidRPr="00CF04BF" w:rsidRDefault="008A6376" w:rsidP="009972EA">
      <w:pPr>
        <w:pStyle w:val="FootnoteText"/>
        <w:spacing w:line="480" w:lineRule="auto"/>
        <w:jc w:val="both"/>
        <w:rPr>
          <w:rFonts w:ascii="Times New Roman" w:hAnsi="Times New Roman" w:cs="Times New Roman"/>
          <w:sz w:val="24"/>
          <w:szCs w:val="24"/>
        </w:rPr>
      </w:pPr>
      <w:r w:rsidRPr="00CF04BF">
        <w:rPr>
          <w:rFonts w:ascii="Times New Roman" w:hAnsi="Times New Roman" w:cs="Times New Roman"/>
          <w:sz w:val="24"/>
          <w:szCs w:val="24"/>
        </w:rPr>
        <w:t>Corte IDH. Caso Godínez Cruz Vs. Honduras. Fondo. Sentencia de 20 de enero de 1989. Serie C No. 5.</w:t>
      </w:r>
      <w:r w:rsidR="00864B56" w:rsidRPr="00CF04BF">
        <w:rPr>
          <w:rFonts w:ascii="Times New Roman" w:hAnsi="Times New Roman" w:cs="Times New Roman"/>
          <w:sz w:val="24"/>
          <w:szCs w:val="24"/>
        </w:rPr>
        <w:t xml:space="preserve"> pág. 33.</w:t>
      </w:r>
    </w:p>
    <w:p w:rsidR="008A6376" w:rsidRPr="00CF04BF" w:rsidRDefault="008A6376" w:rsidP="009972EA">
      <w:pPr>
        <w:pStyle w:val="FootnoteText"/>
        <w:spacing w:line="480" w:lineRule="auto"/>
        <w:jc w:val="both"/>
        <w:rPr>
          <w:rFonts w:ascii="Times New Roman" w:hAnsi="Times New Roman" w:cs="Times New Roman"/>
          <w:sz w:val="24"/>
          <w:szCs w:val="24"/>
        </w:rPr>
      </w:pPr>
      <w:r w:rsidRPr="00CF04BF">
        <w:rPr>
          <w:rFonts w:ascii="Times New Roman" w:hAnsi="Times New Roman" w:cs="Times New Roman"/>
          <w:sz w:val="24"/>
          <w:szCs w:val="24"/>
        </w:rPr>
        <w:t>Corte IDH. Genie Lacayo Vs. Nicaragua. Fondo, Reparaciones y Costas. Sentencia de 29 de enero de 1997. Serie C No. 30.</w:t>
      </w:r>
      <w:r w:rsidR="00864B56" w:rsidRPr="00CF04BF">
        <w:rPr>
          <w:rFonts w:ascii="Times New Roman" w:hAnsi="Times New Roman" w:cs="Times New Roman"/>
          <w:sz w:val="24"/>
          <w:szCs w:val="24"/>
        </w:rPr>
        <w:t xml:space="preserve"> págs. 30 y 33.</w:t>
      </w:r>
    </w:p>
    <w:p w:rsidR="008A6376" w:rsidRPr="00CF04BF" w:rsidRDefault="008A6376" w:rsidP="009972EA">
      <w:pPr>
        <w:pStyle w:val="FootnoteText"/>
        <w:spacing w:line="480" w:lineRule="auto"/>
        <w:jc w:val="both"/>
        <w:rPr>
          <w:rStyle w:val="apple-style-span"/>
          <w:rFonts w:ascii="Times New Roman" w:hAnsi="Times New Roman" w:cs="Times New Roman"/>
          <w:sz w:val="24"/>
          <w:szCs w:val="24"/>
        </w:rPr>
      </w:pPr>
      <w:r w:rsidRPr="00CF04BF">
        <w:rPr>
          <w:rFonts w:ascii="Times New Roman" w:hAnsi="Times New Roman" w:cs="Times New Roman"/>
          <w:sz w:val="24"/>
          <w:szCs w:val="24"/>
        </w:rPr>
        <w:t>Corte IDH. Caso Suárez Rosero Vs. Ecuador. Excepciones Preliminares, Fondo, Reparaciones y Costas. Sentencia de 12 de noviembre de 1997. Serie C No. 35.</w:t>
      </w:r>
      <w:r w:rsidR="00864B56" w:rsidRPr="00CF04BF">
        <w:rPr>
          <w:rFonts w:ascii="Times New Roman" w:hAnsi="Times New Roman" w:cs="Times New Roman"/>
          <w:sz w:val="24"/>
          <w:szCs w:val="24"/>
        </w:rPr>
        <w:t xml:space="preserve"> pág. 32.</w:t>
      </w:r>
    </w:p>
    <w:p w:rsidR="008A6376" w:rsidRPr="00CF04BF" w:rsidRDefault="008A6376" w:rsidP="009972EA">
      <w:pPr>
        <w:pStyle w:val="FootnoteText"/>
        <w:tabs>
          <w:tab w:val="left" w:pos="720"/>
        </w:tabs>
        <w:spacing w:line="480" w:lineRule="auto"/>
        <w:jc w:val="both"/>
        <w:rPr>
          <w:rStyle w:val="apple-style-span"/>
          <w:rFonts w:ascii="Times New Roman" w:hAnsi="Times New Roman" w:cs="Times New Roman"/>
          <w:color w:val="000000"/>
          <w:sz w:val="24"/>
          <w:szCs w:val="24"/>
        </w:rPr>
      </w:pPr>
      <w:r w:rsidRPr="00CF04BF">
        <w:rPr>
          <w:rFonts w:ascii="Times New Roman" w:hAnsi="Times New Roman" w:cs="Times New Roman"/>
          <w:sz w:val="24"/>
          <w:szCs w:val="24"/>
        </w:rPr>
        <w:t xml:space="preserve">Corte IDH. </w:t>
      </w:r>
      <w:r w:rsidRPr="00CF04BF">
        <w:rPr>
          <w:rStyle w:val="apple-style-span"/>
          <w:rFonts w:ascii="Times New Roman" w:hAnsi="Times New Roman" w:cs="Times New Roman"/>
          <w:bCs/>
          <w:color w:val="000000"/>
          <w:sz w:val="24"/>
          <w:szCs w:val="24"/>
        </w:rPr>
        <w:t>Caso Bámaca Velásquez Vs. Guatemala.</w:t>
      </w:r>
      <w:r w:rsidRPr="00CF04BF">
        <w:rPr>
          <w:rStyle w:val="apple-converted-space"/>
          <w:rFonts w:ascii="Times New Roman" w:eastAsiaTheme="majorEastAsia" w:hAnsi="Times New Roman" w:cs="Times New Roman"/>
          <w:bCs/>
          <w:color w:val="000000"/>
          <w:sz w:val="24"/>
          <w:szCs w:val="24"/>
        </w:rPr>
        <w:t xml:space="preserve"> </w:t>
      </w:r>
      <w:r w:rsidRPr="00CF04BF">
        <w:rPr>
          <w:rStyle w:val="apple-style-span"/>
          <w:rFonts w:ascii="Times New Roman" w:hAnsi="Times New Roman" w:cs="Times New Roman"/>
          <w:color w:val="000000"/>
          <w:sz w:val="24"/>
          <w:szCs w:val="24"/>
        </w:rPr>
        <w:t>Fondo. Sentencia de 25 de noviembre de 2000. Serie C No. 70.</w:t>
      </w:r>
      <w:r w:rsidR="00864B56" w:rsidRPr="00CF04BF">
        <w:rPr>
          <w:rStyle w:val="apple-style-span"/>
          <w:rFonts w:ascii="Times New Roman" w:hAnsi="Times New Roman" w:cs="Times New Roman"/>
          <w:color w:val="000000"/>
          <w:sz w:val="24"/>
          <w:szCs w:val="24"/>
        </w:rPr>
        <w:t xml:space="preserve"> págs. 15 y 18.</w:t>
      </w:r>
    </w:p>
    <w:p w:rsidR="008A6376" w:rsidRPr="00CF04BF" w:rsidRDefault="008A6376" w:rsidP="009972EA">
      <w:pPr>
        <w:pStyle w:val="FootnoteText"/>
        <w:tabs>
          <w:tab w:val="left" w:pos="720"/>
        </w:tabs>
        <w:spacing w:line="480" w:lineRule="auto"/>
        <w:jc w:val="both"/>
        <w:rPr>
          <w:rFonts w:ascii="Times New Roman" w:hAnsi="Times New Roman" w:cs="Times New Roman"/>
          <w:sz w:val="24"/>
          <w:szCs w:val="24"/>
          <w:lang w:bidi="en-US"/>
        </w:rPr>
      </w:pPr>
      <w:r w:rsidRPr="00CF04BF">
        <w:rPr>
          <w:rFonts w:ascii="Times New Roman" w:hAnsi="Times New Roman" w:cs="Times New Roman"/>
          <w:sz w:val="24"/>
          <w:szCs w:val="24"/>
        </w:rPr>
        <w:t>Corte IDH. Caso del Tribunal Constitucional Vs. Perú. Fondo, Reparaciones y Costas. Sentencia del 31 de enero de 2001. Serie C. No. 71.</w:t>
      </w:r>
      <w:r w:rsidR="00864B56" w:rsidRPr="00CF04BF">
        <w:rPr>
          <w:rFonts w:ascii="Times New Roman" w:hAnsi="Times New Roman" w:cs="Times New Roman"/>
          <w:sz w:val="24"/>
          <w:szCs w:val="24"/>
        </w:rPr>
        <w:t xml:space="preserve"> págs. 19 y 33.</w:t>
      </w:r>
    </w:p>
    <w:p w:rsidR="008A6376" w:rsidRPr="00CF04BF" w:rsidRDefault="008A6376" w:rsidP="009972EA">
      <w:pPr>
        <w:pStyle w:val="FootnoteText"/>
        <w:spacing w:line="480" w:lineRule="auto"/>
        <w:jc w:val="both"/>
        <w:rPr>
          <w:rFonts w:ascii="Times New Roman" w:hAnsi="Times New Roman" w:cs="Times New Roman"/>
          <w:sz w:val="24"/>
          <w:szCs w:val="24"/>
        </w:rPr>
      </w:pPr>
      <w:r w:rsidRPr="00CF04BF">
        <w:rPr>
          <w:rFonts w:ascii="Times New Roman" w:hAnsi="Times New Roman" w:cs="Times New Roman"/>
          <w:sz w:val="24"/>
          <w:szCs w:val="24"/>
        </w:rPr>
        <w:t>Corte IDH. Caso Ivcher Bronstein Vs. Perú. Fondo, Reparaciones y costas. Sentencia del 6 de febrero de 2001. Serie C No. 74.</w:t>
      </w:r>
      <w:r w:rsidR="00864B56" w:rsidRPr="00CF04BF">
        <w:rPr>
          <w:rFonts w:ascii="Times New Roman" w:hAnsi="Times New Roman" w:cs="Times New Roman"/>
          <w:sz w:val="24"/>
          <w:szCs w:val="24"/>
        </w:rPr>
        <w:t xml:space="preserve"> pág. 34.</w:t>
      </w:r>
    </w:p>
    <w:p w:rsidR="008A6376" w:rsidRPr="00CF04BF" w:rsidRDefault="008A6376" w:rsidP="009972EA">
      <w:pPr>
        <w:pStyle w:val="FootnoteText"/>
        <w:spacing w:line="480" w:lineRule="auto"/>
        <w:jc w:val="both"/>
        <w:rPr>
          <w:rFonts w:ascii="Times New Roman" w:hAnsi="Times New Roman" w:cs="Times New Roman"/>
          <w:sz w:val="24"/>
          <w:szCs w:val="24"/>
        </w:rPr>
      </w:pPr>
      <w:r w:rsidRPr="00CF04BF">
        <w:rPr>
          <w:rFonts w:ascii="Times New Roman" w:hAnsi="Times New Roman" w:cs="Times New Roman"/>
          <w:sz w:val="24"/>
          <w:szCs w:val="24"/>
        </w:rPr>
        <w:t>Corte IDH. Caso de la Comunidad Mayagna (Sumo) Awas Tingni Vs. Nicaragua. Fondo, Reparaciones y Costas. Sentencia del 31 de agosto de 2001. Serie C No. 79.</w:t>
      </w:r>
      <w:r w:rsidR="00864B56" w:rsidRPr="00CF04BF">
        <w:rPr>
          <w:rFonts w:ascii="Times New Roman" w:hAnsi="Times New Roman" w:cs="Times New Roman"/>
          <w:sz w:val="24"/>
          <w:szCs w:val="24"/>
        </w:rPr>
        <w:t xml:space="preserve"> pág. 34.</w:t>
      </w:r>
    </w:p>
    <w:p w:rsidR="008A6376" w:rsidRPr="00CF04BF" w:rsidRDefault="008A6376" w:rsidP="009972EA">
      <w:pPr>
        <w:pStyle w:val="FootnoteText"/>
        <w:spacing w:line="480" w:lineRule="auto"/>
        <w:jc w:val="both"/>
        <w:rPr>
          <w:rFonts w:ascii="Times New Roman" w:hAnsi="Times New Roman" w:cs="Times New Roman"/>
          <w:sz w:val="24"/>
          <w:szCs w:val="24"/>
        </w:rPr>
      </w:pPr>
      <w:r w:rsidRPr="00CF04BF">
        <w:rPr>
          <w:rFonts w:ascii="Times New Roman" w:hAnsi="Times New Roman" w:cs="Times New Roman"/>
          <w:sz w:val="24"/>
          <w:szCs w:val="24"/>
        </w:rPr>
        <w:lastRenderedPageBreak/>
        <w:t>Corte IDH. Caso 19 Comerciantes Vs. Colombia. Fondo, Reparaciones y Costas. Sentencia de 5 de julio de 2004 Serie C No. 109.</w:t>
      </w:r>
      <w:r w:rsidR="00864B56" w:rsidRPr="00CF04BF">
        <w:rPr>
          <w:rFonts w:ascii="Times New Roman" w:hAnsi="Times New Roman" w:cs="Times New Roman"/>
          <w:sz w:val="24"/>
          <w:szCs w:val="24"/>
        </w:rPr>
        <w:t xml:space="preserve"> pág. 32.</w:t>
      </w:r>
    </w:p>
    <w:p w:rsidR="008A6376" w:rsidRPr="00CF04BF" w:rsidRDefault="008A6376" w:rsidP="009972EA">
      <w:pPr>
        <w:pStyle w:val="FootnoteText"/>
        <w:spacing w:line="480" w:lineRule="auto"/>
        <w:jc w:val="both"/>
        <w:rPr>
          <w:rFonts w:ascii="Times New Roman" w:hAnsi="Times New Roman" w:cs="Times New Roman"/>
          <w:sz w:val="24"/>
          <w:szCs w:val="24"/>
        </w:rPr>
      </w:pPr>
      <w:r w:rsidRPr="00CF04BF">
        <w:rPr>
          <w:rFonts w:ascii="Times New Roman" w:hAnsi="Times New Roman" w:cs="Times New Roman"/>
          <w:sz w:val="24"/>
          <w:szCs w:val="24"/>
        </w:rPr>
        <w:t>Corte IDH. Caso Ricardo Canese Vs. Paraguay. Fondo, Reparaciones y Costas. Sentencia de 31 de agosto de 2004 Serie C No. 111.</w:t>
      </w:r>
      <w:r w:rsidR="00864B56" w:rsidRPr="00CF04BF">
        <w:rPr>
          <w:rFonts w:ascii="Times New Roman" w:hAnsi="Times New Roman" w:cs="Times New Roman"/>
          <w:sz w:val="24"/>
          <w:szCs w:val="24"/>
        </w:rPr>
        <w:t xml:space="preserve"> pág.32.</w:t>
      </w:r>
    </w:p>
    <w:p w:rsidR="008A6376" w:rsidRPr="00CF04BF" w:rsidRDefault="008A6376" w:rsidP="009972EA">
      <w:pPr>
        <w:pStyle w:val="FootnoteText"/>
        <w:spacing w:line="480" w:lineRule="auto"/>
        <w:jc w:val="both"/>
        <w:rPr>
          <w:rFonts w:ascii="Times New Roman" w:hAnsi="Times New Roman" w:cs="Times New Roman"/>
          <w:sz w:val="24"/>
          <w:szCs w:val="24"/>
        </w:rPr>
      </w:pPr>
      <w:r w:rsidRPr="00CF04BF">
        <w:rPr>
          <w:rFonts w:ascii="Times New Roman" w:hAnsi="Times New Roman" w:cs="Times New Roman"/>
          <w:sz w:val="24"/>
          <w:szCs w:val="24"/>
        </w:rPr>
        <w:t>Corte IDH. Caso Tibi Vs. Ecuador. Excepciones preliminares, Fondo, Reparaciones y Costas. Sentencia del 7 de noviembre de 2004. Serie C No. 114.</w:t>
      </w:r>
      <w:r w:rsidR="00864B56" w:rsidRPr="00CF04BF">
        <w:rPr>
          <w:rFonts w:ascii="Times New Roman" w:hAnsi="Times New Roman" w:cs="Times New Roman"/>
          <w:sz w:val="24"/>
          <w:szCs w:val="24"/>
        </w:rPr>
        <w:t xml:space="preserve"> pág. 33.</w:t>
      </w:r>
    </w:p>
    <w:p w:rsidR="008A6376" w:rsidRPr="00CF04BF" w:rsidRDefault="008A6376" w:rsidP="009972EA">
      <w:pPr>
        <w:pStyle w:val="FootnoteText"/>
        <w:spacing w:line="480" w:lineRule="auto"/>
        <w:jc w:val="both"/>
        <w:rPr>
          <w:rFonts w:ascii="Times New Roman" w:hAnsi="Times New Roman" w:cs="Times New Roman"/>
          <w:sz w:val="24"/>
          <w:szCs w:val="24"/>
        </w:rPr>
      </w:pPr>
      <w:r w:rsidRPr="00CF04BF">
        <w:rPr>
          <w:rFonts w:ascii="Times New Roman" w:hAnsi="Times New Roman" w:cs="Times New Roman"/>
          <w:sz w:val="24"/>
          <w:szCs w:val="24"/>
        </w:rPr>
        <w:t>Corte IDH. Caso Palamara Iribarne Vs. Chile. Fondo, Reparaciones y Costas. Sentencia de 22 de noviembre de 2005. Serie C No. 135.</w:t>
      </w:r>
      <w:r w:rsidR="00864B56" w:rsidRPr="00CF04BF">
        <w:rPr>
          <w:rFonts w:ascii="Times New Roman" w:hAnsi="Times New Roman" w:cs="Times New Roman"/>
          <w:sz w:val="24"/>
          <w:szCs w:val="24"/>
        </w:rPr>
        <w:t xml:space="preserve"> pág. 20.</w:t>
      </w:r>
    </w:p>
    <w:p w:rsidR="008A6376" w:rsidRPr="00CF04BF" w:rsidRDefault="008A6376" w:rsidP="009972EA">
      <w:pPr>
        <w:pStyle w:val="FootnoteText"/>
        <w:spacing w:line="480" w:lineRule="auto"/>
        <w:jc w:val="both"/>
        <w:rPr>
          <w:rFonts w:ascii="Times New Roman" w:hAnsi="Times New Roman" w:cs="Times New Roman"/>
          <w:sz w:val="24"/>
          <w:szCs w:val="24"/>
        </w:rPr>
      </w:pPr>
      <w:r w:rsidRPr="00CF04BF">
        <w:rPr>
          <w:rFonts w:ascii="Times New Roman" w:hAnsi="Times New Roman" w:cs="Times New Roman"/>
          <w:sz w:val="24"/>
          <w:szCs w:val="24"/>
        </w:rPr>
        <w:t>Corte IDH. Caso García Asto y Ramírez Rojas Vs. Perú. Excepción Preliminar, Fondo, Reparaciones y Costas. Sentencia de 25 de noviembre de 2005. Serie C No. 137.</w:t>
      </w:r>
      <w:r w:rsidR="00864B56" w:rsidRPr="00CF04BF">
        <w:rPr>
          <w:rFonts w:ascii="Times New Roman" w:hAnsi="Times New Roman" w:cs="Times New Roman"/>
          <w:sz w:val="24"/>
          <w:szCs w:val="24"/>
        </w:rPr>
        <w:t xml:space="preserve"> pág. 20.</w:t>
      </w:r>
    </w:p>
    <w:p w:rsidR="008A6376" w:rsidRPr="00CF04BF" w:rsidRDefault="008A6376" w:rsidP="009972EA">
      <w:pPr>
        <w:pStyle w:val="FootnoteText"/>
        <w:spacing w:line="480" w:lineRule="auto"/>
        <w:jc w:val="both"/>
        <w:rPr>
          <w:rFonts w:ascii="Times New Roman" w:hAnsi="Times New Roman" w:cs="Times New Roman"/>
          <w:bCs/>
          <w:sz w:val="24"/>
          <w:szCs w:val="24"/>
        </w:rPr>
      </w:pPr>
      <w:r w:rsidRPr="00CF04BF">
        <w:rPr>
          <w:rFonts w:ascii="Times New Roman" w:hAnsi="Times New Roman" w:cs="Times New Roman"/>
          <w:sz w:val="24"/>
          <w:szCs w:val="24"/>
        </w:rPr>
        <w:t xml:space="preserve">Corte IDH. </w:t>
      </w:r>
      <w:r w:rsidRPr="00CF04BF">
        <w:rPr>
          <w:rFonts w:ascii="Times New Roman" w:hAnsi="Times New Roman" w:cs="Times New Roman"/>
          <w:bCs/>
          <w:sz w:val="24"/>
          <w:szCs w:val="24"/>
        </w:rPr>
        <w:t>Caso Comunidad Indígena Sawhoyamaxa Vs. Paraguay. Fondo, Reparaciones y Costas. Sentencia de 29 de marzo de 2006. Serie C No. 146.</w:t>
      </w:r>
      <w:r w:rsidR="00864B56" w:rsidRPr="00CF04BF">
        <w:rPr>
          <w:rFonts w:ascii="Times New Roman" w:hAnsi="Times New Roman" w:cs="Times New Roman"/>
          <w:bCs/>
          <w:sz w:val="24"/>
          <w:szCs w:val="24"/>
        </w:rPr>
        <w:t xml:space="preserve"> pág. 16.</w:t>
      </w:r>
    </w:p>
    <w:p w:rsidR="008A6376" w:rsidRPr="00CF04BF" w:rsidRDefault="008A6376" w:rsidP="009972EA">
      <w:pPr>
        <w:spacing w:after="0" w:line="480" w:lineRule="auto"/>
        <w:jc w:val="both"/>
        <w:rPr>
          <w:rFonts w:ascii="Times New Roman" w:hAnsi="Times New Roman" w:cs="Times New Roman"/>
          <w:sz w:val="24"/>
          <w:szCs w:val="24"/>
        </w:rPr>
      </w:pPr>
      <w:r w:rsidRPr="00CF04BF">
        <w:rPr>
          <w:rFonts w:ascii="Times New Roman" w:hAnsi="Times New Roman" w:cs="Times New Roman"/>
          <w:sz w:val="24"/>
          <w:szCs w:val="24"/>
        </w:rPr>
        <w:t>Corte IDH.</w:t>
      </w:r>
      <w:r w:rsidR="00864B56" w:rsidRPr="00CF04BF">
        <w:rPr>
          <w:rFonts w:ascii="Times New Roman" w:hAnsi="Times New Roman" w:cs="Times New Roman"/>
          <w:sz w:val="24"/>
          <w:szCs w:val="24"/>
        </w:rPr>
        <w:t xml:space="preserve"> Ximenes Lopes Vs. Brasil, </w:t>
      </w:r>
      <w:r w:rsidRPr="00CF04BF">
        <w:rPr>
          <w:rFonts w:ascii="Times New Roman" w:hAnsi="Times New Roman" w:cs="Times New Roman"/>
          <w:sz w:val="24"/>
          <w:szCs w:val="24"/>
        </w:rPr>
        <w:t>4 de julio de 2006. Serie C No. 149.</w:t>
      </w:r>
      <w:r w:rsidR="00864B56" w:rsidRPr="00CF04BF">
        <w:rPr>
          <w:rFonts w:ascii="Times New Roman" w:hAnsi="Times New Roman" w:cs="Times New Roman"/>
          <w:sz w:val="24"/>
          <w:szCs w:val="24"/>
        </w:rPr>
        <w:t xml:space="preserve"> págs. 17, 24, 25 y 26.</w:t>
      </w:r>
    </w:p>
    <w:p w:rsidR="008A6376" w:rsidRPr="00CF04BF" w:rsidRDefault="008A6376" w:rsidP="009972EA">
      <w:pPr>
        <w:spacing w:after="0" w:line="480" w:lineRule="auto"/>
        <w:jc w:val="both"/>
        <w:rPr>
          <w:rFonts w:ascii="Times New Roman" w:hAnsi="Times New Roman" w:cs="Times New Roman"/>
          <w:sz w:val="24"/>
          <w:szCs w:val="24"/>
        </w:rPr>
      </w:pPr>
      <w:r w:rsidRPr="00CF04BF">
        <w:rPr>
          <w:rFonts w:ascii="Times New Roman" w:hAnsi="Times New Roman" w:cs="Times New Roman"/>
          <w:sz w:val="24"/>
          <w:szCs w:val="24"/>
        </w:rPr>
        <w:t>Corte IDH. Caso Montero Aranguren Vs. Venezuela. Excepción Preliminar, Fondo, Reparaciones y Costas Sentencia de 5 de julio de 2006. Serie C No. 150.</w:t>
      </w:r>
      <w:r w:rsidR="00864B56" w:rsidRPr="00CF04BF">
        <w:rPr>
          <w:rFonts w:ascii="Times New Roman" w:hAnsi="Times New Roman" w:cs="Times New Roman"/>
          <w:sz w:val="24"/>
          <w:szCs w:val="24"/>
        </w:rPr>
        <w:t xml:space="preserve"> pág. 27.</w:t>
      </w:r>
    </w:p>
    <w:p w:rsidR="008A6376" w:rsidRPr="00CF04BF" w:rsidRDefault="008A6376" w:rsidP="009972EA">
      <w:pPr>
        <w:pStyle w:val="FootnoteText"/>
        <w:spacing w:line="480" w:lineRule="auto"/>
        <w:jc w:val="both"/>
        <w:rPr>
          <w:rFonts w:ascii="Times New Roman" w:hAnsi="Times New Roman" w:cs="Times New Roman"/>
          <w:sz w:val="24"/>
          <w:szCs w:val="24"/>
        </w:rPr>
      </w:pPr>
      <w:r w:rsidRPr="00CF04BF">
        <w:rPr>
          <w:rFonts w:ascii="Times New Roman" w:hAnsi="Times New Roman" w:cs="Times New Roman"/>
          <w:sz w:val="24"/>
          <w:szCs w:val="24"/>
        </w:rPr>
        <w:t>Corte IDH. Caso Chaparro Alvarez y Lapo Iñiguez Vs. Ecuador. Excepciones Preliminares, Fondo, Rep</w:t>
      </w:r>
      <w:r w:rsidR="00864B56" w:rsidRPr="00CF04BF">
        <w:rPr>
          <w:rFonts w:ascii="Times New Roman" w:hAnsi="Times New Roman" w:cs="Times New Roman"/>
          <w:sz w:val="24"/>
          <w:szCs w:val="24"/>
        </w:rPr>
        <w:t xml:space="preserve">araciones y Costas. </w:t>
      </w:r>
      <w:r w:rsidRPr="00CF04BF">
        <w:rPr>
          <w:rFonts w:ascii="Times New Roman" w:hAnsi="Times New Roman" w:cs="Times New Roman"/>
          <w:sz w:val="24"/>
          <w:szCs w:val="24"/>
        </w:rPr>
        <w:t>25 de noviembre de 2007. Serie C No. 170.</w:t>
      </w:r>
      <w:r w:rsidR="00864B56" w:rsidRPr="00CF04BF">
        <w:rPr>
          <w:rFonts w:ascii="Times New Roman" w:hAnsi="Times New Roman" w:cs="Times New Roman"/>
          <w:sz w:val="24"/>
          <w:szCs w:val="24"/>
        </w:rPr>
        <w:t xml:space="preserve"> págs. 20, 21 y 30.</w:t>
      </w:r>
    </w:p>
    <w:p w:rsidR="008A6376" w:rsidRPr="00CF04BF" w:rsidRDefault="008A6376" w:rsidP="009972EA">
      <w:pPr>
        <w:pStyle w:val="FootnoteText"/>
        <w:tabs>
          <w:tab w:val="left" w:pos="720"/>
        </w:tabs>
        <w:spacing w:line="480" w:lineRule="auto"/>
        <w:jc w:val="both"/>
        <w:rPr>
          <w:rFonts w:ascii="Times New Roman" w:hAnsi="Times New Roman" w:cs="Times New Roman"/>
          <w:bCs/>
          <w:sz w:val="24"/>
          <w:szCs w:val="24"/>
        </w:rPr>
      </w:pPr>
      <w:r w:rsidRPr="00CF04BF">
        <w:rPr>
          <w:rFonts w:ascii="Times New Roman" w:hAnsi="Times New Roman" w:cs="Times New Roman"/>
          <w:sz w:val="24"/>
          <w:szCs w:val="24"/>
        </w:rPr>
        <w:t xml:space="preserve">Corte IDH. </w:t>
      </w:r>
      <w:r w:rsidRPr="00CF04BF">
        <w:rPr>
          <w:rFonts w:ascii="Times New Roman" w:hAnsi="Times New Roman" w:cs="Times New Roman"/>
          <w:bCs/>
          <w:sz w:val="24"/>
          <w:szCs w:val="24"/>
        </w:rPr>
        <w:t>Caso del Pueblo Saramaka. Vs. Suriname. Excepciones Preliminares, Fondo, Reparaciones y Costas. Sentencia de 28 de noviembre de 2007. Serie C No. 172.</w:t>
      </w:r>
      <w:r w:rsidR="00864B56" w:rsidRPr="00CF04BF">
        <w:rPr>
          <w:rFonts w:ascii="Times New Roman" w:hAnsi="Times New Roman" w:cs="Times New Roman"/>
          <w:bCs/>
          <w:sz w:val="24"/>
          <w:szCs w:val="24"/>
        </w:rPr>
        <w:t xml:space="preserve"> pág. 16.</w:t>
      </w:r>
    </w:p>
    <w:p w:rsidR="008A6376" w:rsidRPr="00CF04BF" w:rsidRDefault="008A6376" w:rsidP="009972EA">
      <w:pPr>
        <w:pStyle w:val="FootnoteText"/>
        <w:spacing w:line="480" w:lineRule="auto"/>
        <w:jc w:val="both"/>
        <w:rPr>
          <w:rFonts w:ascii="Times New Roman" w:hAnsi="Times New Roman" w:cs="Times New Roman"/>
          <w:sz w:val="24"/>
          <w:szCs w:val="24"/>
        </w:rPr>
      </w:pPr>
      <w:r w:rsidRPr="00CF04BF">
        <w:rPr>
          <w:rFonts w:ascii="Times New Roman" w:hAnsi="Times New Roman" w:cs="Times New Roman"/>
          <w:sz w:val="24"/>
          <w:szCs w:val="24"/>
        </w:rPr>
        <w:t>Corte IDH. Caso Kimel vs. Argentina. Fondo, Reparaciones y costas. Sentencia de 2 de mayo de 2008, Serie C No. 177.</w:t>
      </w:r>
      <w:r w:rsidR="00864B56" w:rsidRPr="00CF04BF">
        <w:rPr>
          <w:rFonts w:ascii="Times New Roman" w:hAnsi="Times New Roman" w:cs="Times New Roman"/>
          <w:sz w:val="24"/>
          <w:szCs w:val="24"/>
        </w:rPr>
        <w:t xml:space="preserve"> pág. 20.</w:t>
      </w:r>
    </w:p>
    <w:p w:rsidR="008A6376" w:rsidRPr="00CF04BF" w:rsidRDefault="008A6376" w:rsidP="009972EA">
      <w:pPr>
        <w:pStyle w:val="FootnoteText"/>
        <w:spacing w:line="480" w:lineRule="auto"/>
        <w:jc w:val="both"/>
        <w:rPr>
          <w:rFonts w:ascii="Times New Roman" w:hAnsi="Times New Roman" w:cs="Times New Roman"/>
          <w:sz w:val="24"/>
          <w:szCs w:val="24"/>
        </w:rPr>
      </w:pPr>
      <w:r w:rsidRPr="00CF04BF">
        <w:rPr>
          <w:rFonts w:ascii="Times New Roman" w:hAnsi="Times New Roman" w:cs="Times New Roman"/>
          <w:sz w:val="24"/>
          <w:szCs w:val="24"/>
        </w:rPr>
        <w:t>Corte IDH. Caso Yvon Neptune Vs. Haití. Fondo, Reparaciones y Costas. Sentencia de 6 de mayo de 2008, Serie C No. 180.</w:t>
      </w:r>
      <w:r w:rsidR="00864B56" w:rsidRPr="00CF04BF">
        <w:rPr>
          <w:rFonts w:ascii="Times New Roman" w:hAnsi="Times New Roman" w:cs="Times New Roman"/>
          <w:sz w:val="24"/>
          <w:szCs w:val="24"/>
        </w:rPr>
        <w:t xml:space="preserve"> pág. 30.</w:t>
      </w:r>
    </w:p>
    <w:p w:rsidR="008A6376" w:rsidRPr="00CF04BF" w:rsidRDefault="008A6376" w:rsidP="009972EA">
      <w:pPr>
        <w:pStyle w:val="FootnoteText"/>
        <w:spacing w:line="480" w:lineRule="auto"/>
        <w:jc w:val="both"/>
        <w:rPr>
          <w:rFonts w:ascii="Times New Roman" w:hAnsi="Times New Roman" w:cs="Times New Roman"/>
          <w:sz w:val="24"/>
          <w:szCs w:val="24"/>
        </w:rPr>
      </w:pPr>
      <w:r w:rsidRPr="00CF04BF">
        <w:rPr>
          <w:rFonts w:ascii="Times New Roman" w:hAnsi="Times New Roman" w:cs="Times New Roman"/>
          <w:sz w:val="24"/>
          <w:szCs w:val="24"/>
        </w:rPr>
        <w:lastRenderedPageBreak/>
        <w:t>Corte IDH. Caso A</w:t>
      </w:r>
      <w:r w:rsidR="00A267EA" w:rsidRPr="00CF04BF">
        <w:rPr>
          <w:rFonts w:ascii="Times New Roman" w:hAnsi="Times New Roman" w:cs="Times New Roman"/>
          <w:sz w:val="24"/>
          <w:szCs w:val="24"/>
        </w:rPr>
        <w:t xml:space="preserve">pitz Barbera </w:t>
      </w:r>
      <w:r w:rsidRPr="00CF04BF">
        <w:rPr>
          <w:rFonts w:ascii="Times New Roman" w:hAnsi="Times New Roman" w:cs="Times New Roman"/>
          <w:sz w:val="24"/>
          <w:szCs w:val="24"/>
        </w:rPr>
        <w:t>Vs. Venezuela. Excepción preliminar, Fondo, Reparaciones y Costas. Sentencia de 5 de agosto de 2008. Serie C. No. 182.</w:t>
      </w:r>
      <w:r w:rsidR="007F3464" w:rsidRPr="00CF04BF">
        <w:rPr>
          <w:rFonts w:ascii="Times New Roman" w:hAnsi="Times New Roman" w:cs="Times New Roman"/>
          <w:sz w:val="24"/>
          <w:szCs w:val="24"/>
        </w:rPr>
        <w:t xml:space="preserve"> pág. 30.</w:t>
      </w:r>
    </w:p>
    <w:p w:rsidR="008A6376" w:rsidRPr="00CF04BF" w:rsidRDefault="008A6376" w:rsidP="009972EA">
      <w:pPr>
        <w:pStyle w:val="FootnoteText"/>
        <w:spacing w:line="480" w:lineRule="auto"/>
        <w:jc w:val="both"/>
        <w:rPr>
          <w:rFonts w:ascii="Times New Roman" w:hAnsi="Times New Roman" w:cs="Times New Roman"/>
          <w:sz w:val="24"/>
          <w:szCs w:val="24"/>
        </w:rPr>
      </w:pPr>
      <w:r w:rsidRPr="00CF04BF">
        <w:rPr>
          <w:rFonts w:ascii="Times New Roman" w:hAnsi="Times New Roman" w:cs="Times New Roman"/>
          <w:sz w:val="24"/>
          <w:szCs w:val="24"/>
        </w:rPr>
        <w:t>Corte IDH. Caso Castañeda Gutman Vs. Estados Unidos Mexicanos. Excepciones Preliminares, Fondo, Reparaciones y Costas. Sentencia de 6 de Agosto de 2008. Serie C No. 184.</w:t>
      </w:r>
      <w:r w:rsidR="007F3464" w:rsidRPr="00CF04BF">
        <w:rPr>
          <w:rFonts w:ascii="Times New Roman" w:hAnsi="Times New Roman" w:cs="Times New Roman"/>
          <w:sz w:val="24"/>
          <w:szCs w:val="24"/>
        </w:rPr>
        <w:t xml:space="preserve"> pág. 19.</w:t>
      </w:r>
    </w:p>
    <w:p w:rsidR="008A6376" w:rsidRPr="00CF04BF" w:rsidRDefault="008A6376" w:rsidP="009972EA">
      <w:pPr>
        <w:pStyle w:val="FootnoteText"/>
        <w:spacing w:line="480" w:lineRule="auto"/>
        <w:jc w:val="both"/>
        <w:rPr>
          <w:rFonts w:ascii="Times New Roman" w:hAnsi="Times New Roman" w:cs="Times New Roman"/>
          <w:sz w:val="24"/>
          <w:szCs w:val="24"/>
        </w:rPr>
      </w:pPr>
      <w:r w:rsidRPr="00CF04BF">
        <w:rPr>
          <w:rFonts w:ascii="Times New Roman" w:hAnsi="Times New Roman" w:cs="Times New Roman"/>
          <w:sz w:val="24"/>
          <w:szCs w:val="24"/>
        </w:rPr>
        <w:t>Corte IDH. Caso Heliodoro Portugal Vs. Panamá. Excepciones Preliminares, Fondo, Reparaciones y Costas. Sentencia de 12 de agosto de 2008. Serie C No. 186.</w:t>
      </w:r>
      <w:r w:rsidR="007F3464" w:rsidRPr="00CF04BF">
        <w:rPr>
          <w:rFonts w:ascii="Times New Roman" w:hAnsi="Times New Roman" w:cs="Times New Roman"/>
          <w:sz w:val="24"/>
          <w:szCs w:val="24"/>
        </w:rPr>
        <w:t xml:space="preserve"> pág. 28.</w:t>
      </w:r>
    </w:p>
    <w:p w:rsidR="008A6376" w:rsidRPr="00CF04BF" w:rsidRDefault="008A6376" w:rsidP="009972EA">
      <w:pPr>
        <w:pStyle w:val="FootnoteText"/>
        <w:spacing w:line="480" w:lineRule="auto"/>
        <w:jc w:val="both"/>
        <w:rPr>
          <w:rFonts w:ascii="Times New Roman" w:hAnsi="Times New Roman" w:cs="Times New Roman"/>
          <w:sz w:val="24"/>
          <w:szCs w:val="24"/>
        </w:rPr>
      </w:pPr>
      <w:r w:rsidRPr="00CF04BF">
        <w:rPr>
          <w:rFonts w:ascii="Times New Roman" w:hAnsi="Times New Roman" w:cs="Times New Roman"/>
          <w:sz w:val="24"/>
          <w:szCs w:val="24"/>
        </w:rPr>
        <w:t>Corte IDH. Valle Jaramillo y otros Vs. Colombia. Fondo, Reparaciones y Costas. Sentencia de 27 de noviembre de 2008 Serie C No. 192.</w:t>
      </w:r>
      <w:r w:rsidR="007F3464" w:rsidRPr="00CF04BF">
        <w:rPr>
          <w:rFonts w:ascii="Times New Roman" w:hAnsi="Times New Roman" w:cs="Times New Roman"/>
          <w:sz w:val="24"/>
          <w:szCs w:val="24"/>
        </w:rPr>
        <w:t xml:space="preserve"> págs. 28 y 32.</w:t>
      </w:r>
    </w:p>
    <w:p w:rsidR="008A6376" w:rsidRPr="00CF04BF" w:rsidRDefault="008A6376" w:rsidP="009972EA">
      <w:pPr>
        <w:pStyle w:val="FootnoteText"/>
        <w:spacing w:line="480" w:lineRule="auto"/>
        <w:jc w:val="both"/>
        <w:rPr>
          <w:rFonts w:ascii="Times New Roman" w:hAnsi="Times New Roman" w:cs="Times New Roman"/>
          <w:sz w:val="24"/>
          <w:szCs w:val="24"/>
        </w:rPr>
      </w:pPr>
      <w:r w:rsidRPr="00CF04BF">
        <w:rPr>
          <w:rFonts w:ascii="Times New Roman" w:hAnsi="Times New Roman" w:cs="Times New Roman"/>
          <w:sz w:val="24"/>
          <w:szCs w:val="24"/>
        </w:rPr>
        <w:t>Corte IDH. Caso Reverón Trujillo Vs. Venezuela. Excepción preliminar, Fondo, Reparaciones y Costas. Sentencia de 30 de junio de 2009. Serie C. No. 197.</w:t>
      </w:r>
      <w:r w:rsidR="007F3464" w:rsidRPr="00CF04BF">
        <w:rPr>
          <w:rFonts w:ascii="Times New Roman" w:hAnsi="Times New Roman" w:cs="Times New Roman"/>
          <w:sz w:val="24"/>
          <w:szCs w:val="24"/>
        </w:rPr>
        <w:t xml:space="preserve"> pág. 31.</w:t>
      </w:r>
    </w:p>
    <w:p w:rsidR="008A6376" w:rsidRPr="00CF04BF" w:rsidRDefault="008A6376" w:rsidP="009972EA">
      <w:pPr>
        <w:pStyle w:val="FootnoteText"/>
        <w:spacing w:line="480" w:lineRule="auto"/>
        <w:jc w:val="both"/>
        <w:rPr>
          <w:rFonts w:ascii="Times New Roman" w:hAnsi="Times New Roman" w:cs="Times New Roman"/>
          <w:sz w:val="24"/>
          <w:szCs w:val="24"/>
        </w:rPr>
      </w:pPr>
      <w:r w:rsidRPr="00CF04BF">
        <w:rPr>
          <w:rFonts w:ascii="Times New Roman" w:hAnsi="Times New Roman" w:cs="Times New Roman"/>
          <w:sz w:val="24"/>
          <w:szCs w:val="24"/>
        </w:rPr>
        <w:t>Corte IDH. Caso Escher y otros Vs. Brasil. Excepciones Preliminares, Fondo, Reparaciones y Costas. Sentencia de 6 de julio de 2009. Serie C No. 199.</w:t>
      </w:r>
      <w:r w:rsidR="007F3464" w:rsidRPr="00CF04BF">
        <w:rPr>
          <w:rFonts w:ascii="Times New Roman" w:hAnsi="Times New Roman" w:cs="Times New Roman"/>
          <w:sz w:val="24"/>
          <w:szCs w:val="24"/>
        </w:rPr>
        <w:t xml:space="preserve"> págs. 20 y 29.</w:t>
      </w:r>
    </w:p>
    <w:p w:rsidR="008A6376" w:rsidRPr="00CF04BF" w:rsidRDefault="008A6376" w:rsidP="009972EA">
      <w:pPr>
        <w:pStyle w:val="FootnoteText"/>
        <w:tabs>
          <w:tab w:val="left" w:pos="720"/>
        </w:tabs>
        <w:spacing w:line="480" w:lineRule="auto"/>
        <w:jc w:val="both"/>
        <w:rPr>
          <w:rFonts w:ascii="Times New Roman" w:hAnsi="Times New Roman" w:cs="Times New Roman"/>
          <w:sz w:val="24"/>
          <w:szCs w:val="24"/>
        </w:rPr>
      </w:pPr>
      <w:r w:rsidRPr="00CF04BF">
        <w:rPr>
          <w:rFonts w:ascii="Times New Roman" w:hAnsi="Times New Roman" w:cs="Times New Roman"/>
          <w:sz w:val="24"/>
          <w:szCs w:val="24"/>
        </w:rPr>
        <w:t xml:space="preserve">Corte IDH. </w:t>
      </w:r>
      <w:r w:rsidRPr="00CF04BF">
        <w:rPr>
          <w:rStyle w:val="apple-style-span"/>
          <w:rFonts w:ascii="Times New Roman" w:hAnsi="Times New Roman" w:cs="Times New Roman"/>
          <w:bCs/>
          <w:color w:val="000000"/>
          <w:sz w:val="24"/>
          <w:szCs w:val="24"/>
        </w:rPr>
        <w:t>Caso Anzualdo Castro Vs. Perú.</w:t>
      </w:r>
      <w:r w:rsidRPr="00CF04BF">
        <w:rPr>
          <w:rFonts w:ascii="Times New Roman" w:hAnsi="Times New Roman" w:cs="Times New Roman"/>
          <w:sz w:val="24"/>
          <w:szCs w:val="24"/>
        </w:rPr>
        <w:t xml:space="preserve"> Excepción Preliminar, Fondo, Reparaciones y Costas. Sentencia de 22 de septiembre de 2009. Serie C No. 202.</w:t>
      </w:r>
      <w:r w:rsidR="007F3464" w:rsidRPr="00CF04BF">
        <w:rPr>
          <w:rFonts w:ascii="Times New Roman" w:hAnsi="Times New Roman" w:cs="Times New Roman"/>
          <w:sz w:val="24"/>
          <w:szCs w:val="24"/>
        </w:rPr>
        <w:t xml:space="preserve"> págs. 15 y 18.</w:t>
      </w:r>
    </w:p>
    <w:p w:rsidR="008A6376" w:rsidRPr="00CF04BF" w:rsidRDefault="008A6376" w:rsidP="009972EA">
      <w:pPr>
        <w:pStyle w:val="FootnoteText"/>
        <w:tabs>
          <w:tab w:val="left" w:pos="720"/>
        </w:tabs>
        <w:spacing w:line="480" w:lineRule="auto"/>
        <w:jc w:val="both"/>
        <w:rPr>
          <w:rFonts w:ascii="Times New Roman" w:hAnsi="Times New Roman" w:cs="Times New Roman"/>
          <w:sz w:val="24"/>
          <w:szCs w:val="24"/>
        </w:rPr>
      </w:pPr>
      <w:r w:rsidRPr="00CF04BF">
        <w:rPr>
          <w:rFonts w:ascii="Times New Roman" w:hAnsi="Times New Roman" w:cs="Times New Roman"/>
          <w:sz w:val="24"/>
          <w:szCs w:val="24"/>
        </w:rPr>
        <w:t>Corte IDH. Caso Gonzáles y otras (Campo algodonero) Vs. México. Excepción preliminar, Fondo, Reparaciones y Costas. Sentencia de 16 de noviembre de 2009. Serie C No. 205.</w:t>
      </w:r>
      <w:r w:rsidR="007F3464" w:rsidRPr="00CF04BF">
        <w:rPr>
          <w:rFonts w:ascii="Times New Roman" w:hAnsi="Times New Roman" w:cs="Times New Roman"/>
          <w:sz w:val="24"/>
          <w:szCs w:val="24"/>
        </w:rPr>
        <w:t xml:space="preserve"> pág. 29.</w:t>
      </w:r>
    </w:p>
    <w:p w:rsidR="008A6376" w:rsidRPr="00CF04BF" w:rsidRDefault="008A6376" w:rsidP="009972EA">
      <w:pPr>
        <w:pStyle w:val="FootnoteText"/>
        <w:tabs>
          <w:tab w:val="left" w:pos="720"/>
        </w:tabs>
        <w:spacing w:line="480" w:lineRule="auto"/>
        <w:jc w:val="both"/>
        <w:rPr>
          <w:rStyle w:val="apple-style-span"/>
          <w:rFonts w:ascii="Times New Roman" w:hAnsi="Times New Roman" w:cs="Times New Roman"/>
          <w:color w:val="000000"/>
          <w:sz w:val="24"/>
          <w:szCs w:val="24"/>
        </w:rPr>
      </w:pPr>
      <w:r w:rsidRPr="00CF04BF">
        <w:rPr>
          <w:rFonts w:ascii="Times New Roman" w:hAnsi="Times New Roman" w:cs="Times New Roman"/>
          <w:sz w:val="24"/>
          <w:szCs w:val="24"/>
        </w:rPr>
        <w:t>Corte IDH.</w:t>
      </w:r>
      <w:r w:rsidR="008B4EE2">
        <w:rPr>
          <w:rFonts w:ascii="Times New Roman" w:hAnsi="Times New Roman" w:cs="Times New Roman"/>
          <w:bCs/>
          <w:iCs/>
          <w:sz w:val="24"/>
          <w:szCs w:val="24"/>
        </w:rPr>
        <w:t xml:space="preserve"> C</w:t>
      </w:r>
      <w:r w:rsidR="008B4EE2" w:rsidRPr="008B4EE2">
        <w:rPr>
          <w:rFonts w:ascii="Times New Roman" w:hAnsi="Times New Roman" w:cs="Times New Roman"/>
          <w:bCs/>
          <w:iCs/>
          <w:sz w:val="24"/>
          <w:szCs w:val="24"/>
        </w:rPr>
        <w:t xml:space="preserve">aso Chitay Nech y otros Vs. Guatemala. Excepciones Preliminares, Fondo, Reparaciones y Costas. Sentencia de 25 de mayo de 2010. Serie C No. </w:t>
      </w:r>
      <w:r w:rsidR="008B4EE2">
        <w:rPr>
          <w:rFonts w:ascii="Times New Roman" w:hAnsi="Times New Roman" w:cs="Times New Roman"/>
          <w:bCs/>
          <w:iCs/>
          <w:sz w:val="24"/>
          <w:szCs w:val="24"/>
        </w:rPr>
        <w:t xml:space="preserve">212. </w:t>
      </w:r>
      <w:r w:rsidR="007F3464" w:rsidRPr="00CF04BF">
        <w:rPr>
          <w:rStyle w:val="apple-style-span"/>
          <w:rFonts w:ascii="Times New Roman" w:hAnsi="Times New Roman" w:cs="Times New Roman"/>
          <w:color w:val="000000"/>
          <w:sz w:val="24"/>
          <w:szCs w:val="24"/>
        </w:rPr>
        <w:t>pág. 16.</w:t>
      </w:r>
    </w:p>
    <w:p w:rsidR="008A6376" w:rsidRPr="00CF04BF" w:rsidRDefault="008A6376" w:rsidP="009972EA">
      <w:pPr>
        <w:spacing w:after="0" w:line="480" w:lineRule="auto"/>
        <w:jc w:val="both"/>
        <w:rPr>
          <w:rFonts w:ascii="Times New Roman" w:hAnsi="Times New Roman" w:cs="Times New Roman"/>
          <w:sz w:val="24"/>
          <w:szCs w:val="24"/>
        </w:rPr>
      </w:pPr>
      <w:r w:rsidRPr="00CF04BF">
        <w:rPr>
          <w:rFonts w:ascii="Times New Roman" w:hAnsi="Times New Roman" w:cs="Times New Roman"/>
          <w:sz w:val="24"/>
          <w:szCs w:val="24"/>
        </w:rPr>
        <w:t>Corte IDH. Caso Comunidad Indígena Xákmok Kásek Vs. Paraguay. Fondo, Reparaciones y Costas. Sentencia de 24 de agosto de 2010. Serie C No. 214.</w:t>
      </w:r>
      <w:r w:rsidR="007F3464" w:rsidRPr="00CF04BF">
        <w:rPr>
          <w:rFonts w:ascii="Times New Roman" w:hAnsi="Times New Roman" w:cs="Times New Roman"/>
          <w:sz w:val="24"/>
          <w:szCs w:val="24"/>
        </w:rPr>
        <w:t xml:space="preserve"> pág. 18.</w:t>
      </w:r>
    </w:p>
    <w:p w:rsidR="008A6376" w:rsidRPr="00CF04BF" w:rsidRDefault="008A6376" w:rsidP="009972EA">
      <w:pPr>
        <w:pStyle w:val="FootnoteText"/>
        <w:spacing w:line="480" w:lineRule="auto"/>
        <w:jc w:val="both"/>
        <w:rPr>
          <w:rFonts w:ascii="Times New Roman" w:hAnsi="Times New Roman" w:cs="Times New Roman"/>
          <w:sz w:val="24"/>
          <w:szCs w:val="24"/>
        </w:rPr>
      </w:pPr>
      <w:r w:rsidRPr="00CF04BF">
        <w:rPr>
          <w:rFonts w:ascii="Times New Roman" w:hAnsi="Times New Roman" w:cs="Times New Roman"/>
          <w:sz w:val="24"/>
          <w:szCs w:val="24"/>
        </w:rPr>
        <w:t xml:space="preserve">Corte IDH. Caso Rosendo Cantú y otras Vs. México. Excepción Preliminar, Fondo, Reparaciones y Costas. Sentencia de 31 de agosto de 2010. Serie C No. 216. </w:t>
      </w:r>
      <w:r w:rsidR="007F3464" w:rsidRPr="00CF04BF">
        <w:rPr>
          <w:rFonts w:ascii="Times New Roman" w:hAnsi="Times New Roman" w:cs="Times New Roman"/>
          <w:sz w:val="24"/>
          <w:szCs w:val="24"/>
        </w:rPr>
        <w:t>pág. 29.</w:t>
      </w:r>
    </w:p>
    <w:p w:rsidR="008A6376" w:rsidRPr="00CF04BF" w:rsidRDefault="008A6376" w:rsidP="009972EA">
      <w:pPr>
        <w:pStyle w:val="FootnoteText"/>
        <w:spacing w:line="480" w:lineRule="auto"/>
        <w:jc w:val="both"/>
        <w:rPr>
          <w:rFonts w:ascii="Times New Roman" w:hAnsi="Times New Roman" w:cs="Times New Roman"/>
          <w:sz w:val="24"/>
          <w:szCs w:val="24"/>
        </w:rPr>
      </w:pPr>
      <w:r w:rsidRPr="00CF04BF">
        <w:rPr>
          <w:rFonts w:ascii="Times New Roman" w:hAnsi="Times New Roman" w:cs="Times New Roman"/>
          <w:sz w:val="24"/>
          <w:szCs w:val="24"/>
        </w:rPr>
        <w:lastRenderedPageBreak/>
        <w:t xml:space="preserve">Corte IDH. Caso Fontevecchia y D’Amico Vs. Argentina. Fondo, Reparaciones y Costas. Sentencia de 29 de Noviembre de 2011. Serie C No. 238. </w:t>
      </w:r>
      <w:r w:rsidR="007F3464" w:rsidRPr="00CF04BF">
        <w:rPr>
          <w:rFonts w:ascii="Times New Roman" w:hAnsi="Times New Roman" w:cs="Times New Roman"/>
          <w:sz w:val="24"/>
          <w:szCs w:val="24"/>
        </w:rPr>
        <w:t>pág. 29.</w:t>
      </w:r>
    </w:p>
    <w:p w:rsidR="008A6376" w:rsidRPr="00CF04BF" w:rsidRDefault="008A6376" w:rsidP="009972EA">
      <w:pPr>
        <w:spacing w:after="0" w:line="480" w:lineRule="auto"/>
        <w:jc w:val="both"/>
        <w:rPr>
          <w:rFonts w:ascii="Times New Roman" w:hAnsi="Times New Roman" w:cs="Times New Roman"/>
          <w:sz w:val="24"/>
          <w:szCs w:val="24"/>
        </w:rPr>
      </w:pPr>
      <w:r w:rsidRPr="00CF04BF">
        <w:rPr>
          <w:rFonts w:ascii="Times New Roman" w:hAnsi="Times New Roman" w:cs="Times New Roman"/>
          <w:sz w:val="24"/>
          <w:szCs w:val="24"/>
        </w:rPr>
        <w:t>Corte IDH. Caso Furlan y Familiares Vs. Argentina. Excepciones preliminares, Fondo, Reparaciones y Costas. Sentencia de 31 de agosto de 2012. Serie C No. 246.</w:t>
      </w:r>
      <w:r w:rsidR="007F3464" w:rsidRPr="00CF04BF">
        <w:rPr>
          <w:rFonts w:ascii="Times New Roman" w:hAnsi="Times New Roman" w:cs="Times New Roman"/>
          <w:sz w:val="24"/>
          <w:szCs w:val="24"/>
        </w:rPr>
        <w:t xml:space="preserve"> págs. 17.</w:t>
      </w:r>
    </w:p>
    <w:p w:rsidR="008A6376" w:rsidRPr="00CF04BF" w:rsidRDefault="008A6376" w:rsidP="009972EA">
      <w:pPr>
        <w:pStyle w:val="FootnoteText"/>
        <w:spacing w:line="480" w:lineRule="auto"/>
        <w:jc w:val="both"/>
        <w:rPr>
          <w:rFonts w:ascii="Times New Roman" w:hAnsi="Times New Roman" w:cs="Times New Roman"/>
          <w:bCs/>
          <w:sz w:val="24"/>
          <w:szCs w:val="24"/>
        </w:rPr>
      </w:pPr>
      <w:r w:rsidRPr="00CF04BF">
        <w:rPr>
          <w:rFonts w:ascii="Times New Roman" w:hAnsi="Times New Roman" w:cs="Times New Roman"/>
          <w:sz w:val="24"/>
          <w:szCs w:val="24"/>
        </w:rPr>
        <w:t xml:space="preserve">Corte IDH. </w:t>
      </w:r>
      <w:r w:rsidRPr="00CF04BF">
        <w:rPr>
          <w:rFonts w:ascii="Times New Roman" w:hAnsi="Times New Roman" w:cs="Times New Roman"/>
          <w:bCs/>
          <w:sz w:val="24"/>
          <w:szCs w:val="24"/>
        </w:rPr>
        <w:t>Caso Masacre de Río Negro Vs. Guatemala. Excepciones Preliminares, Fondo, Reparaciones y Costas. Sentencia de 4 de Septiembre de 2012. Serie C No. 250.</w:t>
      </w:r>
      <w:r w:rsidR="007F3464" w:rsidRPr="00CF04BF">
        <w:rPr>
          <w:rFonts w:ascii="Times New Roman" w:hAnsi="Times New Roman" w:cs="Times New Roman"/>
          <w:bCs/>
          <w:sz w:val="24"/>
          <w:szCs w:val="24"/>
        </w:rPr>
        <w:t xml:space="preserve"> pág. 30.</w:t>
      </w:r>
    </w:p>
    <w:p w:rsidR="008A6376" w:rsidRPr="00CF04BF" w:rsidRDefault="008A6376" w:rsidP="009972EA">
      <w:pPr>
        <w:pStyle w:val="FootnoteText"/>
        <w:spacing w:line="480" w:lineRule="auto"/>
        <w:jc w:val="both"/>
        <w:rPr>
          <w:rFonts w:ascii="Times New Roman" w:hAnsi="Times New Roman" w:cs="Times New Roman"/>
          <w:sz w:val="24"/>
          <w:szCs w:val="24"/>
        </w:rPr>
      </w:pPr>
      <w:r w:rsidRPr="00CF04BF">
        <w:rPr>
          <w:rFonts w:ascii="Times New Roman" w:hAnsi="Times New Roman" w:cs="Times New Roman"/>
          <w:sz w:val="24"/>
          <w:szCs w:val="24"/>
        </w:rPr>
        <w:t>Corte IDH. Caso Mohamed Vs. Argentina. Excepciones Preliminares, Fondo, Reparaciones y Costas Sentencia de 23 de noviembre de 2012. Serie C No. 255.</w:t>
      </w:r>
      <w:r w:rsidR="007F3464" w:rsidRPr="00CF04BF">
        <w:rPr>
          <w:rFonts w:ascii="Times New Roman" w:hAnsi="Times New Roman" w:cs="Times New Roman"/>
          <w:sz w:val="24"/>
          <w:szCs w:val="24"/>
        </w:rPr>
        <w:t xml:space="preserve"> pág. 30.</w:t>
      </w:r>
    </w:p>
    <w:p w:rsidR="008A6376" w:rsidRPr="00CF04BF" w:rsidRDefault="008A6376" w:rsidP="009972EA">
      <w:pPr>
        <w:spacing w:after="0" w:line="480" w:lineRule="auto"/>
        <w:jc w:val="both"/>
        <w:rPr>
          <w:rFonts w:ascii="Times New Roman" w:hAnsi="Times New Roman" w:cs="Times New Roman"/>
          <w:sz w:val="24"/>
          <w:szCs w:val="24"/>
        </w:rPr>
      </w:pPr>
      <w:r w:rsidRPr="00CF04BF">
        <w:rPr>
          <w:rFonts w:ascii="Times New Roman" w:hAnsi="Times New Roman" w:cs="Times New Roman"/>
          <w:sz w:val="24"/>
          <w:szCs w:val="24"/>
        </w:rPr>
        <w:t>Corte IDH. Caso Artavia Murillo y</w:t>
      </w:r>
      <w:r w:rsidR="00CB11FB" w:rsidRPr="00CF04BF">
        <w:rPr>
          <w:rFonts w:ascii="Times New Roman" w:hAnsi="Times New Roman" w:cs="Times New Roman"/>
          <w:sz w:val="24"/>
          <w:szCs w:val="24"/>
        </w:rPr>
        <w:t xml:space="preserve"> otros </w:t>
      </w:r>
      <w:r w:rsidR="007F3464" w:rsidRPr="00CF04BF">
        <w:rPr>
          <w:rFonts w:ascii="Times New Roman" w:hAnsi="Times New Roman" w:cs="Times New Roman"/>
          <w:sz w:val="24"/>
          <w:szCs w:val="24"/>
        </w:rPr>
        <w:t>Vs</w:t>
      </w:r>
      <w:r w:rsidRPr="00CF04BF">
        <w:rPr>
          <w:rFonts w:ascii="Times New Roman" w:hAnsi="Times New Roman" w:cs="Times New Roman"/>
          <w:sz w:val="24"/>
          <w:szCs w:val="24"/>
        </w:rPr>
        <w:t>. Costa Rica. Excepciones preliminares, Fondo, Repa</w:t>
      </w:r>
      <w:r w:rsidR="008D2836" w:rsidRPr="00CF04BF">
        <w:rPr>
          <w:rFonts w:ascii="Times New Roman" w:hAnsi="Times New Roman" w:cs="Times New Roman"/>
          <w:sz w:val="24"/>
          <w:szCs w:val="24"/>
        </w:rPr>
        <w:t xml:space="preserve">raciones y Costas. </w:t>
      </w:r>
      <w:r w:rsidRPr="00CF04BF">
        <w:rPr>
          <w:rFonts w:ascii="Times New Roman" w:hAnsi="Times New Roman" w:cs="Times New Roman"/>
          <w:sz w:val="24"/>
          <w:szCs w:val="24"/>
        </w:rPr>
        <w:t>28 de noviembre de 2012. Serie C No. 257.</w:t>
      </w:r>
      <w:r w:rsidR="007F3464" w:rsidRPr="00CF04BF">
        <w:rPr>
          <w:rFonts w:ascii="Times New Roman" w:hAnsi="Times New Roman" w:cs="Times New Roman"/>
          <w:sz w:val="24"/>
          <w:szCs w:val="24"/>
        </w:rPr>
        <w:t xml:space="preserve"> págs. 17, 29 y 33</w:t>
      </w:r>
      <w:r w:rsidR="008D2836" w:rsidRPr="00CF04BF">
        <w:rPr>
          <w:rFonts w:ascii="Times New Roman" w:hAnsi="Times New Roman" w:cs="Times New Roman"/>
          <w:sz w:val="24"/>
          <w:szCs w:val="24"/>
        </w:rPr>
        <w:t>.</w:t>
      </w:r>
    </w:p>
    <w:p w:rsidR="008A6376" w:rsidRPr="00CF04BF" w:rsidRDefault="00E6065F" w:rsidP="009972EA">
      <w:pPr>
        <w:pStyle w:val="FootnoteText"/>
        <w:tabs>
          <w:tab w:val="left" w:pos="720"/>
        </w:tabs>
        <w:spacing w:line="480" w:lineRule="auto"/>
        <w:jc w:val="both"/>
        <w:rPr>
          <w:rFonts w:ascii="Times New Roman" w:hAnsi="Times New Roman" w:cs="Times New Roman"/>
          <w:b/>
          <w:sz w:val="24"/>
          <w:szCs w:val="24"/>
        </w:rPr>
      </w:pPr>
      <w:r w:rsidRPr="00CF04BF">
        <w:rPr>
          <w:rFonts w:ascii="Times New Roman" w:hAnsi="Times New Roman" w:cs="Times New Roman"/>
          <w:b/>
          <w:sz w:val="24"/>
          <w:szCs w:val="24"/>
          <w:u w:val="single"/>
        </w:rPr>
        <w:t>Medidas provisionales:</w:t>
      </w:r>
      <w:r w:rsidRPr="00CF04BF">
        <w:rPr>
          <w:rFonts w:ascii="Times New Roman" w:hAnsi="Times New Roman" w:cs="Times New Roman"/>
          <w:b/>
          <w:sz w:val="24"/>
          <w:szCs w:val="24"/>
        </w:rPr>
        <w:t xml:space="preserve"> </w:t>
      </w:r>
      <w:r w:rsidR="008A6376" w:rsidRPr="00CF04BF">
        <w:rPr>
          <w:rFonts w:ascii="Times New Roman" w:hAnsi="Times New Roman" w:cs="Times New Roman"/>
          <w:sz w:val="24"/>
          <w:szCs w:val="24"/>
        </w:rPr>
        <w:t>Corte IDH. Caso Carpio Nicolle Vs. Guatemala. Medidas Provisionales. Resolución de 6 de julio de 2009.</w:t>
      </w:r>
      <w:r w:rsidR="007F3464" w:rsidRPr="00CF04BF">
        <w:rPr>
          <w:rFonts w:ascii="Times New Roman" w:hAnsi="Times New Roman" w:cs="Times New Roman"/>
          <w:sz w:val="24"/>
          <w:szCs w:val="24"/>
        </w:rPr>
        <w:t xml:space="preserve"> pág. 13.</w:t>
      </w:r>
    </w:p>
    <w:p w:rsidR="008A6376" w:rsidRPr="00CF04BF" w:rsidRDefault="008A6376" w:rsidP="009972EA">
      <w:pPr>
        <w:pStyle w:val="FootnoteText"/>
        <w:spacing w:line="480" w:lineRule="auto"/>
        <w:jc w:val="both"/>
        <w:rPr>
          <w:rFonts w:ascii="Times New Roman" w:hAnsi="Times New Roman" w:cs="Times New Roman"/>
          <w:sz w:val="24"/>
          <w:szCs w:val="24"/>
          <w:lang w:val="es-ES"/>
        </w:rPr>
      </w:pPr>
      <w:r w:rsidRPr="00CF04BF">
        <w:rPr>
          <w:rFonts w:ascii="Times New Roman" w:hAnsi="Times New Roman" w:cs="Times New Roman"/>
          <w:sz w:val="24"/>
          <w:szCs w:val="24"/>
        </w:rPr>
        <w:t>Corte IDH. A</w:t>
      </w:r>
      <w:r w:rsidRPr="00CF04BF">
        <w:rPr>
          <w:rFonts w:ascii="Times New Roman" w:hAnsi="Times New Roman" w:cs="Times New Roman"/>
          <w:sz w:val="24"/>
          <w:szCs w:val="24"/>
          <w:lang w:val="es-ES"/>
        </w:rPr>
        <w:t xml:space="preserve">sunto de la Unidad de Internación Socioeducativa. </w:t>
      </w:r>
      <w:r w:rsidRPr="00CF04BF">
        <w:rPr>
          <w:rFonts w:ascii="Times New Roman" w:hAnsi="Times New Roman" w:cs="Times New Roman"/>
          <w:sz w:val="24"/>
          <w:szCs w:val="24"/>
        </w:rPr>
        <w:t xml:space="preserve">Medidas Provisionales </w:t>
      </w:r>
      <w:r w:rsidRPr="00CF04BF">
        <w:rPr>
          <w:rFonts w:ascii="Times New Roman" w:hAnsi="Times New Roman" w:cs="Times New Roman"/>
          <w:sz w:val="24"/>
          <w:szCs w:val="24"/>
          <w:lang w:val="es-ES"/>
        </w:rPr>
        <w:t xml:space="preserve">respecto de Brasil. Resolución de 25 de febrero de 2011. </w:t>
      </w:r>
      <w:r w:rsidR="007F3464" w:rsidRPr="00CF04BF">
        <w:rPr>
          <w:rFonts w:ascii="Times New Roman" w:hAnsi="Times New Roman" w:cs="Times New Roman"/>
          <w:sz w:val="24"/>
          <w:szCs w:val="24"/>
          <w:lang w:val="es-ES"/>
        </w:rPr>
        <w:t>pág. 14.</w:t>
      </w:r>
    </w:p>
    <w:p w:rsidR="008A6376" w:rsidRPr="00CF04BF" w:rsidRDefault="008A6376" w:rsidP="009972EA">
      <w:pPr>
        <w:spacing w:after="0" w:line="480" w:lineRule="auto"/>
        <w:jc w:val="both"/>
        <w:rPr>
          <w:rFonts w:ascii="Times New Roman" w:hAnsi="Times New Roman" w:cs="Times New Roman"/>
          <w:color w:val="222222"/>
          <w:sz w:val="24"/>
          <w:szCs w:val="24"/>
          <w:lang w:val="es-ES"/>
        </w:rPr>
      </w:pPr>
      <w:r w:rsidRPr="00CF04BF">
        <w:rPr>
          <w:rFonts w:ascii="Times New Roman" w:hAnsi="Times New Roman" w:cs="Times New Roman"/>
          <w:sz w:val="24"/>
          <w:szCs w:val="24"/>
        </w:rPr>
        <w:t>Corte IDH. Asunto Haitianos y Dominicanos de origen Haitiano en la República Dominicana. Medidas</w:t>
      </w:r>
      <w:r w:rsidRPr="00CF04BF">
        <w:rPr>
          <w:rFonts w:ascii="Times New Roman" w:hAnsi="Times New Roman" w:cs="Times New Roman"/>
          <w:color w:val="222222"/>
          <w:sz w:val="24"/>
          <w:szCs w:val="24"/>
          <w:lang w:val="es-ES"/>
        </w:rPr>
        <w:t xml:space="preserve"> Provisionales </w:t>
      </w:r>
      <w:r w:rsidRPr="00CF04BF">
        <w:rPr>
          <w:rFonts w:ascii="Times New Roman" w:hAnsi="Times New Roman" w:cs="Times New Roman"/>
          <w:sz w:val="24"/>
          <w:szCs w:val="24"/>
        </w:rPr>
        <w:t>respecto de República Dominicana</w:t>
      </w:r>
      <w:r w:rsidR="00991798" w:rsidRPr="00CF04BF">
        <w:rPr>
          <w:rFonts w:ascii="Times New Roman" w:hAnsi="Times New Roman" w:cs="Times New Roman"/>
          <w:color w:val="222222"/>
          <w:sz w:val="24"/>
          <w:szCs w:val="24"/>
          <w:lang w:val="es-ES"/>
        </w:rPr>
        <w:t xml:space="preserve">. </w:t>
      </w:r>
      <w:r w:rsidRPr="00CF04BF">
        <w:rPr>
          <w:rFonts w:ascii="Times New Roman" w:hAnsi="Times New Roman" w:cs="Times New Roman"/>
          <w:color w:val="222222"/>
          <w:sz w:val="24"/>
          <w:szCs w:val="24"/>
          <w:lang w:val="es-ES"/>
        </w:rPr>
        <w:t>29 de febrero del 2012.</w:t>
      </w:r>
      <w:r w:rsidR="007F3464" w:rsidRPr="00CF04BF">
        <w:rPr>
          <w:rFonts w:ascii="Times New Roman" w:hAnsi="Times New Roman" w:cs="Times New Roman"/>
          <w:color w:val="222222"/>
          <w:sz w:val="24"/>
          <w:szCs w:val="24"/>
          <w:lang w:val="es-ES"/>
        </w:rPr>
        <w:t xml:space="preserve"> pág. 13.</w:t>
      </w:r>
    </w:p>
    <w:p w:rsidR="008A6376" w:rsidRPr="00CF04BF" w:rsidRDefault="008A6376" w:rsidP="009972EA">
      <w:pPr>
        <w:spacing w:after="0" w:line="480" w:lineRule="auto"/>
        <w:jc w:val="both"/>
        <w:rPr>
          <w:rFonts w:ascii="Times New Roman" w:hAnsi="Times New Roman" w:cs="Times New Roman"/>
          <w:sz w:val="24"/>
          <w:szCs w:val="24"/>
        </w:rPr>
      </w:pPr>
      <w:r w:rsidRPr="00CF04BF">
        <w:rPr>
          <w:rFonts w:ascii="Times New Roman" w:hAnsi="Times New Roman" w:cs="Times New Roman"/>
          <w:sz w:val="24"/>
          <w:szCs w:val="24"/>
        </w:rPr>
        <w:t>Corte IDH. Asunto José Luís Galdámez Álvarez y otros. Medidas Provisionales respecto de Honduras. Resolución de 24 de octubre de 2012.</w:t>
      </w:r>
      <w:r w:rsidR="007F3464" w:rsidRPr="00CF04BF">
        <w:rPr>
          <w:rFonts w:ascii="Times New Roman" w:hAnsi="Times New Roman" w:cs="Times New Roman"/>
          <w:sz w:val="24"/>
          <w:szCs w:val="24"/>
        </w:rPr>
        <w:t xml:space="preserve"> pág. 13.</w:t>
      </w:r>
    </w:p>
    <w:p w:rsidR="008A6376" w:rsidRPr="00CF04BF" w:rsidRDefault="00E6065F" w:rsidP="009972EA">
      <w:pPr>
        <w:pStyle w:val="FootnoteText"/>
        <w:spacing w:line="480" w:lineRule="auto"/>
        <w:jc w:val="both"/>
        <w:rPr>
          <w:rFonts w:ascii="Times New Roman" w:hAnsi="Times New Roman" w:cs="Times New Roman"/>
          <w:b/>
          <w:sz w:val="24"/>
          <w:szCs w:val="24"/>
        </w:rPr>
      </w:pPr>
      <w:r w:rsidRPr="00CF04BF">
        <w:rPr>
          <w:rFonts w:ascii="Times New Roman" w:hAnsi="Times New Roman" w:cs="Times New Roman"/>
          <w:b/>
          <w:sz w:val="24"/>
          <w:szCs w:val="24"/>
          <w:u w:val="single"/>
        </w:rPr>
        <w:t>Opiniones Consultivas:</w:t>
      </w:r>
      <w:r w:rsidRPr="00CF04BF">
        <w:rPr>
          <w:rFonts w:ascii="Times New Roman" w:hAnsi="Times New Roman" w:cs="Times New Roman"/>
          <w:b/>
          <w:sz w:val="24"/>
          <w:szCs w:val="24"/>
        </w:rPr>
        <w:t xml:space="preserve"> </w:t>
      </w:r>
      <w:r w:rsidR="008A6376" w:rsidRPr="00CF04BF">
        <w:rPr>
          <w:rFonts w:ascii="Times New Roman" w:hAnsi="Times New Roman" w:cs="Times New Roman"/>
          <w:sz w:val="24"/>
          <w:szCs w:val="24"/>
        </w:rPr>
        <w:t xml:space="preserve">Corte IDH. Opinión Consultiva OC-4/84. </w:t>
      </w:r>
      <w:r w:rsidR="008A6376" w:rsidRPr="00CF04BF">
        <w:rPr>
          <w:rFonts w:ascii="Times New Roman" w:hAnsi="Times New Roman" w:cs="Times New Roman"/>
          <w:noProof/>
          <w:sz w:val="24"/>
          <w:szCs w:val="24"/>
        </w:rPr>
        <w:t>Propuesta de modificación a la Constitución Política de Costa Rica relacionada con la naturalización. 19 de enero de 1984. Serie A No. 4.</w:t>
      </w:r>
      <w:r w:rsidR="007F3464" w:rsidRPr="00CF04BF">
        <w:rPr>
          <w:rFonts w:ascii="Times New Roman" w:hAnsi="Times New Roman" w:cs="Times New Roman"/>
          <w:noProof/>
          <w:sz w:val="24"/>
          <w:szCs w:val="24"/>
        </w:rPr>
        <w:t xml:space="preserve"> pág. 19.</w:t>
      </w:r>
    </w:p>
    <w:p w:rsidR="008A6376" w:rsidRPr="00CF04BF" w:rsidRDefault="008A6376" w:rsidP="009972EA">
      <w:pPr>
        <w:pStyle w:val="FootnoteText"/>
        <w:spacing w:line="480" w:lineRule="auto"/>
        <w:jc w:val="both"/>
        <w:rPr>
          <w:rFonts w:ascii="Times New Roman" w:hAnsi="Times New Roman" w:cs="Times New Roman"/>
          <w:sz w:val="24"/>
          <w:szCs w:val="24"/>
        </w:rPr>
      </w:pPr>
      <w:r w:rsidRPr="00CF04BF">
        <w:rPr>
          <w:rFonts w:ascii="Times New Roman" w:hAnsi="Times New Roman" w:cs="Times New Roman"/>
          <w:sz w:val="24"/>
          <w:szCs w:val="24"/>
        </w:rPr>
        <w:t>Corte IDH. Opinión Consultiva OC-17/02.</w:t>
      </w:r>
      <w:r w:rsidRPr="00CF04BF">
        <w:rPr>
          <w:rFonts w:ascii="Times New Roman" w:hAnsi="Times New Roman" w:cs="Times New Roman"/>
          <w:i/>
          <w:sz w:val="24"/>
          <w:szCs w:val="24"/>
        </w:rPr>
        <w:t xml:space="preserve"> </w:t>
      </w:r>
      <w:r w:rsidRPr="00CF04BF">
        <w:rPr>
          <w:rFonts w:ascii="Times New Roman" w:hAnsi="Times New Roman" w:cs="Times New Roman"/>
          <w:sz w:val="24"/>
          <w:szCs w:val="24"/>
        </w:rPr>
        <w:t>Condición jurídica y derechos humanos del niño</w:t>
      </w:r>
      <w:r w:rsidRPr="00CF04BF">
        <w:rPr>
          <w:rFonts w:ascii="Times New Roman" w:hAnsi="Times New Roman" w:cs="Times New Roman"/>
          <w:noProof/>
          <w:sz w:val="24"/>
          <w:szCs w:val="24"/>
        </w:rPr>
        <w:t>. 28 de agosto de 2002. Serie A No. 17.</w:t>
      </w:r>
      <w:r w:rsidR="007F3464" w:rsidRPr="00CF04BF">
        <w:rPr>
          <w:rFonts w:ascii="Times New Roman" w:hAnsi="Times New Roman" w:cs="Times New Roman"/>
          <w:noProof/>
          <w:sz w:val="24"/>
          <w:szCs w:val="24"/>
        </w:rPr>
        <w:t xml:space="preserve"> pág. 21.</w:t>
      </w:r>
    </w:p>
    <w:p w:rsidR="008A6376" w:rsidRPr="00CF04BF" w:rsidRDefault="008A6376" w:rsidP="009972EA">
      <w:pPr>
        <w:pStyle w:val="FootnoteText"/>
        <w:spacing w:line="480" w:lineRule="auto"/>
        <w:jc w:val="both"/>
        <w:rPr>
          <w:rFonts w:ascii="Times New Roman" w:hAnsi="Times New Roman" w:cs="Times New Roman"/>
          <w:sz w:val="24"/>
          <w:szCs w:val="24"/>
        </w:rPr>
      </w:pPr>
      <w:r w:rsidRPr="00CF04BF">
        <w:rPr>
          <w:rFonts w:ascii="Times New Roman" w:hAnsi="Times New Roman" w:cs="Times New Roman"/>
          <w:sz w:val="24"/>
          <w:szCs w:val="24"/>
        </w:rPr>
        <w:lastRenderedPageBreak/>
        <w:t>Corte IDH. Opinión Consultiva OC-18/03. Condición jurídica y derechos de los Migrantes Indocumentados. 17 de septiembre de 2003. Serie A No. 18.</w:t>
      </w:r>
      <w:r w:rsidR="007F3464" w:rsidRPr="00CF04BF">
        <w:rPr>
          <w:rFonts w:ascii="Times New Roman" w:hAnsi="Times New Roman" w:cs="Times New Roman"/>
          <w:sz w:val="24"/>
          <w:szCs w:val="24"/>
        </w:rPr>
        <w:t xml:space="preserve"> págs. 19 y 21.</w:t>
      </w:r>
    </w:p>
    <w:p w:rsidR="008A6376" w:rsidRPr="00CF04BF" w:rsidRDefault="00E6065F" w:rsidP="009972EA">
      <w:pPr>
        <w:pStyle w:val="FootnoteText"/>
        <w:spacing w:line="480" w:lineRule="auto"/>
        <w:jc w:val="both"/>
        <w:rPr>
          <w:rFonts w:ascii="Times New Roman" w:hAnsi="Times New Roman" w:cs="Times New Roman"/>
          <w:b/>
          <w:sz w:val="24"/>
          <w:szCs w:val="24"/>
        </w:rPr>
      </w:pPr>
      <w:r w:rsidRPr="00CF04BF">
        <w:rPr>
          <w:rFonts w:ascii="Times New Roman" w:hAnsi="Times New Roman" w:cs="Times New Roman"/>
          <w:b/>
          <w:sz w:val="24"/>
          <w:szCs w:val="24"/>
          <w:u w:val="single"/>
        </w:rPr>
        <w:t>Voto:</w:t>
      </w:r>
      <w:r w:rsidRPr="00CF04BF">
        <w:rPr>
          <w:rFonts w:ascii="Times New Roman" w:hAnsi="Times New Roman" w:cs="Times New Roman"/>
          <w:b/>
          <w:sz w:val="24"/>
          <w:szCs w:val="24"/>
        </w:rPr>
        <w:t xml:space="preserve"> </w:t>
      </w:r>
      <w:r w:rsidR="008A6376" w:rsidRPr="00CF04BF">
        <w:rPr>
          <w:rFonts w:ascii="Times New Roman" w:hAnsi="Times New Roman" w:cs="Times New Roman"/>
          <w:sz w:val="24"/>
          <w:szCs w:val="24"/>
        </w:rPr>
        <w:t>Corte IDH. Caso Kimel vs. Argentina. Fondo, Reparaciones y Costas. Sentencia de 2 de mayo de 2008, Serie C No. 177. Voto concurrente del Juez Sergio García Ramírez.</w:t>
      </w:r>
      <w:r w:rsidR="007F3464" w:rsidRPr="00CF04BF">
        <w:rPr>
          <w:rFonts w:ascii="Times New Roman" w:hAnsi="Times New Roman" w:cs="Times New Roman"/>
          <w:sz w:val="24"/>
          <w:szCs w:val="24"/>
        </w:rPr>
        <w:t xml:space="preserve"> pág. 19.</w:t>
      </w:r>
    </w:p>
    <w:p w:rsidR="008A6376" w:rsidRPr="00CF04BF" w:rsidRDefault="008A6376" w:rsidP="009972EA">
      <w:pPr>
        <w:pStyle w:val="FootnoteText"/>
        <w:spacing w:line="480" w:lineRule="auto"/>
        <w:jc w:val="both"/>
        <w:rPr>
          <w:rFonts w:ascii="Times New Roman" w:hAnsi="Times New Roman" w:cs="Times New Roman"/>
          <w:b/>
          <w:sz w:val="24"/>
          <w:szCs w:val="24"/>
        </w:rPr>
      </w:pPr>
      <w:r w:rsidRPr="00CF04BF">
        <w:rPr>
          <w:rFonts w:ascii="Times New Roman" w:hAnsi="Times New Roman" w:cs="Times New Roman"/>
          <w:b/>
          <w:sz w:val="24"/>
          <w:szCs w:val="24"/>
          <w:u w:val="single"/>
        </w:rPr>
        <w:t>Comisión Int</w:t>
      </w:r>
      <w:r w:rsidR="00CB11FB" w:rsidRPr="00CF04BF">
        <w:rPr>
          <w:rFonts w:ascii="Times New Roman" w:hAnsi="Times New Roman" w:cs="Times New Roman"/>
          <w:b/>
          <w:sz w:val="24"/>
          <w:szCs w:val="24"/>
          <w:u w:val="single"/>
        </w:rPr>
        <w:t>eramericana de Derechos Humanos:</w:t>
      </w:r>
      <w:r w:rsidR="00CB11FB" w:rsidRPr="00CF04BF">
        <w:rPr>
          <w:rFonts w:ascii="Times New Roman" w:hAnsi="Times New Roman" w:cs="Times New Roman"/>
          <w:b/>
          <w:sz w:val="24"/>
          <w:szCs w:val="24"/>
        </w:rPr>
        <w:t xml:space="preserve"> </w:t>
      </w:r>
      <w:r w:rsidRPr="00CF04BF">
        <w:rPr>
          <w:rFonts w:ascii="Times New Roman" w:hAnsi="Times New Roman" w:cs="Times New Roman"/>
          <w:sz w:val="24"/>
          <w:szCs w:val="24"/>
        </w:rPr>
        <w:t>CIDH. Caso Lizardo Cabrera Vs República Dominicana Caso 10.832. Informe Nº 35/96 19 de febrero de 1998.</w:t>
      </w:r>
      <w:r w:rsidR="007F3464" w:rsidRPr="00CF04BF">
        <w:rPr>
          <w:rFonts w:ascii="Times New Roman" w:hAnsi="Times New Roman" w:cs="Times New Roman"/>
          <w:sz w:val="24"/>
          <w:szCs w:val="24"/>
        </w:rPr>
        <w:t xml:space="preserve"> pág. 24.</w:t>
      </w:r>
    </w:p>
    <w:p w:rsidR="008A6376" w:rsidRPr="00CF04BF" w:rsidRDefault="008A6376" w:rsidP="009972EA">
      <w:pPr>
        <w:pStyle w:val="FootnoteText"/>
        <w:spacing w:line="480" w:lineRule="auto"/>
        <w:jc w:val="both"/>
        <w:rPr>
          <w:rFonts w:ascii="Times New Roman" w:hAnsi="Times New Roman" w:cs="Times New Roman"/>
          <w:sz w:val="24"/>
          <w:szCs w:val="24"/>
        </w:rPr>
      </w:pPr>
      <w:r w:rsidRPr="00CF04BF">
        <w:rPr>
          <w:rFonts w:ascii="Times New Roman" w:hAnsi="Times New Roman" w:cs="Times New Roman"/>
          <w:sz w:val="24"/>
          <w:szCs w:val="24"/>
        </w:rPr>
        <w:t>CIDH. Caso Víctor Rosario Congo Vs Ecuador Caso 11.427. Informe Nº 63/99. 13 de abril de 1999.</w:t>
      </w:r>
      <w:r w:rsidR="007F3464" w:rsidRPr="00CF04BF">
        <w:rPr>
          <w:rFonts w:ascii="Times New Roman" w:hAnsi="Times New Roman" w:cs="Times New Roman"/>
          <w:sz w:val="24"/>
          <w:szCs w:val="24"/>
        </w:rPr>
        <w:t xml:space="preserve"> pág. 28.</w:t>
      </w:r>
    </w:p>
    <w:p w:rsidR="008A6376" w:rsidRPr="00CF04BF" w:rsidRDefault="008A6376" w:rsidP="009972EA">
      <w:pPr>
        <w:pStyle w:val="FootnoteText"/>
        <w:spacing w:line="480" w:lineRule="auto"/>
        <w:jc w:val="both"/>
        <w:rPr>
          <w:rFonts w:ascii="Times New Roman" w:hAnsi="Times New Roman" w:cs="Times New Roman"/>
          <w:sz w:val="24"/>
          <w:szCs w:val="24"/>
        </w:rPr>
      </w:pPr>
      <w:r w:rsidRPr="00CF04BF">
        <w:rPr>
          <w:rFonts w:ascii="Times New Roman" w:hAnsi="Times New Roman" w:cs="Times New Roman"/>
          <w:sz w:val="24"/>
          <w:szCs w:val="24"/>
        </w:rPr>
        <w:t>CIDH, Informe 17/03, Petición 11.825, Inadmisibilidad, María Estela Acosta Hernández y Otros (Explosiones en el sector Reforma de Guadalajara), México, 20 de febrero de 2003.</w:t>
      </w:r>
      <w:r w:rsidR="007F3464" w:rsidRPr="00CF04BF">
        <w:rPr>
          <w:rFonts w:ascii="Times New Roman" w:hAnsi="Times New Roman" w:cs="Times New Roman"/>
          <w:sz w:val="24"/>
          <w:szCs w:val="24"/>
        </w:rPr>
        <w:t xml:space="preserve"> pág. 12.</w:t>
      </w:r>
    </w:p>
    <w:p w:rsidR="008A6376" w:rsidRPr="00CF04BF" w:rsidRDefault="008A6376" w:rsidP="009972EA">
      <w:pPr>
        <w:pStyle w:val="FootnoteText"/>
        <w:spacing w:line="480" w:lineRule="auto"/>
        <w:jc w:val="both"/>
        <w:rPr>
          <w:rFonts w:ascii="Times New Roman" w:hAnsi="Times New Roman" w:cs="Times New Roman"/>
          <w:sz w:val="24"/>
          <w:szCs w:val="24"/>
        </w:rPr>
      </w:pPr>
      <w:r w:rsidRPr="00CF04BF">
        <w:rPr>
          <w:rFonts w:ascii="Times New Roman" w:hAnsi="Times New Roman" w:cs="Times New Roman"/>
          <w:sz w:val="24"/>
          <w:szCs w:val="24"/>
        </w:rPr>
        <w:t>CIDH, Informe 60/12, Petición 513-04, Inadmisibilidad, José Carlos Ramírez Ramos, México, 18 de marzo de 2012.</w:t>
      </w:r>
      <w:r w:rsidR="007F3464" w:rsidRPr="00CF04BF">
        <w:rPr>
          <w:rFonts w:ascii="Times New Roman" w:hAnsi="Times New Roman" w:cs="Times New Roman"/>
          <w:sz w:val="24"/>
          <w:szCs w:val="24"/>
        </w:rPr>
        <w:t xml:space="preserve"> pág. 12.</w:t>
      </w:r>
    </w:p>
    <w:p w:rsidR="008A6376" w:rsidRPr="00CF04BF" w:rsidRDefault="008A6376" w:rsidP="009972EA">
      <w:pPr>
        <w:pStyle w:val="FootnoteText"/>
        <w:spacing w:line="480" w:lineRule="auto"/>
        <w:jc w:val="both"/>
        <w:rPr>
          <w:rFonts w:ascii="Times New Roman" w:hAnsi="Times New Roman" w:cs="Times New Roman"/>
          <w:b/>
          <w:sz w:val="24"/>
          <w:szCs w:val="24"/>
        </w:rPr>
      </w:pPr>
      <w:r w:rsidRPr="00CF04BF">
        <w:rPr>
          <w:rFonts w:ascii="Times New Roman" w:hAnsi="Times New Roman" w:cs="Times New Roman"/>
          <w:b/>
          <w:sz w:val="24"/>
          <w:szCs w:val="24"/>
          <w:u w:val="single"/>
        </w:rPr>
        <w:t>Comis</w:t>
      </w:r>
      <w:r w:rsidR="00CB11FB" w:rsidRPr="00CF04BF">
        <w:rPr>
          <w:rFonts w:ascii="Times New Roman" w:hAnsi="Times New Roman" w:cs="Times New Roman"/>
          <w:b/>
          <w:sz w:val="24"/>
          <w:szCs w:val="24"/>
          <w:u w:val="single"/>
        </w:rPr>
        <w:t>ión Europea de Derechos Humanos:</w:t>
      </w:r>
      <w:r w:rsidR="00CB11FB" w:rsidRPr="00CF04BF">
        <w:rPr>
          <w:rFonts w:ascii="Times New Roman" w:hAnsi="Times New Roman" w:cs="Times New Roman"/>
          <w:b/>
          <w:sz w:val="24"/>
          <w:szCs w:val="24"/>
        </w:rPr>
        <w:t xml:space="preserve"> </w:t>
      </w:r>
      <w:r w:rsidRPr="00CF04BF">
        <w:rPr>
          <w:rFonts w:ascii="Times New Roman" w:hAnsi="Times New Roman" w:cs="Times New Roman"/>
          <w:sz w:val="24"/>
          <w:szCs w:val="24"/>
        </w:rPr>
        <w:t>Comisión Europea de Derechos Humanos. El Caso Griego, N° 3321/67, 3322/67, 3323/67 y 3344/67, 1969 Anuario del Convenio Europeo de Derechos Humanos, N° 12.</w:t>
      </w:r>
      <w:r w:rsidR="007F3464" w:rsidRPr="00CF04BF">
        <w:rPr>
          <w:rFonts w:ascii="Times New Roman" w:hAnsi="Times New Roman" w:cs="Times New Roman"/>
          <w:sz w:val="24"/>
          <w:szCs w:val="24"/>
        </w:rPr>
        <w:t xml:space="preserve"> pág. 24.</w:t>
      </w:r>
    </w:p>
    <w:p w:rsidR="008A6376" w:rsidRPr="00CF04BF" w:rsidRDefault="008A6376" w:rsidP="009972EA">
      <w:pPr>
        <w:pStyle w:val="FootnoteText"/>
        <w:spacing w:line="480" w:lineRule="auto"/>
        <w:jc w:val="both"/>
        <w:rPr>
          <w:rFonts w:ascii="Times New Roman" w:hAnsi="Times New Roman" w:cs="Times New Roman"/>
          <w:b/>
          <w:sz w:val="24"/>
          <w:szCs w:val="24"/>
        </w:rPr>
      </w:pPr>
      <w:r w:rsidRPr="00CF04BF">
        <w:rPr>
          <w:rFonts w:ascii="Times New Roman" w:hAnsi="Times New Roman" w:cs="Times New Roman"/>
          <w:b/>
          <w:sz w:val="24"/>
          <w:szCs w:val="24"/>
        </w:rPr>
        <w:t>Tribunal Europeo de Derechos Huma</w:t>
      </w:r>
      <w:r w:rsidR="00CB11FB" w:rsidRPr="00CF04BF">
        <w:rPr>
          <w:rFonts w:ascii="Times New Roman" w:hAnsi="Times New Roman" w:cs="Times New Roman"/>
          <w:b/>
          <w:sz w:val="24"/>
          <w:szCs w:val="24"/>
        </w:rPr>
        <w:t xml:space="preserve">nos: </w:t>
      </w:r>
      <w:r w:rsidRPr="00CF04BF">
        <w:rPr>
          <w:rFonts w:ascii="Times New Roman" w:hAnsi="Times New Roman" w:cs="Times New Roman"/>
          <w:sz w:val="24"/>
          <w:szCs w:val="24"/>
        </w:rPr>
        <w:t>TEDH, Caso "Relativo a determinados aspectos de las leyes sobre el uso de los idiomas en la educación de Bélgica” Vs. Bélgica. Sentencia de 23 de Julio de 1968, Serie A 1968.</w:t>
      </w:r>
      <w:r w:rsidR="007F3464" w:rsidRPr="00CF04BF">
        <w:rPr>
          <w:rFonts w:ascii="Times New Roman" w:hAnsi="Times New Roman" w:cs="Times New Roman"/>
          <w:sz w:val="24"/>
          <w:szCs w:val="24"/>
        </w:rPr>
        <w:t xml:space="preserve"> pág. 19.</w:t>
      </w:r>
    </w:p>
    <w:p w:rsidR="008A6376" w:rsidRPr="00CF04BF" w:rsidRDefault="008A6376" w:rsidP="009972EA">
      <w:pPr>
        <w:pStyle w:val="FootnoteText"/>
        <w:spacing w:line="480" w:lineRule="auto"/>
        <w:jc w:val="both"/>
        <w:rPr>
          <w:rFonts w:ascii="Times New Roman" w:hAnsi="Times New Roman" w:cs="Times New Roman"/>
          <w:sz w:val="24"/>
          <w:szCs w:val="24"/>
        </w:rPr>
      </w:pPr>
      <w:r w:rsidRPr="00CF04BF">
        <w:rPr>
          <w:rFonts w:ascii="Times New Roman" w:hAnsi="Times New Roman" w:cs="Times New Roman"/>
          <w:sz w:val="24"/>
          <w:szCs w:val="24"/>
        </w:rPr>
        <w:t xml:space="preserve">TEDH, Caso de Petrovic Vs. Austria. Sentencia </w:t>
      </w:r>
      <w:r w:rsidR="008D2836" w:rsidRPr="00CF04BF">
        <w:rPr>
          <w:rFonts w:ascii="Times New Roman" w:hAnsi="Times New Roman" w:cs="Times New Roman"/>
          <w:sz w:val="24"/>
          <w:szCs w:val="24"/>
        </w:rPr>
        <w:t xml:space="preserve">de 27 de marzo de 1998, </w:t>
      </w:r>
      <w:r w:rsidRPr="00CF04BF">
        <w:rPr>
          <w:rFonts w:ascii="Times New Roman" w:hAnsi="Times New Roman" w:cs="Times New Roman"/>
          <w:sz w:val="24"/>
          <w:szCs w:val="24"/>
        </w:rPr>
        <w:t>1998-II.</w:t>
      </w:r>
      <w:r w:rsidR="007F3464" w:rsidRPr="00CF04BF">
        <w:rPr>
          <w:rFonts w:ascii="Times New Roman" w:hAnsi="Times New Roman" w:cs="Times New Roman"/>
          <w:sz w:val="24"/>
          <w:szCs w:val="24"/>
        </w:rPr>
        <w:t xml:space="preserve"> pág. 19</w:t>
      </w:r>
      <w:r w:rsidR="008D2836" w:rsidRPr="00CF04BF">
        <w:rPr>
          <w:rFonts w:ascii="Times New Roman" w:hAnsi="Times New Roman" w:cs="Times New Roman"/>
          <w:sz w:val="24"/>
          <w:szCs w:val="24"/>
        </w:rPr>
        <w:t>.</w:t>
      </w:r>
    </w:p>
    <w:p w:rsidR="008A6376" w:rsidRPr="00CF04BF" w:rsidRDefault="008A6376" w:rsidP="009972EA">
      <w:pPr>
        <w:pStyle w:val="FootnoteText"/>
        <w:spacing w:line="480" w:lineRule="auto"/>
        <w:jc w:val="both"/>
        <w:rPr>
          <w:rFonts w:ascii="Times New Roman" w:hAnsi="Times New Roman" w:cs="Times New Roman"/>
          <w:sz w:val="24"/>
          <w:szCs w:val="24"/>
        </w:rPr>
      </w:pPr>
      <w:r w:rsidRPr="00CF04BF">
        <w:rPr>
          <w:rFonts w:ascii="Times New Roman" w:hAnsi="Times New Roman" w:cs="Times New Roman"/>
          <w:sz w:val="24"/>
          <w:szCs w:val="24"/>
        </w:rPr>
        <w:t>TEDH, Caso Messina Vs. Italia, (No. 25498/94), Sentencia de 8 de junio de 1999.</w:t>
      </w:r>
      <w:r w:rsidR="007F3464" w:rsidRPr="00CF04BF">
        <w:rPr>
          <w:rFonts w:ascii="Times New Roman" w:hAnsi="Times New Roman" w:cs="Times New Roman"/>
          <w:sz w:val="24"/>
          <w:szCs w:val="24"/>
        </w:rPr>
        <w:t xml:space="preserve"> págs. 13 y 27.</w:t>
      </w:r>
    </w:p>
    <w:p w:rsidR="008A6376" w:rsidRPr="00CF04BF" w:rsidRDefault="008A6376" w:rsidP="009972EA">
      <w:pPr>
        <w:pStyle w:val="FootnoteText"/>
        <w:spacing w:line="480" w:lineRule="auto"/>
        <w:jc w:val="both"/>
        <w:rPr>
          <w:rFonts w:ascii="Times New Roman" w:hAnsi="Times New Roman" w:cs="Times New Roman"/>
          <w:sz w:val="24"/>
          <w:szCs w:val="24"/>
        </w:rPr>
      </w:pPr>
      <w:r w:rsidRPr="00CF04BF">
        <w:rPr>
          <w:rFonts w:ascii="Times New Roman" w:hAnsi="Times New Roman" w:cs="Times New Roman"/>
          <w:sz w:val="24"/>
          <w:szCs w:val="24"/>
        </w:rPr>
        <w:t>TEDH. Daktaras v. Lithuania, (42095/98)  Sentencia 17 de enero 2001.</w:t>
      </w:r>
      <w:r w:rsidR="007F3464" w:rsidRPr="00CF04BF">
        <w:rPr>
          <w:rFonts w:ascii="Times New Roman" w:hAnsi="Times New Roman" w:cs="Times New Roman"/>
          <w:sz w:val="24"/>
          <w:szCs w:val="24"/>
        </w:rPr>
        <w:t xml:space="preserve"> pág. 32.</w:t>
      </w:r>
    </w:p>
    <w:p w:rsidR="008A6376" w:rsidRPr="00CF04BF" w:rsidRDefault="008A6376" w:rsidP="009972EA">
      <w:pPr>
        <w:pStyle w:val="FootnoteText"/>
        <w:spacing w:line="480" w:lineRule="auto"/>
        <w:jc w:val="both"/>
        <w:rPr>
          <w:rFonts w:ascii="Times New Roman" w:hAnsi="Times New Roman" w:cs="Times New Roman"/>
          <w:sz w:val="24"/>
          <w:szCs w:val="24"/>
        </w:rPr>
      </w:pPr>
      <w:r w:rsidRPr="00CF04BF">
        <w:rPr>
          <w:rFonts w:ascii="Times New Roman" w:hAnsi="Times New Roman" w:cs="Times New Roman"/>
          <w:sz w:val="24"/>
          <w:szCs w:val="24"/>
        </w:rPr>
        <w:t>TEDH, Caso de Wessels-Bergervoet Vs.</w:t>
      </w:r>
      <w:r w:rsidRPr="00CF04BF">
        <w:rPr>
          <w:rFonts w:ascii="Times New Roman" w:hAnsi="Times New Roman" w:cs="Times New Roman"/>
          <w:color w:val="FF0000"/>
          <w:sz w:val="24"/>
          <w:szCs w:val="24"/>
        </w:rPr>
        <w:t xml:space="preserve"> </w:t>
      </w:r>
      <w:r w:rsidRPr="00CF04BF">
        <w:rPr>
          <w:rFonts w:ascii="Times New Roman" w:hAnsi="Times New Roman" w:cs="Times New Roman"/>
          <w:sz w:val="24"/>
          <w:szCs w:val="24"/>
        </w:rPr>
        <w:t>Países Bajos, Sentencia de 4 de junio de 2002.</w:t>
      </w:r>
      <w:r w:rsidR="007F3464" w:rsidRPr="00CF04BF">
        <w:rPr>
          <w:rFonts w:ascii="Times New Roman" w:hAnsi="Times New Roman" w:cs="Times New Roman"/>
          <w:sz w:val="24"/>
          <w:szCs w:val="24"/>
        </w:rPr>
        <w:t xml:space="preserve"> pág. 19.</w:t>
      </w:r>
    </w:p>
    <w:p w:rsidR="008A6376" w:rsidRPr="00CF04BF" w:rsidRDefault="008A6376" w:rsidP="009972EA">
      <w:pPr>
        <w:pStyle w:val="FootnoteText"/>
        <w:spacing w:line="480" w:lineRule="auto"/>
        <w:jc w:val="both"/>
        <w:rPr>
          <w:rFonts w:ascii="Times New Roman" w:hAnsi="Times New Roman" w:cs="Times New Roman"/>
          <w:sz w:val="24"/>
          <w:szCs w:val="24"/>
        </w:rPr>
      </w:pPr>
      <w:r w:rsidRPr="00CF04BF">
        <w:rPr>
          <w:rFonts w:ascii="Times New Roman" w:hAnsi="Times New Roman" w:cs="Times New Roman"/>
          <w:sz w:val="24"/>
          <w:szCs w:val="24"/>
        </w:rPr>
        <w:t>TEDH, Caso de Willis Vs. El Reino Unido. Sentencia de 11 de junio de 2002.</w:t>
      </w:r>
      <w:r w:rsidR="007F3464" w:rsidRPr="00CF04BF">
        <w:rPr>
          <w:rFonts w:ascii="Times New Roman" w:hAnsi="Times New Roman" w:cs="Times New Roman"/>
          <w:sz w:val="24"/>
          <w:szCs w:val="24"/>
        </w:rPr>
        <w:t xml:space="preserve"> pág. 19.</w:t>
      </w:r>
    </w:p>
    <w:p w:rsidR="008A6376" w:rsidRPr="00CF04BF" w:rsidRDefault="008A6376" w:rsidP="009972EA">
      <w:pPr>
        <w:pStyle w:val="FootnoteText"/>
        <w:spacing w:line="480" w:lineRule="auto"/>
        <w:jc w:val="both"/>
        <w:rPr>
          <w:rFonts w:ascii="Times New Roman" w:hAnsi="Times New Roman" w:cs="Times New Roman"/>
          <w:sz w:val="24"/>
          <w:szCs w:val="24"/>
        </w:rPr>
      </w:pPr>
      <w:r w:rsidRPr="00CF04BF">
        <w:rPr>
          <w:rFonts w:ascii="Times New Roman" w:hAnsi="Times New Roman" w:cs="Times New Roman"/>
          <w:sz w:val="24"/>
          <w:szCs w:val="24"/>
        </w:rPr>
        <w:lastRenderedPageBreak/>
        <w:t>TEDH. Caso Stork Vs. Alemania, (No. 61603/00), Sentencia de 16 de junio de 2005.</w:t>
      </w:r>
      <w:r w:rsidR="007F3464" w:rsidRPr="00CF04BF">
        <w:rPr>
          <w:rFonts w:ascii="Times New Roman" w:hAnsi="Times New Roman" w:cs="Times New Roman"/>
          <w:sz w:val="24"/>
          <w:szCs w:val="24"/>
        </w:rPr>
        <w:t xml:space="preserve"> pág. </w:t>
      </w:r>
      <w:r w:rsidR="00F457A8" w:rsidRPr="00CF04BF">
        <w:rPr>
          <w:rFonts w:ascii="Times New Roman" w:hAnsi="Times New Roman" w:cs="Times New Roman"/>
          <w:sz w:val="24"/>
          <w:szCs w:val="24"/>
        </w:rPr>
        <w:t>24.</w:t>
      </w:r>
    </w:p>
    <w:p w:rsidR="008A6376" w:rsidRPr="00CF04BF" w:rsidRDefault="008A6376" w:rsidP="009972EA">
      <w:pPr>
        <w:pStyle w:val="FootnoteText"/>
        <w:spacing w:line="480" w:lineRule="auto"/>
        <w:jc w:val="both"/>
        <w:rPr>
          <w:rFonts w:ascii="Times New Roman" w:hAnsi="Times New Roman" w:cs="Times New Roman"/>
          <w:sz w:val="24"/>
          <w:szCs w:val="24"/>
        </w:rPr>
      </w:pPr>
      <w:r w:rsidRPr="00CF04BF">
        <w:rPr>
          <w:rFonts w:ascii="Times New Roman" w:hAnsi="Times New Roman" w:cs="Times New Roman"/>
          <w:sz w:val="24"/>
          <w:szCs w:val="24"/>
        </w:rPr>
        <w:t>TEDH. Caso Mathew Vs. Países Bajo</w:t>
      </w:r>
      <w:r w:rsidR="00E6065F" w:rsidRPr="00CF04BF">
        <w:rPr>
          <w:rFonts w:ascii="Times New Roman" w:hAnsi="Times New Roman" w:cs="Times New Roman"/>
          <w:sz w:val="24"/>
          <w:szCs w:val="24"/>
        </w:rPr>
        <w:t xml:space="preserve">s, (No. 24919/03). </w:t>
      </w:r>
      <w:r w:rsidRPr="00CF04BF">
        <w:rPr>
          <w:rFonts w:ascii="Times New Roman" w:hAnsi="Times New Roman" w:cs="Times New Roman"/>
          <w:sz w:val="24"/>
          <w:szCs w:val="24"/>
        </w:rPr>
        <w:t>29 de septiembre de 2005.</w:t>
      </w:r>
      <w:r w:rsidR="00E6065F" w:rsidRPr="00CF04BF">
        <w:rPr>
          <w:rFonts w:ascii="Times New Roman" w:hAnsi="Times New Roman" w:cs="Times New Roman"/>
          <w:sz w:val="24"/>
          <w:szCs w:val="24"/>
        </w:rPr>
        <w:t xml:space="preserve"> </w:t>
      </w:r>
      <w:r w:rsidR="00F457A8" w:rsidRPr="00CF04BF">
        <w:rPr>
          <w:rFonts w:ascii="Times New Roman" w:hAnsi="Times New Roman" w:cs="Times New Roman"/>
          <w:sz w:val="24"/>
          <w:szCs w:val="24"/>
        </w:rPr>
        <w:t>pág. 27.</w:t>
      </w:r>
    </w:p>
    <w:p w:rsidR="00141D01" w:rsidRPr="00CF04BF" w:rsidRDefault="008A6376" w:rsidP="009972EA">
      <w:pPr>
        <w:pStyle w:val="FootnoteText"/>
        <w:spacing w:line="480" w:lineRule="auto"/>
        <w:jc w:val="both"/>
        <w:rPr>
          <w:rFonts w:ascii="Times New Roman" w:hAnsi="Times New Roman" w:cs="Times New Roman"/>
          <w:sz w:val="24"/>
          <w:szCs w:val="24"/>
        </w:rPr>
      </w:pPr>
      <w:r w:rsidRPr="00CF04BF">
        <w:rPr>
          <w:rFonts w:ascii="Times New Roman" w:hAnsi="Times New Roman" w:cs="Times New Roman"/>
          <w:sz w:val="24"/>
          <w:szCs w:val="24"/>
        </w:rPr>
        <w:t>TEDH, Caso Glor v. v. Switzerland (N° 13444/04). Se</w:t>
      </w:r>
      <w:r w:rsidR="00E6065F" w:rsidRPr="00CF04BF">
        <w:rPr>
          <w:rFonts w:ascii="Times New Roman" w:hAnsi="Times New Roman" w:cs="Times New Roman"/>
          <w:sz w:val="24"/>
          <w:szCs w:val="24"/>
        </w:rPr>
        <w:t>ntencia de 30 de abril de 2009.</w:t>
      </w:r>
      <w:r w:rsidR="00F457A8" w:rsidRPr="00CF04BF">
        <w:rPr>
          <w:rFonts w:ascii="Times New Roman" w:hAnsi="Times New Roman" w:cs="Times New Roman"/>
          <w:sz w:val="24"/>
          <w:szCs w:val="24"/>
        </w:rPr>
        <w:t xml:space="preserve"> pág. 18.</w:t>
      </w:r>
    </w:p>
    <w:p w:rsidR="008A6376" w:rsidRPr="00CF04BF" w:rsidRDefault="008A6376" w:rsidP="009972EA">
      <w:pPr>
        <w:spacing w:after="0" w:line="480" w:lineRule="auto"/>
        <w:jc w:val="both"/>
        <w:rPr>
          <w:rFonts w:ascii="Times New Roman" w:hAnsi="Times New Roman" w:cs="Times New Roman"/>
          <w:b/>
          <w:sz w:val="24"/>
          <w:szCs w:val="24"/>
        </w:rPr>
      </w:pPr>
      <w:r w:rsidRPr="00CF04BF">
        <w:rPr>
          <w:rFonts w:ascii="Times New Roman" w:hAnsi="Times New Roman" w:cs="Times New Roman"/>
          <w:b/>
          <w:sz w:val="24"/>
          <w:szCs w:val="24"/>
        </w:rPr>
        <w:t>1. EXPOSICIÓN DE LOS HECHOS DEL CASO.</w:t>
      </w:r>
    </w:p>
    <w:p w:rsidR="008A6376" w:rsidRPr="00CF04BF" w:rsidRDefault="00131F4B" w:rsidP="009972EA">
      <w:pPr>
        <w:spacing w:after="0" w:line="480" w:lineRule="auto"/>
        <w:jc w:val="both"/>
        <w:rPr>
          <w:rFonts w:ascii="Times New Roman" w:hAnsi="Times New Roman" w:cs="Times New Roman"/>
          <w:sz w:val="24"/>
          <w:szCs w:val="24"/>
        </w:rPr>
      </w:pPr>
      <w:r w:rsidRPr="00CF04BF">
        <w:rPr>
          <w:rFonts w:ascii="Times New Roman" w:hAnsi="Times New Roman" w:cs="Times New Roman"/>
          <w:sz w:val="24"/>
          <w:szCs w:val="24"/>
        </w:rPr>
        <w:t>C</w:t>
      </w:r>
      <w:r w:rsidR="008A6376" w:rsidRPr="00CF04BF">
        <w:rPr>
          <w:rFonts w:ascii="Times New Roman" w:hAnsi="Times New Roman" w:cs="Times New Roman"/>
          <w:sz w:val="24"/>
          <w:szCs w:val="24"/>
        </w:rPr>
        <w:t xml:space="preserve"> es una</w:t>
      </w:r>
      <w:r w:rsidR="00BD09EC" w:rsidRPr="00CF04BF">
        <w:rPr>
          <w:rFonts w:ascii="Times New Roman" w:hAnsi="Times New Roman" w:cs="Times New Roman"/>
          <w:sz w:val="24"/>
          <w:szCs w:val="24"/>
        </w:rPr>
        <w:t xml:space="preserve"> mujer con ceguera la cual quedó</w:t>
      </w:r>
      <w:r w:rsidR="008A6376" w:rsidRPr="00CF04BF">
        <w:rPr>
          <w:rFonts w:ascii="Times New Roman" w:hAnsi="Times New Roman" w:cs="Times New Roman"/>
          <w:sz w:val="24"/>
          <w:szCs w:val="24"/>
        </w:rPr>
        <w:t xml:space="preserve"> sola al fallecer su madre en 2006; </w:t>
      </w:r>
      <w:r w:rsidR="00BD09EC" w:rsidRPr="00CF04BF">
        <w:rPr>
          <w:rFonts w:ascii="Times New Roman" w:hAnsi="Times New Roman" w:cs="Times New Roman"/>
          <w:sz w:val="24"/>
          <w:szCs w:val="24"/>
        </w:rPr>
        <w:t>por ello no pudo</w:t>
      </w:r>
      <w:r w:rsidR="008A6376" w:rsidRPr="00CF04BF">
        <w:rPr>
          <w:rFonts w:ascii="Times New Roman" w:hAnsi="Times New Roman" w:cs="Times New Roman"/>
          <w:sz w:val="24"/>
          <w:szCs w:val="24"/>
        </w:rPr>
        <w:t xml:space="preserve"> conducirse con independencia, y al quedarse sin din</w:t>
      </w:r>
      <w:r w:rsidR="00BD09EC" w:rsidRPr="00CF04BF">
        <w:rPr>
          <w:rFonts w:ascii="Times New Roman" w:hAnsi="Times New Roman" w:cs="Times New Roman"/>
          <w:sz w:val="24"/>
          <w:szCs w:val="24"/>
        </w:rPr>
        <w:t>ero, comenzó</w:t>
      </w:r>
      <w:r w:rsidR="008A6376" w:rsidRPr="00CF04BF">
        <w:rPr>
          <w:rFonts w:ascii="Times New Roman" w:hAnsi="Times New Roman" w:cs="Times New Roman"/>
          <w:sz w:val="24"/>
          <w:szCs w:val="24"/>
        </w:rPr>
        <w:t xml:space="preserve"> a vivir en la calle por varios días, hasta que el 3 de agosto de 2006 un policía que trabajaba para la iniciativa del gobierno “Acogiendo </w:t>
      </w:r>
      <w:r w:rsidR="00BD09EC" w:rsidRPr="00CF04BF">
        <w:rPr>
          <w:rFonts w:ascii="Times New Roman" w:hAnsi="Times New Roman" w:cs="Times New Roman"/>
          <w:sz w:val="24"/>
          <w:szCs w:val="24"/>
        </w:rPr>
        <w:t>a nuestros indigentes”, la llevó</w:t>
      </w:r>
      <w:r w:rsidR="008A6376" w:rsidRPr="00CF04BF">
        <w:rPr>
          <w:rFonts w:ascii="Times New Roman" w:hAnsi="Times New Roman" w:cs="Times New Roman"/>
          <w:sz w:val="24"/>
          <w:szCs w:val="24"/>
        </w:rPr>
        <w:t xml:space="preserve"> al albergue estatal “La Casita”. En “La Casita” una trabajadora social se comunicó con sus tíos que eran sus únicos familiares, quienes indicaron que no podían hacerse cargo </w:t>
      </w:r>
      <w:r w:rsidR="00C40296" w:rsidRPr="00CF04BF">
        <w:rPr>
          <w:rFonts w:ascii="Times New Roman" w:hAnsi="Times New Roman" w:cs="Times New Roman"/>
          <w:sz w:val="24"/>
          <w:szCs w:val="24"/>
        </w:rPr>
        <w:t>de ella</w:t>
      </w:r>
      <w:r w:rsidR="008A6376" w:rsidRPr="00CF04BF">
        <w:rPr>
          <w:rFonts w:ascii="Times New Roman" w:hAnsi="Times New Roman" w:cs="Times New Roman"/>
          <w:sz w:val="24"/>
          <w:szCs w:val="24"/>
        </w:rPr>
        <w:t>. Posteriormente se le realizó un examen médico genera</w:t>
      </w:r>
      <w:r w:rsidR="00BD09EC" w:rsidRPr="00CF04BF">
        <w:rPr>
          <w:rFonts w:ascii="Times New Roman" w:hAnsi="Times New Roman" w:cs="Times New Roman"/>
          <w:sz w:val="24"/>
          <w:szCs w:val="24"/>
        </w:rPr>
        <w:t>l y psiquiátrico que diagnosticó</w:t>
      </w:r>
      <w:r w:rsidR="008A6376" w:rsidRPr="00CF04BF">
        <w:rPr>
          <w:rFonts w:ascii="Times New Roman" w:hAnsi="Times New Roman" w:cs="Times New Roman"/>
          <w:sz w:val="24"/>
          <w:szCs w:val="24"/>
        </w:rPr>
        <w:t xml:space="preserve"> depresión mayor. </w:t>
      </w:r>
      <w:r w:rsidR="00BD09EC" w:rsidRPr="00CF04BF">
        <w:rPr>
          <w:rFonts w:ascii="Times New Roman" w:hAnsi="Times New Roman" w:cs="Times New Roman"/>
          <w:sz w:val="24"/>
          <w:szCs w:val="24"/>
        </w:rPr>
        <w:t xml:space="preserve">La Dra. Lira, </w:t>
      </w:r>
      <w:r w:rsidR="008A6376" w:rsidRPr="00CF04BF">
        <w:rPr>
          <w:rFonts w:ascii="Times New Roman" w:hAnsi="Times New Roman" w:cs="Times New Roman"/>
          <w:sz w:val="24"/>
          <w:szCs w:val="24"/>
        </w:rPr>
        <w:t xml:space="preserve">directora de “La Casita”, aprobó la entrada de </w:t>
      </w:r>
      <w:r w:rsidRPr="00CF04BF">
        <w:rPr>
          <w:rFonts w:ascii="Times New Roman" w:hAnsi="Times New Roman" w:cs="Times New Roman"/>
          <w:sz w:val="24"/>
          <w:szCs w:val="24"/>
        </w:rPr>
        <w:t>C</w:t>
      </w:r>
      <w:r w:rsidR="00BD09EC" w:rsidRPr="00CF04BF">
        <w:rPr>
          <w:rFonts w:ascii="Times New Roman" w:hAnsi="Times New Roman" w:cs="Times New Roman"/>
          <w:sz w:val="24"/>
          <w:szCs w:val="24"/>
        </w:rPr>
        <w:t xml:space="preserve"> e</w:t>
      </w:r>
      <w:r w:rsidR="008A6376" w:rsidRPr="00CF04BF">
        <w:rPr>
          <w:rFonts w:ascii="Times New Roman" w:hAnsi="Times New Roman" w:cs="Times New Roman"/>
          <w:sz w:val="24"/>
          <w:szCs w:val="24"/>
        </w:rPr>
        <w:t>l 25 de agosto de 2006</w:t>
      </w:r>
      <w:r w:rsidR="00BD09EC" w:rsidRPr="00CF04BF">
        <w:rPr>
          <w:rFonts w:ascii="Times New Roman" w:hAnsi="Times New Roman" w:cs="Times New Roman"/>
          <w:sz w:val="24"/>
          <w:szCs w:val="24"/>
        </w:rPr>
        <w:t>;</w:t>
      </w:r>
      <w:r w:rsidR="008A6376" w:rsidRPr="00CF04BF">
        <w:rPr>
          <w:rFonts w:ascii="Times New Roman" w:hAnsi="Times New Roman" w:cs="Times New Roman"/>
          <w:sz w:val="24"/>
          <w:szCs w:val="24"/>
        </w:rPr>
        <w:t xml:space="preserve"> la Dra. Lira presentó la solicitud de interdicción de </w:t>
      </w:r>
      <w:r w:rsidRPr="00CF04BF">
        <w:rPr>
          <w:rFonts w:ascii="Times New Roman" w:hAnsi="Times New Roman" w:cs="Times New Roman"/>
          <w:sz w:val="24"/>
          <w:szCs w:val="24"/>
        </w:rPr>
        <w:t>C</w:t>
      </w:r>
      <w:r w:rsidR="008A6376" w:rsidRPr="00CF04BF">
        <w:rPr>
          <w:rFonts w:ascii="Times New Roman" w:hAnsi="Times New Roman" w:cs="Times New Roman"/>
          <w:sz w:val="24"/>
          <w:szCs w:val="24"/>
        </w:rPr>
        <w:t xml:space="preserve"> el 2</w:t>
      </w:r>
      <w:r w:rsidR="00C40296" w:rsidRPr="00CF04BF">
        <w:rPr>
          <w:rFonts w:ascii="Times New Roman" w:hAnsi="Times New Roman" w:cs="Times New Roman"/>
          <w:sz w:val="24"/>
          <w:szCs w:val="24"/>
        </w:rPr>
        <w:t xml:space="preserve">9 de diciembre de 2006 </w:t>
      </w:r>
      <w:r w:rsidR="00BD09EC" w:rsidRPr="00CF04BF">
        <w:rPr>
          <w:rFonts w:ascii="Times New Roman" w:hAnsi="Times New Roman" w:cs="Times New Roman"/>
          <w:sz w:val="24"/>
          <w:szCs w:val="24"/>
        </w:rPr>
        <w:t xml:space="preserve">y </w:t>
      </w:r>
      <w:r w:rsidR="00C40296" w:rsidRPr="00CF04BF">
        <w:rPr>
          <w:rFonts w:ascii="Times New Roman" w:hAnsi="Times New Roman" w:cs="Times New Roman"/>
          <w:sz w:val="24"/>
          <w:szCs w:val="24"/>
        </w:rPr>
        <w:t xml:space="preserve">el juez </w:t>
      </w:r>
      <w:r w:rsidR="00BD09EC" w:rsidRPr="00CF04BF">
        <w:rPr>
          <w:rFonts w:ascii="Times New Roman" w:hAnsi="Times New Roman" w:cs="Times New Roman"/>
          <w:sz w:val="24"/>
          <w:szCs w:val="24"/>
        </w:rPr>
        <w:t>declaró</w:t>
      </w:r>
      <w:r w:rsidR="008A6376" w:rsidRPr="00CF04BF">
        <w:rPr>
          <w:rFonts w:ascii="Times New Roman" w:hAnsi="Times New Roman" w:cs="Times New Roman"/>
          <w:sz w:val="24"/>
          <w:szCs w:val="24"/>
        </w:rPr>
        <w:t xml:space="preserve"> la interdicción de </w:t>
      </w:r>
      <w:r w:rsidRPr="00CF04BF">
        <w:rPr>
          <w:rFonts w:ascii="Times New Roman" w:hAnsi="Times New Roman" w:cs="Times New Roman"/>
          <w:sz w:val="24"/>
          <w:szCs w:val="24"/>
        </w:rPr>
        <w:t>C</w:t>
      </w:r>
      <w:r w:rsidR="00BD09EC" w:rsidRPr="00CF04BF">
        <w:rPr>
          <w:rFonts w:ascii="Times New Roman" w:hAnsi="Times New Roman" w:cs="Times New Roman"/>
          <w:sz w:val="24"/>
          <w:szCs w:val="24"/>
        </w:rPr>
        <w:t xml:space="preserve"> conforme al a</w:t>
      </w:r>
      <w:r w:rsidR="008A6376" w:rsidRPr="00CF04BF">
        <w:rPr>
          <w:rFonts w:ascii="Times New Roman" w:hAnsi="Times New Roman" w:cs="Times New Roman"/>
          <w:sz w:val="24"/>
          <w:szCs w:val="24"/>
        </w:rPr>
        <w:t xml:space="preserve">rt. </w:t>
      </w:r>
      <w:r w:rsidR="00C40296" w:rsidRPr="00CF04BF">
        <w:rPr>
          <w:rFonts w:ascii="Times New Roman" w:hAnsi="Times New Roman" w:cs="Times New Roman"/>
          <w:sz w:val="24"/>
          <w:szCs w:val="24"/>
        </w:rPr>
        <w:t>41 del Código C</w:t>
      </w:r>
      <w:r w:rsidR="00CB11FB" w:rsidRPr="00CF04BF">
        <w:rPr>
          <w:rFonts w:ascii="Times New Roman" w:hAnsi="Times New Roman" w:cs="Times New Roman"/>
          <w:sz w:val="24"/>
          <w:szCs w:val="24"/>
        </w:rPr>
        <w:t xml:space="preserve">ivil </w:t>
      </w:r>
      <w:r w:rsidR="00C40296" w:rsidRPr="00CF04BF">
        <w:rPr>
          <w:rFonts w:ascii="Times New Roman" w:hAnsi="Times New Roman" w:cs="Times New Roman"/>
          <w:sz w:val="24"/>
          <w:szCs w:val="24"/>
        </w:rPr>
        <w:t>y nombró</w:t>
      </w:r>
      <w:r w:rsidR="008A6376" w:rsidRPr="00CF04BF">
        <w:rPr>
          <w:rFonts w:ascii="Times New Roman" w:hAnsi="Times New Roman" w:cs="Times New Roman"/>
          <w:sz w:val="24"/>
          <w:szCs w:val="24"/>
        </w:rPr>
        <w:t xml:space="preserve"> a la Dra. Lira como su tutora. El 26 de mayo de 2007, por presentar malestares </w:t>
      </w:r>
      <w:r w:rsidRPr="00CF04BF">
        <w:rPr>
          <w:rFonts w:ascii="Times New Roman" w:hAnsi="Times New Roman" w:cs="Times New Roman"/>
          <w:sz w:val="24"/>
          <w:szCs w:val="24"/>
        </w:rPr>
        <w:t>C</w:t>
      </w:r>
      <w:r w:rsidR="008A6376" w:rsidRPr="00CF04BF">
        <w:rPr>
          <w:rFonts w:ascii="Times New Roman" w:hAnsi="Times New Roman" w:cs="Times New Roman"/>
          <w:sz w:val="24"/>
          <w:szCs w:val="24"/>
        </w:rPr>
        <w:t xml:space="preserve"> fue trasladada al “Hospital Nacional Raúl Cano” donde </w:t>
      </w:r>
      <w:r w:rsidR="00C40296" w:rsidRPr="00CF04BF">
        <w:rPr>
          <w:rFonts w:ascii="Times New Roman" w:hAnsi="Times New Roman" w:cs="Times New Roman"/>
          <w:sz w:val="24"/>
          <w:szCs w:val="24"/>
        </w:rPr>
        <w:t>contactó</w:t>
      </w:r>
      <w:r w:rsidR="008A6376" w:rsidRPr="00CF04BF">
        <w:rPr>
          <w:rFonts w:ascii="Times New Roman" w:hAnsi="Times New Roman" w:cs="Times New Roman"/>
          <w:sz w:val="24"/>
          <w:szCs w:val="24"/>
        </w:rPr>
        <w:t xml:space="preserve"> a la ODNEI y les manifestó su inconformidad con su situación. El 21 de febrero de 2008 la ODNEI presentó el recurso de nulidad a fin de cuestionar la interdicción de </w:t>
      </w:r>
      <w:r w:rsidRPr="00CF04BF">
        <w:rPr>
          <w:rFonts w:ascii="Times New Roman" w:hAnsi="Times New Roman" w:cs="Times New Roman"/>
          <w:sz w:val="24"/>
          <w:szCs w:val="24"/>
        </w:rPr>
        <w:t>C</w:t>
      </w:r>
      <w:r w:rsidR="00BD09EC" w:rsidRPr="00CF04BF">
        <w:rPr>
          <w:rFonts w:ascii="Times New Roman" w:hAnsi="Times New Roman" w:cs="Times New Roman"/>
          <w:sz w:val="24"/>
          <w:szCs w:val="24"/>
        </w:rPr>
        <w:t>,</w:t>
      </w:r>
      <w:r w:rsidR="008A6376" w:rsidRPr="00CF04BF">
        <w:rPr>
          <w:rFonts w:ascii="Times New Roman" w:hAnsi="Times New Roman" w:cs="Times New Roman"/>
          <w:sz w:val="24"/>
          <w:szCs w:val="24"/>
        </w:rPr>
        <w:t xml:space="preserve"> siendo declarado dicho recurso inadmisible por falta de legitimidad. La ODNEI apeló dicha resolución el 1</w:t>
      </w:r>
      <w:r w:rsidR="00C40296" w:rsidRPr="00CF04BF">
        <w:rPr>
          <w:rFonts w:ascii="Times New Roman" w:hAnsi="Times New Roman" w:cs="Times New Roman"/>
          <w:sz w:val="24"/>
          <w:szCs w:val="24"/>
        </w:rPr>
        <w:t xml:space="preserve"> de octubre de 2008; </w:t>
      </w:r>
      <w:r w:rsidR="008A6376" w:rsidRPr="00CF04BF">
        <w:rPr>
          <w:rFonts w:ascii="Times New Roman" w:hAnsi="Times New Roman" w:cs="Times New Roman"/>
          <w:sz w:val="24"/>
          <w:szCs w:val="24"/>
        </w:rPr>
        <w:t xml:space="preserve">el T.A.I. el </w:t>
      </w:r>
      <w:r w:rsidR="00C40296" w:rsidRPr="00CF04BF">
        <w:rPr>
          <w:rFonts w:ascii="Times New Roman" w:hAnsi="Times New Roman" w:cs="Times New Roman"/>
          <w:sz w:val="24"/>
          <w:szCs w:val="24"/>
        </w:rPr>
        <w:t>18 de diciembre de 2009 denegó</w:t>
      </w:r>
      <w:r w:rsidR="008A6376" w:rsidRPr="00CF04BF">
        <w:rPr>
          <w:rFonts w:ascii="Times New Roman" w:hAnsi="Times New Roman" w:cs="Times New Roman"/>
          <w:sz w:val="24"/>
          <w:szCs w:val="24"/>
        </w:rPr>
        <w:t xml:space="preserve"> el recurso en tanto no se demostró ningún abus</w:t>
      </w:r>
      <w:r w:rsidR="001D1B7A" w:rsidRPr="00CF04BF">
        <w:rPr>
          <w:rFonts w:ascii="Times New Roman" w:hAnsi="Times New Roman" w:cs="Times New Roman"/>
          <w:sz w:val="24"/>
          <w:szCs w:val="24"/>
        </w:rPr>
        <w:t>o por parte de su tutora</w:t>
      </w:r>
      <w:r w:rsidR="008A6376" w:rsidRPr="00CF04BF">
        <w:rPr>
          <w:rFonts w:ascii="Times New Roman" w:hAnsi="Times New Roman" w:cs="Times New Roman"/>
          <w:sz w:val="24"/>
          <w:szCs w:val="24"/>
        </w:rPr>
        <w:t xml:space="preserve">, además señalo que en caso de cuestionar la figura de interdicción, el recurso idóneo sería la acción de inconstitucionalidad. Paralelamente, la ODNEI presentó un recurso de amparo el 2 de noviembre de 2008 alegando que las cuestiones de “La Casita” afectaban los derechos de las personas con discapacidad que se encontraban ahí, incluyendo a </w:t>
      </w:r>
      <w:r w:rsidRPr="00CF04BF">
        <w:rPr>
          <w:rFonts w:ascii="Times New Roman" w:hAnsi="Times New Roman" w:cs="Times New Roman"/>
          <w:sz w:val="24"/>
          <w:szCs w:val="24"/>
        </w:rPr>
        <w:t>C</w:t>
      </w:r>
      <w:r w:rsidR="008A6376" w:rsidRPr="00CF04BF">
        <w:rPr>
          <w:rFonts w:ascii="Times New Roman" w:hAnsi="Times New Roman" w:cs="Times New Roman"/>
          <w:sz w:val="24"/>
          <w:szCs w:val="24"/>
        </w:rPr>
        <w:t xml:space="preserve">. El 2 de diciembre de 2008 se declaró </w:t>
      </w:r>
      <w:r w:rsidR="008A6376" w:rsidRPr="00CF04BF">
        <w:rPr>
          <w:rFonts w:ascii="Times New Roman" w:hAnsi="Times New Roman" w:cs="Times New Roman"/>
          <w:sz w:val="24"/>
          <w:szCs w:val="24"/>
        </w:rPr>
        <w:lastRenderedPageBreak/>
        <w:t>favorabl</w:t>
      </w:r>
      <w:r w:rsidR="001D1B7A" w:rsidRPr="00CF04BF">
        <w:rPr>
          <w:rFonts w:ascii="Times New Roman" w:hAnsi="Times New Roman" w:cs="Times New Roman"/>
          <w:sz w:val="24"/>
          <w:szCs w:val="24"/>
        </w:rPr>
        <w:t xml:space="preserve">e el recurso de amparo y </w:t>
      </w:r>
      <w:r w:rsidR="008A6376" w:rsidRPr="00CF04BF">
        <w:rPr>
          <w:rFonts w:ascii="Times New Roman" w:hAnsi="Times New Roman" w:cs="Times New Roman"/>
          <w:sz w:val="24"/>
          <w:szCs w:val="24"/>
        </w:rPr>
        <w:t xml:space="preserve"> se requirió al Estado mejorar las condiciones en “La Casita”; para ello el </w:t>
      </w:r>
      <w:r w:rsidRPr="00CF04BF">
        <w:rPr>
          <w:rFonts w:ascii="Times New Roman" w:hAnsi="Times New Roman" w:cs="Times New Roman"/>
          <w:sz w:val="24"/>
          <w:szCs w:val="24"/>
        </w:rPr>
        <w:t>E</w:t>
      </w:r>
      <w:r w:rsidR="001D1B7A" w:rsidRPr="00CF04BF">
        <w:rPr>
          <w:rFonts w:ascii="Times New Roman" w:hAnsi="Times New Roman" w:cs="Times New Roman"/>
          <w:sz w:val="24"/>
          <w:szCs w:val="24"/>
        </w:rPr>
        <w:t>stado</w:t>
      </w:r>
      <w:r w:rsidR="008A6376" w:rsidRPr="00CF04BF">
        <w:rPr>
          <w:rFonts w:ascii="Times New Roman" w:hAnsi="Times New Roman" w:cs="Times New Roman"/>
          <w:sz w:val="24"/>
          <w:szCs w:val="24"/>
        </w:rPr>
        <w:t xml:space="preserve"> destina $200,000 dólares. El 1 de sept</w:t>
      </w:r>
      <w:r w:rsidR="001D1B7A" w:rsidRPr="00CF04BF">
        <w:rPr>
          <w:rFonts w:ascii="Times New Roman" w:hAnsi="Times New Roman" w:cs="Times New Roman"/>
          <w:sz w:val="24"/>
          <w:szCs w:val="24"/>
        </w:rPr>
        <w:t>iembre de 2009 la ODNEI presentó</w:t>
      </w:r>
      <w:r w:rsidR="008A6376" w:rsidRPr="00CF04BF">
        <w:rPr>
          <w:rFonts w:ascii="Times New Roman" w:hAnsi="Times New Roman" w:cs="Times New Roman"/>
          <w:sz w:val="24"/>
          <w:szCs w:val="24"/>
        </w:rPr>
        <w:t xml:space="preserve"> su petición ante la CIDH.</w:t>
      </w:r>
    </w:p>
    <w:p w:rsidR="008A6376" w:rsidRPr="00CF04BF" w:rsidRDefault="008A6376" w:rsidP="009972EA">
      <w:pPr>
        <w:spacing w:after="0" w:line="480" w:lineRule="auto"/>
        <w:jc w:val="both"/>
        <w:rPr>
          <w:rFonts w:ascii="Times New Roman" w:hAnsi="Times New Roman" w:cs="Times New Roman"/>
          <w:b/>
          <w:sz w:val="24"/>
          <w:szCs w:val="24"/>
        </w:rPr>
      </w:pPr>
      <w:r w:rsidRPr="00CF04BF">
        <w:rPr>
          <w:rFonts w:ascii="Times New Roman" w:hAnsi="Times New Roman" w:cs="Times New Roman"/>
          <w:b/>
          <w:sz w:val="24"/>
          <w:szCs w:val="24"/>
        </w:rPr>
        <w:t>2. ANÁLISIS LEGAL DEL CASO.</w:t>
      </w:r>
    </w:p>
    <w:p w:rsidR="008A6376" w:rsidRPr="00CF04BF" w:rsidRDefault="008A6376" w:rsidP="009972EA">
      <w:pPr>
        <w:spacing w:after="0" w:line="480" w:lineRule="auto"/>
        <w:jc w:val="both"/>
        <w:rPr>
          <w:rFonts w:ascii="Times New Roman" w:hAnsi="Times New Roman" w:cs="Times New Roman"/>
          <w:b/>
          <w:sz w:val="24"/>
          <w:szCs w:val="24"/>
        </w:rPr>
      </w:pPr>
      <w:r w:rsidRPr="00CF04BF">
        <w:rPr>
          <w:rFonts w:ascii="Times New Roman" w:hAnsi="Times New Roman" w:cs="Times New Roman"/>
          <w:b/>
          <w:sz w:val="24"/>
          <w:szCs w:val="24"/>
        </w:rPr>
        <w:t>2.1. EXCEPCIÓN PRELIMINAR:</w:t>
      </w:r>
      <w:r w:rsidRPr="00CF04BF">
        <w:rPr>
          <w:rFonts w:ascii="Times New Roman" w:hAnsi="Times New Roman" w:cs="Times New Roman"/>
          <w:sz w:val="24"/>
          <w:szCs w:val="24"/>
        </w:rPr>
        <w:t xml:space="preserve"> </w:t>
      </w:r>
      <w:r w:rsidRPr="00CF04BF">
        <w:rPr>
          <w:rFonts w:ascii="Times New Roman" w:hAnsi="Times New Roman" w:cs="Times New Roman"/>
          <w:b/>
          <w:sz w:val="24"/>
          <w:szCs w:val="24"/>
        </w:rPr>
        <w:t xml:space="preserve">Caducidad de la petición interpuesta ante la CIDH. </w:t>
      </w:r>
    </w:p>
    <w:p w:rsidR="008A6376" w:rsidRPr="00CF04BF" w:rsidRDefault="008A6376" w:rsidP="009972EA">
      <w:pPr>
        <w:spacing w:after="0" w:line="480" w:lineRule="auto"/>
        <w:jc w:val="both"/>
        <w:rPr>
          <w:rFonts w:ascii="Times New Roman" w:hAnsi="Times New Roman" w:cs="Times New Roman"/>
          <w:sz w:val="24"/>
          <w:szCs w:val="24"/>
        </w:rPr>
      </w:pPr>
      <w:r w:rsidRPr="00CF04BF">
        <w:rPr>
          <w:rFonts w:ascii="Times New Roman" w:hAnsi="Times New Roman" w:cs="Times New Roman"/>
          <w:sz w:val="24"/>
          <w:szCs w:val="24"/>
        </w:rPr>
        <w:t>Con base en el Art. 46.1.b) de la CADH uno de los requisitos de admisibilidad de las peticiones individuales ante la CIDH es que sean presentadas dentro del plazo de seis meses, a partir de la fecha en que el presunto lesionado en sus derechos haya sido notif</w:t>
      </w:r>
      <w:r w:rsidR="001D1B7A" w:rsidRPr="00CF04BF">
        <w:rPr>
          <w:rFonts w:ascii="Times New Roman" w:hAnsi="Times New Roman" w:cs="Times New Roman"/>
          <w:sz w:val="24"/>
          <w:szCs w:val="24"/>
        </w:rPr>
        <w:t>icado de la decisión definitiva</w:t>
      </w:r>
      <w:r w:rsidRPr="00CF04BF">
        <w:rPr>
          <w:rStyle w:val="FootnoteReference"/>
          <w:rFonts w:ascii="Times New Roman" w:hAnsi="Times New Roman" w:cs="Times New Roman"/>
          <w:sz w:val="24"/>
          <w:szCs w:val="24"/>
        </w:rPr>
        <w:footnoteReference w:id="1"/>
      </w:r>
      <w:r w:rsidR="001D1B7A" w:rsidRPr="00CF04BF">
        <w:rPr>
          <w:rFonts w:ascii="Times New Roman" w:hAnsi="Times New Roman" w:cs="Times New Roman"/>
          <w:sz w:val="24"/>
          <w:szCs w:val="24"/>
        </w:rPr>
        <w:t>.</w:t>
      </w:r>
      <w:r w:rsidRPr="00CF04BF">
        <w:rPr>
          <w:rFonts w:ascii="Times New Roman" w:hAnsi="Times New Roman" w:cs="Times New Roman"/>
          <w:sz w:val="24"/>
          <w:szCs w:val="24"/>
        </w:rPr>
        <w:t xml:space="preserve"> Teniendo el citado plazo de seis meses el propósito </w:t>
      </w:r>
      <w:r w:rsidR="001D1B7A" w:rsidRPr="00CF04BF">
        <w:rPr>
          <w:rFonts w:ascii="Times New Roman" w:hAnsi="Times New Roman" w:cs="Times New Roman"/>
          <w:sz w:val="24"/>
          <w:szCs w:val="24"/>
        </w:rPr>
        <w:t>de Asegurar la certeza jurídica</w:t>
      </w:r>
      <w:r w:rsidRPr="00CF04BF">
        <w:rPr>
          <w:rStyle w:val="FootnoteReference"/>
          <w:rFonts w:ascii="Times New Roman" w:hAnsi="Times New Roman" w:cs="Times New Roman"/>
          <w:sz w:val="24"/>
          <w:szCs w:val="24"/>
        </w:rPr>
        <w:footnoteReference w:id="2"/>
      </w:r>
      <w:r w:rsidR="001D1B7A" w:rsidRPr="00CF04BF">
        <w:rPr>
          <w:rFonts w:ascii="Times New Roman" w:hAnsi="Times New Roman" w:cs="Times New Roman"/>
          <w:sz w:val="24"/>
          <w:szCs w:val="24"/>
        </w:rPr>
        <w:t>.</w:t>
      </w:r>
    </w:p>
    <w:p w:rsidR="008A6376" w:rsidRPr="00CF04BF" w:rsidRDefault="008A6376" w:rsidP="009972EA">
      <w:pPr>
        <w:spacing w:after="0" w:line="480" w:lineRule="auto"/>
        <w:jc w:val="both"/>
        <w:rPr>
          <w:rFonts w:ascii="Times New Roman" w:hAnsi="Times New Roman" w:cs="Times New Roman"/>
          <w:sz w:val="24"/>
          <w:szCs w:val="24"/>
        </w:rPr>
      </w:pPr>
      <w:r w:rsidRPr="00CF04BF">
        <w:rPr>
          <w:rFonts w:ascii="Times New Roman" w:hAnsi="Times New Roman" w:cs="Times New Roman"/>
          <w:sz w:val="24"/>
          <w:szCs w:val="24"/>
        </w:rPr>
        <w:t xml:space="preserve">En el presente caso, el amparo que es el último recurso para el caso de las condiciones de “La Casita” por agotar en </w:t>
      </w:r>
      <w:r w:rsidR="00131F4B" w:rsidRPr="00CF04BF">
        <w:rPr>
          <w:rFonts w:ascii="Times New Roman" w:hAnsi="Times New Roman" w:cs="Times New Roman"/>
          <w:sz w:val="24"/>
          <w:szCs w:val="24"/>
        </w:rPr>
        <w:t>E</w:t>
      </w:r>
      <w:r w:rsidRPr="00CF04BF">
        <w:rPr>
          <w:rFonts w:ascii="Times New Roman" w:hAnsi="Times New Roman" w:cs="Times New Roman"/>
          <w:sz w:val="24"/>
          <w:szCs w:val="24"/>
        </w:rPr>
        <w:t>, fue interpuesto por la ODNEI y resuelto favorablemente por la Sala II de lo Constitucional el 2 de diciembre de 2008, siendo notif</w:t>
      </w:r>
      <w:r w:rsidR="001D1B7A" w:rsidRPr="00CF04BF">
        <w:rPr>
          <w:rFonts w:ascii="Times New Roman" w:hAnsi="Times New Roman" w:cs="Times New Roman"/>
          <w:sz w:val="24"/>
          <w:szCs w:val="24"/>
        </w:rPr>
        <w:t>icado el 3 de diciembre de 2008</w:t>
      </w:r>
      <w:r w:rsidRPr="00CF04BF">
        <w:rPr>
          <w:rStyle w:val="FootnoteReference"/>
          <w:rFonts w:ascii="Times New Roman" w:hAnsi="Times New Roman" w:cs="Times New Roman"/>
          <w:sz w:val="24"/>
          <w:szCs w:val="24"/>
        </w:rPr>
        <w:footnoteReference w:id="3"/>
      </w:r>
      <w:r w:rsidR="001D1B7A" w:rsidRPr="00CF04BF">
        <w:rPr>
          <w:rFonts w:ascii="Times New Roman" w:hAnsi="Times New Roman" w:cs="Times New Roman"/>
          <w:sz w:val="24"/>
          <w:szCs w:val="24"/>
        </w:rPr>
        <w:t>.</w:t>
      </w:r>
      <w:r w:rsidRPr="00CF04BF">
        <w:rPr>
          <w:rFonts w:ascii="Times New Roman" w:hAnsi="Times New Roman" w:cs="Times New Roman"/>
          <w:sz w:val="24"/>
          <w:szCs w:val="24"/>
        </w:rPr>
        <w:t>Sin embargo, los peticionarios hacen presentación de la petición ante la CIDH el 1 de septiembre de 2009, es decir, 8 meses 28 días después de notificada la resolución definitiva de amparo.</w:t>
      </w:r>
    </w:p>
    <w:p w:rsidR="008A6376" w:rsidRPr="00CF04BF" w:rsidRDefault="008A6376" w:rsidP="009972EA">
      <w:pPr>
        <w:spacing w:after="0" w:line="480" w:lineRule="auto"/>
        <w:jc w:val="both"/>
        <w:rPr>
          <w:rFonts w:ascii="Times New Roman" w:hAnsi="Times New Roman" w:cs="Times New Roman"/>
          <w:sz w:val="24"/>
          <w:szCs w:val="24"/>
        </w:rPr>
      </w:pPr>
      <w:r w:rsidRPr="00CF04BF">
        <w:rPr>
          <w:rFonts w:ascii="Times New Roman" w:hAnsi="Times New Roman" w:cs="Times New Roman"/>
          <w:sz w:val="24"/>
          <w:szCs w:val="24"/>
        </w:rPr>
        <w:t>Por las razones antes expuestas y en vista que la ODNEI presentó la petición a la CIDH luego de expirado el plazo de seis meses establecido en el Art. 46.1.b) de la CADH, se solicita a esta H. Corte IDH que declare la inadmisibilidad del presente caso por la caducidad de la petición interpuesta ante la CIDH. Asimismo, señalamos la falta de agotamiento de recursos internos en el tema de la personalidad jurídica, al quedar sin agotar la acción de inconstitucionalidad.</w:t>
      </w:r>
    </w:p>
    <w:p w:rsidR="008A6376" w:rsidRPr="00CF04BF" w:rsidRDefault="008A6376" w:rsidP="009972EA">
      <w:pPr>
        <w:spacing w:after="0" w:line="480" w:lineRule="auto"/>
        <w:jc w:val="both"/>
        <w:rPr>
          <w:rFonts w:ascii="Times New Roman" w:hAnsi="Times New Roman" w:cs="Times New Roman"/>
          <w:sz w:val="24"/>
          <w:szCs w:val="24"/>
        </w:rPr>
      </w:pPr>
      <w:r w:rsidRPr="00CF04BF">
        <w:rPr>
          <w:rFonts w:ascii="Times New Roman" w:hAnsi="Times New Roman" w:cs="Times New Roman"/>
          <w:sz w:val="24"/>
          <w:szCs w:val="24"/>
        </w:rPr>
        <w:lastRenderedPageBreak/>
        <w:t xml:space="preserve">En caso de que esta Corte IDH desestime las excepciones preliminares aquí presentadas, </w:t>
      </w:r>
      <w:r w:rsidR="00131F4B" w:rsidRPr="00CF04BF">
        <w:rPr>
          <w:rFonts w:ascii="Times New Roman" w:hAnsi="Times New Roman" w:cs="Times New Roman"/>
          <w:sz w:val="24"/>
          <w:szCs w:val="24"/>
        </w:rPr>
        <w:t>E</w:t>
      </w:r>
      <w:r w:rsidRPr="00CF04BF">
        <w:rPr>
          <w:rFonts w:ascii="Times New Roman" w:hAnsi="Times New Roman" w:cs="Times New Roman"/>
          <w:sz w:val="24"/>
          <w:szCs w:val="24"/>
        </w:rPr>
        <w:t xml:space="preserve"> procederá a demostrar por qué no violó las disposiciones de la CADH alegadas por la ODNEI.</w:t>
      </w:r>
    </w:p>
    <w:p w:rsidR="006F3ED2" w:rsidRPr="00CF04BF" w:rsidRDefault="00F75298" w:rsidP="009972EA">
      <w:pPr>
        <w:spacing w:after="0" w:line="480" w:lineRule="auto"/>
        <w:jc w:val="both"/>
        <w:rPr>
          <w:rFonts w:ascii="Times New Roman" w:hAnsi="Times New Roman" w:cs="Times New Roman"/>
          <w:b/>
          <w:sz w:val="24"/>
          <w:szCs w:val="24"/>
        </w:rPr>
      </w:pPr>
      <w:r w:rsidRPr="00CF04BF">
        <w:rPr>
          <w:rFonts w:ascii="Times New Roman" w:hAnsi="Times New Roman" w:cs="Times New Roman"/>
          <w:b/>
          <w:sz w:val="24"/>
          <w:szCs w:val="24"/>
        </w:rPr>
        <w:t>2.2</w:t>
      </w:r>
      <w:r w:rsidR="006F3ED2" w:rsidRPr="00CF04BF">
        <w:rPr>
          <w:rFonts w:ascii="Times New Roman" w:hAnsi="Times New Roman" w:cs="Times New Roman"/>
          <w:b/>
          <w:sz w:val="24"/>
          <w:szCs w:val="24"/>
        </w:rPr>
        <w:t>. MEDIDAS PROVISIONALES.</w:t>
      </w:r>
    </w:p>
    <w:p w:rsidR="006F3ED2" w:rsidRPr="00CF04BF" w:rsidRDefault="006F3ED2" w:rsidP="009972EA">
      <w:pPr>
        <w:spacing w:after="0" w:line="480" w:lineRule="auto"/>
        <w:jc w:val="both"/>
        <w:rPr>
          <w:rFonts w:ascii="Times New Roman" w:hAnsi="Times New Roman" w:cs="Times New Roman"/>
          <w:sz w:val="24"/>
          <w:szCs w:val="24"/>
        </w:rPr>
      </w:pPr>
      <w:r w:rsidRPr="00CF04BF">
        <w:rPr>
          <w:rFonts w:ascii="Times New Roman" w:hAnsi="Times New Roman" w:cs="Times New Roman"/>
          <w:sz w:val="24"/>
          <w:szCs w:val="24"/>
        </w:rPr>
        <w:t>Los Arts. 63.2 de la CADH y 27 del Reglamento de la Corte IDH, establecen que los requisitos que se requieren para que las medidas provisionales sean otorgadas</w:t>
      </w:r>
      <w:r w:rsidRPr="00CF04BF">
        <w:rPr>
          <w:rStyle w:val="FootnoteReference"/>
          <w:rFonts w:ascii="Times New Roman" w:hAnsi="Times New Roman" w:cs="Times New Roman"/>
          <w:sz w:val="24"/>
          <w:szCs w:val="24"/>
        </w:rPr>
        <w:footnoteReference w:id="4"/>
      </w:r>
      <w:r w:rsidRPr="00CF04BF">
        <w:rPr>
          <w:rFonts w:ascii="Times New Roman" w:hAnsi="Times New Roman" w:cs="Times New Roman"/>
          <w:sz w:val="24"/>
          <w:szCs w:val="24"/>
        </w:rPr>
        <w:t>son: i) extrema gravedad, ii) la urgencia y iii) que la medida busque evitar daños irreparables. Es importante destacar que estos tres requisitos deben coexistir en toda situación en la que se solicite la asistencia de la Corte IDH y deben persistir para que la Corte mantenga la orden de protección</w:t>
      </w:r>
      <w:r w:rsidRPr="00CF04BF">
        <w:rPr>
          <w:rStyle w:val="FootnoteReference"/>
          <w:rFonts w:ascii="Times New Roman" w:hAnsi="Times New Roman" w:cs="Times New Roman"/>
          <w:sz w:val="24"/>
          <w:szCs w:val="24"/>
        </w:rPr>
        <w:footnoteReference w:id="5"/>
      </w:r>
      <w:r w:rsidRPr="00CF04BF">
        <w:rPr>
          <w:rFonts w:ascii="Times New Roman" w:hAnsi="Times New Roman" w:cs="Times New Roman"/>
          <w:sz w:val="24"/>
          <w:szCs w:val="24"/>
        </w:rPr>
        <w:t>.</w:t>
      </w:r>
    </w:p>
    <w:p w:rsidR="006F3ED2" w:rsidRPr="00CF04BF" w:rsidRDefault="006F3ED2" w:rsidP="009972EA">
      <w:pPr>
        <w:spacing w:after="0" w:line="480" w:lineRule="auto"/>
        <w:jc w:val="both"/>
        <w:rPr>
          <w:rFonts w:ascii="Times New Roman" w:hAnsi="Times New Roman" w:cs="Times New Roman"/>
          <w:sz w:val="24"/>
          <w:szCs w:val="24"/>
        </w:rPr>
      </w:pPr>
      <w:r w:rsidRPr="00CF04BF">
        <w:rPr>
          <w:rFonts w:ascii="Times New Roman" w:hAnsi="Times New Roman" w:cs="Times New Roman"/>
          <w:sz w:val="24"/>
          <w:szCs w:val="24"/>
        </w:rPr>
        <w:t>En el presente caso las medidas provisionales no son procedentes puesto que no cumplen con los requisitos antes mencionados. En primer lugar, los requisitos de extrema gravedad y urgencia se tratarán conjuntamente toda vez que la gravedad y la urgencia de un caso pueden ir de la mano</w:t>
      </w:r>
      <w:r w:rsidRPr="00CF04BF">
        <w:rPr>
          <w:rStyle w:val="FootnoteReference"/>
          <w:rFonts w:ascii="Times New Roman" w:hAnsi="Times New Roman" w:cs="Times New Roman"/>
          <w:sz w:val="24"/>
          <w:szCs w:val="24"/>
        </w:rPr>
        <w:footnoteReference w:id="6"/>
      </w:r>
      <w:r w:rsidRPr="00CF04BF">
        <w:rPr>
          <w:rFonts w:ascii="Times New Roman" w:hAnsi="Times New Roman" w:cs="Times New Roman"/>
          <w:sz w:val="24"/>
          <w:szCs w:val="24"/>
        </w:rPr>
        <w:t xml:space="preserve">. Por extrema gravedad se entiende, que debe tratarse de un hecho o situación que ponga en peligro los </w:t>
      </w:r>
      <w:r w:rsidR="00991798" w:rsidRPr="00CF04BF">
        <w:rPr>
          <w:rFonts w:ascii="Times New Roman" w:hAnsi="Times New Roman" w:cs="Times New Roman"/>
          <w:sz w:val="24"/>
          <w:szCs w:val="24"/>
        </w:rPr>
        <w:t xml:space="preserve">derechos humanos fundamentales </w:t>
      </w:r>
      <w:r w:rsidRPr="00CF04BF">
        <w:rPr>
          <w:rFonts w:ascii="Times New Roman" w:hAnsi="Times New Roman" w:cs="Times New Roman"/>
          <w:sz w:val="24"/>
          <w:szCs w:val="24"/>
        </w:rPr>
        <w:t>y que además haya la certeza e inminencia de la realización de tal hecho o situación</w:t>
      </w:r>
      <w:r w:rsidRPr="00CF04BF">
        <w:rPr>
          <w:rStyle w:val="FootnoteReference"/>
          <w:rFonts w:ascii="Times New Roman" w:hAnsi="Times New Roman" w:cs="Times New Roman"/>
          <w:sz w:val="24"/>
          <w:szCs w:val="24"/>
        </w:rPr>
        <w:footnoteReference w:id="7"/>
      </w:r>
      <w:r w:rsidRPr="00CF04BF">
        <w:rPr>
          <w:rFonts w:ascii="Times New Roman" w:hAnsi="Times New Roman" w:cs="Times New Roman"/>
          <w:sz w:val="24"/>
          <w:szCs w:val="24"/>
        </w:rPr>
        <w:t>.</w:t>
      </w:r>
      <w:r w:rsidRPr="00CF04BF">
        <w:rPr>
          <w:rFonts w:ascii="Times New Roman" w:hAnsi="Times New Roman" w:cs="Times New Roman"/>
          <w:sz w:val="24"/>
          <w:szCs w:val="24"/>
          <w:lang w:eastAsia="es-MX"/>
        </w:rPr>
        <w:t>El aislamiento puede considerarse tortura o trato cruel, inhumano o degradante, siempre y cuando tenga una prolongación y aplicación innecesaria</w:t>
      </w:r>
      <w:r w:rsidRPr="00CF04BF">
        <w:rPr>
          <w:rStyle w:val="FootnoteReference"/>
          <w:rFonts w:ascii="Times New Roman" w:hAnsi="Times New Roman" w:cs="Times New Roman"/>
          <w:sz w:val="24"/>
          <w:szCs w:val="24"/>
          <w:lang w:eastAsia="es-MX"/>
        </w:rPr>
        <w:footnoteReference w:id="8"/>
      </w:r>
      <w:r w:rsidRPr="00CF04BF">
        <w:rPr>
          <w:rFonts w:ascii="Times New Roman" w:hAnsi="Times New Roman" w:cs="Times New Roman"/>
          <w:sz w:val="24"/>
          <w:szCs w:val="24"/>
          <w:lang w:eastAsia="es-MX"/>
        </w:rPr>
        <w:t xml:space="preserve">.Sin embargo, por su parte </w:t>
      </w:r>
      <w:r w:rsidRPr="00CF04BF">
        <w:rPr>
          <w:rFonts w:ascii="Times New Roman" w:hAnsi="Times New Roman" w:cs="Times New Roman"/>
          <w:sz w:val="24"/>
          <w:szCs w:val="24"/>
        </w:rPr>
        <w:t>TEDH ha establecido que el aislamiento por razones de seguridad, disciplina o protección no es en sí mismo un trato inhumano o una pena degradante</w:t>
      </w:r>
      <w:r w:rsidRPr="00CF04BF">
        <w:rPr>
          <w:rStyle w:val="FootnoteReference"/>
          <w:rFonts w:ascii="Times New Roman" w:hAnsi="Times New Roman" w:cs="Times New Roman"/>
          <w:sz w:val="24"/>
          <w:szCs w:val="24"/>
        </w:rPr>
        <w:footnoteReference w:id="9"/>
      </w:r>
      <w:r w:rsidRPr="00CF04BF">
        <w:rPr>
          <w:rFonts w:ascii="Times New Roman" w:hAnsi="Times New Roman" w:cs="Times New Roman"/>
          <w:sz w:val="24"/>
          <w:szCs w:val="24"/>
        </w:rPr>
        <w:t xml:space="preserve">.En </w:t>
      </w:r>
      <w:r w:rsidRPr="00CF04BF">
        <w:rPr>
          <w:rFonts w:ascii="Times New Roman" w:hAnsi="Times New Roman" w:cs="Times New Roman"/>
          <w:sz w:val="24"/>
          <w:szCs w:val="24"/>
          <w:lang w:eastAsia="es-MX"/>
        </w:rPr>
        <w:t xml:space="preserve">“La Casita” el aislamiento </w:t>
      </w:r>
      <w:r w:rsidRPr="00CF04BF">
        <w:rPr>
          <w:rFonts w:ascii="Times New Roman" w:hAnsi="Times New Roman" w:cs="Times New Roman"/>
          <w:sz w:val="24"/>
          <w:szCs w:val="24"/>
          <w:lang w:eastAsia="es-MX"/>
        </w:rPr>
        <w:lastRenderedPageBreak/>
        <w:t>únicamente se utiliza por razones de seguridad, protección y de manera excepcional, esto se puede demostrar, ya que desde que C ingresó en 2006 hasta antes del 6 de abril de 2014, no se había requerido llevarla a los cuartos de aislamiento, la razón por la cual fue llevada el 6 de abril de 2014 tuvo el objetivo de proteger la seguridad e integridad de C y de los habitantes y personal del albergue puesto que C estaba exacerbada y el personal de “La Casita” no pudo calmarla</w:t>
      </w:r>
      <w:r w:rsidRPr="00CF04BF">
        <w:rPr>
          <w:rStyle w:val="FootnoteReference"/>
          <w:rFonts w:ascii="Times New Roman" w:hAnsi="Times New Roman" w:cs="Times New Roman"/>
          <w:sz w:val="24"/>
          <w:szCs w:val="24"/>
          <w:lang w:eastAsia="es-MX"/>
        </w:rPr>
        <w:footnoteReference w:id="10"/>
      </w:r>
      <w:r w:rsidRPr="00CF04BF">
        <w:rPr>
          <w:rFonts w:ascii="Times New Roman" w:hAnsi="Times New Roman" w:cs="Times New Roman"/>
          <w:sz w:val="24"/>
          <w:szCs w:val="24"/>
          <w:lang w:eastAsia="es-MX"/>
        </w:rPr>
        <w:t xml:space="preserve">.Hay que señalar que C fue </w:t>
      </w:r>
      <w:r w:rsidRPr="00CF04BF">
        <w:rPr>
          <w:rFonts w:ascii="Times New Roman" w:hAnsi="Times New Roman" w:cs="Times New Roman"/>
          <w:sz w:val="24"/>
          <w:szCs w:val="24"/>
        </w:rPr>
        <w:t>resguardada ú</w:t>
      </w:r>
      <w:r w:rsidR="00991798" w:rsidRPr="00CF04BF">
        <w:rPr>
          <w:rFonts w:ascii="Times New Roman" w:hAnsi="Times New Roman" w:cs="Times New Roman"/>
          <w:sz w:val="24"/>
          <w:szCs w:val="24"/>
        </w:rPr>
        <w:t>nicamente por un plazo de 4</w:t>
      </w:r>
      <w:r w:rsidRPr="00CF04BF">
        <w:rPr>
          <w:rFonts w:ascii="Times New Roman" w:hAnsi="Times New Roman" w:cs="Times New Roman"/>
          <w:sz w:val="24"/>
          <w:szCs w:val="24"/>
        </w:rPr>
        <w:t xml:space="preserve"> horas el cual dista mucho del plazo de 22 a 24 horas requerido para que un aislamiento sea considerado como tortura</w:t>
      </w:r>
      <w:r w:rsidRPr="00CF04BF">
        <w:rPr>
          <w:rStyle w:val="FootnoteReference"/>
          <w:rFonts w:ascii="Times New Roman" w:hAnsi="Times New Roman" w:cs="Times New Roman"/>
          <w:sz w:val="24"/>
          <w:szCs w:val="24"/>
        </w:rPr>
        <w:footnoteReference w:id="11"/>
      </w:r>
      <w:r w:rsidRPr="00CF04BF">
        <w:rPr>
          <w:rFonts w:ascii="Times New Roman" w:hAnsi="Times New Roman" w:cs="Times New Roman"/>
          <w:sz w:val="24"/>
          <w:szCs w:val="24"/>
        </w:rPr>
        <w:t xml:space="preserve">.Por todo lo anterior, </w:t>
      </w:r>
      <w:r w:rsidRPr="00CF04BF">
        <w:rPr>
          <w:rFonts w:ascii="Times New Roman" w:hAnsi="Times New Roman" w:cs="Times New Roman"/>
          <w:sz w:val="24"/>
          <w:szCs w:val="24"/>
          <w:lang w:eastAsia="es-MX"/>
        </w:rPr>
        <w:t xml:space="preserve">el aislamiento involuntario en “La Casita” no pone en peligro la vida ni la integridad personal de C y los demás habitantes al no configurar como tortura o tratos crueles, inhumanos o degradantes, por lo tanto no </w:t>
      </w:r>
      <w:r w:rsidR="00991798" w:rsidRPr="00CF04BF">
        <w:rPr>
          <w:rFonts w:ascii="Times New Roman" w:hAnsi="Times New Roman" w:cs="Times New Roman"/>
          <w:sz w:val="24"/>
          <w:szCs w:val="24"/>
          <w:lang w:eastAsia="es-MX"/>
        </w:rPr>
        <w:t xml:space="preserve">se </w:t>
      </w:r>
      <w:r w:rsidRPr="00CF04BF">
        <w:rPr>
          <w:rFonts w:ascii="Times New Roman" w:hAnsi="Times New Roman" w:cs="Times New Roman"/>
          <w:sz w:val="24"/>
          <w:szCs w:val="24"/>
          <w:lang w:eastAsia="es-MX"/>
        </w:rPr>
        <w:t>cumple con el requisito de gravedad extrema.</w:t>
      </w:r>
    </w:p>
    <w:p w:rsidR="006F3ED2" w:rsidRPr="00CF04BF" w:rsidRDefault="006F3ED2" w:rsidP="009972EA">
      <w:pPr>
        <w:spacing w:after="0" w:line="480" w:lineRule="auto"/>
        <w:jc w:val="both"/>
        <w:rPr>
          <w:rFonts w:ascii="Times New Roman" w:hAnsi="Times New Roman" w:cs="Times New Roman"/>
          <w:sz w:val="24"/>
          <w:szCs w:val="24"/>
          <w:lang w:eastAsia="es-MX"/>
        </w:rPr>
      </w:pPr>
      <w:r w:rsidRPr="00CF04BF">
        <w:rPr>
          <w:rFonts w:ascii="Times New Roman" w:hAnsi="Times New Roman" w:cs="Times New Roman"/>
          <w:sz w:val="24"/>
          <w:szCs w:val="24"/>
          <w:lang w:eastAsia="es-MX"/>
        </w:rPr>
        <w:t>En cuanto a la urgencia, esta consiste en que la medida debe ser comprendida como la amenaza inminente de un daño irreparable, de modo que cualquiera demora resulte peligrosa</w:t>
      </w:r>
      <w:r w:rsidRPr="00CF04BF">
        <w:rPr>
          <w:rStyle w:val="FootnoteReference"/>
          <w:rFonts w:ascii="Times New Roman" w:hAnsi="Times New Roman" w:cs="Times New Roman"/>
          <w:sz w:val="24"/>
          <w:szCs w:val="24"/>
          <w:lang w:eastAsia="es-MX"/>
        </w:rPr>
        <w:footnoteReference w:id="12"/>
      </w:r>
      <w:r w:rsidRPr="00CF04BF">
        <w:rPr>
          <w:rFonts w:ascii="Times New Roman" w:hAnsi="Times New Roman" w:cs="Times New Roman"/>
          <w:sz w:val="24"/>
          <w:szCs w:val="24"/>
          <w:lang w:eastAsia="es-MX"/>
        </w:rPr>
        <w:t>.En el presente caso se debe entender que dado la situación subyacente a la petición de las medidas provisionales no revisté, como ya se demostró, de gravedad extrema, la misma no tiene el carácter de urgencia que se exige para la procedencia de las medidas provisionales. Esto en tanto que la vida e integridad personal de C y de los demás habitantes de “La Casita” no depende de la aprobación d</w:t>
      </w:r>
      <w:r w:rsidR="00991798" w:rsidRPr="00CF04BF">
        <w:rPr>
          <w:rFonts w:ascii="Times New Roman" w:hAnsi="Times New Roman" w:cs="Times New Roman"/>
          <w:sz w:val="24"/>
          <w:szCs w:val="24"/>
          <w:lang w:eastAsia="es-MX"/>
        </w:rPr>
        <w:t xml:space="preserve">e las medidas por parte de esta Corte </w:t>
      </w:r>
      <w:r w:rsidRPr="00CF04BF">
        <w:rPr>
          <w:rFonts w:ascii="Times New Roman" w:hAnsi="Times New Roman" w:cs="Times New Roman"/>
          <w:sz w:val="24"/>
          <w:szCs w:val="24"/>
          <w:lang w:eastAsia="es-MX"/>
        </w:rPr>
        <w:t xml:space="preserve">y tampoco reviste una amenaza inminente frente a estos bienes jurídicos. Por último, daño irreparable significa la afectación sobre derechos, que por su propia naturaleza no son susceptibles de reparación, restauración o adecuada </w:t>
      </w:r>
      <w:r w:rsidRPr="00CF04BF">
        <w:rPr>
          <w:rFonts w:ascii="Times New Roman" w:hAnsi="Times New Roman" w:cs="Times New Roman"/>
          <w:sz w:val="24"/>
          <w:szCs w:val="24"/>
          <w:lang w:eastAsia="es-MX"/>
        </w:rPr>
        <w:lastRenderedPageBreak/>
        <w:t>indemnización</w:t>
      </w:r>
      <w:r w:rsidRPr="00CF04BF">
        <w:rPr>
          <w:rStyle w:val="FootnoteReference"/>
          <w:rFonts w:ascii="Times New Roman" w:hAnsi="Times New Roman" w:cs="Times New Roman"/>
          <w:sz w:val="24"/>
          <w:szCs w:val="24"/>
          <w:lang w:eastAsia="es-MX"/>
        </w:rPr>
        <w:footnoteReference w:id="13"/>
      </w:r>
      <w:r w:rsidRPr="00CF04BF">
        <w:rPr>
          <w:rFonts w:ascii="Times New Roman" w:hAnsi="Times New Roman" w:cs="Times New Roman"/>
          <w:sz w:val="24"/>
          <w:szCs w:val="24"/>
          <w:lang w:eastAsia="es-MX"/>
        </w:rPr>
        <w:t>.Este requisito tampoco se cumple toda vez que de continuar la práctica del aislamiento en “La Casita” está no daña la vida y la integridad personal de los pacientes, como se ha demostrado ya que una vez terminado el aislamiento de C, ella continúa con vida y no presenta daños en su integridad personal, ya que dicho aislamiento siempre se realiza cuidando en to</w:t>
      </w:r>
      <w:r w:rsidR="00991798" w:rsidRPr="00CF04BF">
        <w:rPr>
          <w:rFonts w:ascii="Times New Roman" w:hAnsi="Times New Roman" w:cs="Times New Roman"/>
          <w:sz w:val="24"/>
          <w:szCs w:val="24"/>
          <w:lang w:eastAsia="es-MX"/>
        </w:rPr>
        <w:t>do momento la vida e integridad</w:t>
      </w:r>
      <w:r w:rsidRPr="00CF04BF">
        <w:rPr>
          <w:rFonts w:ascii="Times New Roman" w:hAnsi="Times New Roman" w:cs="Times New Roman"/>
          <w:sz w:val="24"/>
          <w:szCs w:val="24"/>
          <w:lang w:eastAsia="es-MX"/>
        </w:rPr>
        <w:t>. Por lo contrario, el prohibir el aislamiento en “La Casita” representa un peligro, porque en el caso de que alguno de los habitantes presente una crisis no se contaría con esta medida y por lo tanto pondría en peligro su vida e integridad física así como la de los demás habitantes de “La Casita”.</w:t>
      </w:r>
      <w:r w:rsidR="00EC2993" w:rsidRPr="00CF04BF">
        <w:rPr>
          <w:rFonts w:ascii="Times New Roman" w:hAnsi="Times New Roman" w:cs="Times New Roman"/>
          <w:sz w:val="24"/>
          <w:szCs w:val="24"/>
          <w:lang w:eastAsia="es-MX"/>
        </w:rPr>
        <w:t xml:space="preserve"> </w:t>
      </w:r>
      <w:r w:rsidRPr="00CF04BF">
        <w:rPr>
          <w:rFonts w:ascii="Times New Roman" w:hAnsi="Times New Roman" w:cs="Times New Roman"/>
          <w:sz w:val="24"/>
          <w:szCs w:val="24"/>
          <w:lang w:eastAsia="es-MX"/>
        </w:rPr>
        <w:t xml:space="preserve">En vista de todo lo anterior, se ha demostrado que la petición de medidas provisionales no cumple con ninguno de los tres requisitos exigidos en los Arts. 63.2 de la CADH y 27 del Reglamento de la Corte IDH, por lo que se solicita a esta H. Corte IDH decrete la improcedencia de las medidas provisionales solicitadas en el caso </w:t>
      </w:r>
      <w:r w:rsidRPr="00CF04BF">
        <w:rPr>
          <w:rFonts w:ascii="Times New Roman" w:hAnsi="Times New Roman" w:cs="Times New Roman"/>
          <w:i/>
          <w:sz w:val="24"/>
          <w:szCs w:val="24"/>
          <w:lang w:eastAsia="es-MX"/>
        </w:rPr>
        <w:t>sub judice.</w:t>
      </w:r>
    </w:p>
    <w:p w:rsidR="008A6376" w:rsidRPr="00CF04BF" w:rsidRDefault="00F75298" w:rsidP="009972EA">
      <w:pPr>
        <w:spacing w:after="0" w:line="480" w:lineRule="auto"/>
        <w:jc w:val="both"/>
        <w:rPr>
          <w:rFonts w:ascii="Times New Roman" w:hAnsi="Times New Roman" w:cs="Times New Roman"/>
          <w:b/>
          <w:sz w:val="24"/>
          <w:szCs w:val="24"/>
          <w:lang w:val="es-ES"/>
        </w:rPr>
      </w:pPr>
      <w:r w:rsidRPr="00CF04BF">
        <w:rPr>
          <w:rFonts w:ascii="Times New Roman" w:hAnsi="Times New Roman" w:cs="Times New Roman"/>
          <w:b/>
          <w:sz w:val="24"/>
          <w:szCs w:val="24"/>
          <w:lang w:val="es-ES"/>
        </w:rPr>
        <w:t>2.3</w:t>
      </w:r>
      <w:r w:rsidR="008A6376" w:rsidRPr="00CF04BF">
        <w:rPr>
          <w:rFonts w:ascii="Times New Roman" w:hAnsi="Times New Roman" w:cs="Times New Roman"/>
          <w:b/>
          <w:sz w:val="24"/>
          <w:szCs w:val="24"/>
          <w:lang w:val="es-ES"/>
        </w:rPr>
        <w:t>.  CUESTIONES DE FONDO Y ANÁLISIS DE ASUNTOS LEGALES.</w:t>
      </w:r>
    </w:p>
    <w:p w:rsidR="00286EFD" w:rsidRPr="00CF04BF" w:rsidRDefault="00F75298" w:rsidP="009972EA">
      <w:pPr>
        <w:spacing w:after="0" w:line="480" w:lineRule="auto"/>
        <w:jc w:val="both"/>
        <w:rPr>
          <w:rFonts w:ascii="Times New Roman" w:hAnsi="Times New Roman" w:cs="Times New Roman"/>
          <w:b/>
          <w:sz w:val="24"/>
          <w:szCs w:val="24"/>
          <w:lang w:val="es-ES"/>
        </w:rPr>
      </w:pPr>
      <w:r w:rsidRPr="00CF04BF">
        <w:rPr>
          <w:rFonts w:ascii="Times New Roman" w:hAnsi="Times New Roman" w:cs="Times New Roman"/>
          <w:b/>
          <w:sz w:val="24"/>
          <w:szCs w:val="24"/>
          <w:lang w:val="es-ES"/>
        </w:rPr>
        <w:t>2.3</w:t>
      </w:r>
      <w:r w:rsidR="008A6376" w:rsidRPr="00CF04BF">
        <w:rPr>
          <w:rFonts w:ascii="Times New Roman" w:hAnsi="Times New Roman" w:cs="Times New Roman"/>
          <w:b/>
          <w:sz w:val="24"/>
          <w:szCs w:val="24"/>
          <w:lang w:val="es-ES"/>
        </w:rPr>
        <w:t xml:space="preserve">.1. </w:t>
      </w:r>
      <w:r w:rsidR="00131F4B" w:rsidRPr="00CF04BF">
        <w:rPr>
          <w:rFonts w:ascii="Times New Roman" w:hAnsi="Times New Roman" w:cs="Times New Roman"/>
          <w:b/>
          <w:sz w:val="24"/>
          <w:szCs w:val="24"/>
          <w:lang w:val="es-ES"/>
        </w:rPr>
        <w:t>E</w:t>
      </w:r>
      <w:r w:rsidR="00962BBE" w:rsidRPr="00CF04BF">
        <w:rPr>
          <w:rFonts w:ascii="Times New Roman" w:hAnsi="Times New Roman" w:cs="Times New Roman"/>
          <w:b/>
          <w:sz w:val="24"/>
          <w:szCs w:val="24"/>
          <w:lang w:val="es-ES"/>
        </w:rPr>
        <w:t>xclutia</w:t>
      </w:r>
      <w:r w:rsidR="00286EFD" w:rsidRPr="00CF04BF">
        <w:rPr>
          <w:rFonts w:ascii="Times New Roman" w:hAnsi="Times New Roman" w:cs="Times New Roman"/>
          <w:b/>
          <w:sz w:val="24"/>
          <w:szCs w:val="24"/>
          <w:lang w:val="es-ES"/>
        </w:rPr>
        <w:t xml:space="preserve"> respetó </w:t>
      </w:r>
      <w:r w:rsidR="008A6376" w:rsidRPr="00CF04BF">
        <w:rPr>
          <w:rFonts w:ascii="Times New Roman" w:hAnsi="Times New Roman" w:cs="Times New Roman"/>
          <w:b/>
          <w:sz w:val="24"/>
          <w:szCs w:val="24"/>
          <w:lang w:val="es-ES"/>
        </w:rPr>
        <w:t>el Art. 3 en relación con los Arts. 1.1 y 2</w:t>
      </w:r>
      <w:r w:rsidR="00286EFD" w:rsidRPr="00CF04BF">
        <w:rPr>
          <w:rFonts w:ascii="Times New Roman" w:hAnsi="Times New Roman" w:cs="Times New Roman"/>
          <w:b/>
          <w:sz w:val="24"/>
          <w:szCs w:val="24"/>
          <w:lang w:val="es-ES"/>
        </w:rPr>
        <w:t xml:space="preserve"> de la CADH.</w:t>
      </w:r>
      <w:r w:rsidR="008A6376" w:rsidRPr="00CF04BF">
        <w:rPr>
          <w:rFonts w:ascii="Times New Roman" w:hAnsi="Times New Roman" w:cs="Times New Roman"/>
          <w:b/>
          <w:sz w:val="24"/>
          <w:szCs w:val="24"/>
          <w:lang w:val="es-ES"/>
        </w:rPr>
        <w:t xml:space="preserve"> </w:t>
      </w:r>
    </w:p>
    <w:p w:rsidR="008A6376" w:rsidRPr="00CF04BF" w:rsidRDefault="008A6376" w:rsidP="009972EA">
      <w:pPr>
        <w:spacing w:after="0" w:line="480" w:lineRule="auto"/>
        <w:jc w:val="both"/>
        <w:rPr>
          <w:rFonts w:ascii="Times New Roman" w:hAnsi="Times New Roman" w:cs="Times New Roman"/>
          <w:sz w:val="24"/>
          <w:szCs w:val="24"/>
          <w:lang w:val="es-CR"/>
        </w:rPr>
      </w:pPr>
      <w:r w:rsidRPr="00CF04BF">
        <w:rPr>
          <w:rFonts w:ascii="Times New Roman" w:hAnsi="Times New Roman" w:cs="Times New Roman"/>
          <w:sz w:val="24"/>
          <w:szCs w:val="24"/>
          <w:lang w:val="es-ES"/>
        </w:rPr>
        <w:t xml:space="preserve">El Art. 3 de la CADH reconoce el derecho de toda persona al reconocimiento de su personalidad jurídica. En tal </w:t>
      </w:r>
      <w:r w:rsidRPr="00CF04BF">
        <w:rPr>
          <w:rFonts w:ascii="Times New Roman" w:hAnsi="Times New Roman" w:cs="Times New Roman"/>
          <w:sz w:val="24"/>
          <w:szCs w:val="24"/>
        </w:rPr>
        <w:t>sentido</w:t>
      </w:r>
      <w:r w:rsidRPr="00CF04BF">
        <w:rPr>
          <w:rFonts w:ascii="Times New Roman" w:hAnsi="Times New Roman" w:cs="Times New Roman"/>
          <w:sz w:val="24"/>
          <w:szCs w:val="24"/>
          <w:lang w:val="es-ES"/>
        </w:rPr>
        <w:t xml:space="preserve">, </w:t>
      </w:r>
      <w:r w:rsidR="005424E7">
        <w:rPr>
          <w:rFonts w:ascii="Times New Roman" w:hAnsi="Times New Roman" w:cs="Times New Roman"/>
          <w:sz w:val="24"/>
          <w:szCs w:val="24"/>
          <w:lang w:val="es-CR"/>
        </w:rPr>
        <w:t xml:space="preserve">la Corte IDH ha considerado </w:t>
      </w:r>
      <w:r w:rsidRPr="00CF04BF">
        <w:rPr>
          <w:rFonts w:ascii="Times New Roman" w:hAnsi="Times New Roman" w:cs="Times New Roman"/>
          <w:sz w:val="24"/>
          <w:szCs w:val="24"/>
          <w:lang w:val="es-CR"/>
        </w:rPr>
        <w:t xml:space="preserve">que el contenido propio del derecho al reconocimiento de la </w:t>
      </w:r>
      <w:r w:rsidR="00C662FE" w:rsidRPr="00CF04BF">
        <w:rPr>
          <w:rFonts w:ascii="Times New Roman" w:hAnsi="Times New Roman" w:cs="Times New Roman"/>
          <w:sz w:val="24"/>
          <w:szCs w:val="24"/>
          <w:lang w:val="es-CR"/>
        </w:rPr>
        <w:t>personalidad jurídica consiste en</w:t>
      </w:r>
      <w:r w:rsidRPr="00CF04BF">
        <w:rPr>
          <w:rFonts w:ascii="Times New Roman" w:hAnsi="Times New Roman" w:cs="Times New Roman"/>
          <w:sz w:val="24"/>
          <w:szCs w:val="24"/>
          <w:lang w:val="es-CR"/>
        </w:rPr>
        <w:t xml:space="preserve"> que se reconozca a la persona en cualquier parte como sujeto de derechos y obligaciones, y que pueda ésta gozar de los derechos civiles fundamentales, lo cual implica la capacidad de ser titular de derechos </w:t>
      </w:r>
      <w:r w:rsidR="00C662FE" w:rsidRPr="00CF04BF">
        <w:rPr>
          <w:rFonts w:ascii="Times New Roman" w:hAnsi="Times New Roman" w:cs="Times New Roman"/>
          <w:sz w:val="24"/>
          <w:szCs w:val="24"/>
          <w:lang w:val="es-CR"/>
        </w:rPr>
        <w:t>(capacidad y goce) y de deberes</w:t>
      </w:r>
      <w:r w:rsidRPr="00CF04BF">
        <w:rPr>
          <w:rStyle w:val="FootnoteReference"/>
          <w:rFonts w:ascii="Times New Roman" w:hAnsi="Times New Roman" w:cs="Times New Roman"/>
          <w:sz w:val="24"/>
          <w:szCs w:val="24"/>
          <w:lang w:bidi="en-US"/>
        </w:rPr>
        <w:footnoteReference w:id="14"/>
      </w:r>
      <w:r w:rsidR="00C662FE" w:rsidRPr="00CF04BF">
        <w:rPr>
          <w:rFonts w:ascii="Times New Roman" w:hAnsi="Times New Roman" w:cs="Times New Roman"/>
          <w:sz w:val="24"/>
          <w:szCs w:val="24"/>
          <w:lang w:val="es-CR"/>
        </w:rPr>
        <w:t>.</w:t>
      </w:r>
      <w:r w:rsidRPr="00CF04BF">
        <w:rPr>
          <w:rFonts w:ascii="Times New Roman" w:hAnsi="Times New Roman" w:cs="Times New Roman"/>
          <w:sz w:val="24"/>
          <w:szCs w:val="24"/>
        </w:rPr>
        <w:t>Es decir, el “derecho al reconocimiento de la personalidad jurídica representa un parámetro para determinar si una persona es titular o no de los derechos de que se</w:t>
      </w:r>
      <w:r w:rsidR="00C662FE" w:rsidRPr="00CF04BF">
        <w:rPr>
          <w:rFonts w:ascii="Times New Roman" w:hAnsi="Times New Roman" w:cs="Times New Roman"/>
          <w:sz w:val="24"/>
          <w:szCs w:val="24"/>
        </w:rPr>
        <w:t xml:space="preserve"> trate, y si los </w:t>
      </w:r>
      <w:r w:rsidR="00C662FE" w:rsidRPr="00CF04BF">
        <w:rPr>
          <w:rFonts w:ascii="Times New Roman" w:hAnsi="Times New Roman" w:cs="Times New Roman"/>
          <w:sz w:val="24"/>
          <w:szCs w:val="24"/>
        </w:rPr>
        <w:lastRenderedPageBreak/>
        <w:t>puede ejercer”</w:t>
      </w:r>
      <w:r w:rsidRPr="00CF04BF">
        <w:rPr>
          <w:rStyle w:val="FootnoteReference"/>
          <w:rFonts w:ascii="Times New Roman" w:hAnsi="Times New Roman" w:cs="Times New Roman"/>
          <w:sz w:val="24"/>
          <w:szCs w:val="24"/>
        </w:rPr>
        <w:footnoteReference w:id="15"/>
      </w:r>
      <w:r w:rsidR="00C662FE" w:rsidRPr="00CF04BF">
        <w:rPr>
          <w:rFonts w:ascii="Times New Roman" w:hAnsi="Times New Roman" w:cs="Times New Roman"/>
          <w:sz w:val="24"/>
          <w:szCs w:val="24"/>
        </w:rPr>
        <w:t>.</w:t>
      </w:r>
      <w:r w:rsidRPr="00CF04BF">
        <w:rPr>
          <w:rFonts w:ascii="Times New Roman" w:hAnsi="Times New Roman" w:cs="Times New Roman"/>
          <w:sz w:val="24"/>
          <w:szCs w:val="24"/>
        </w:rPr>
        <w:t xml:space="preserve">De conformidad con estos lineamientos, </w:t>
      </w:r>
      <w:r w:rsidR="00131F4B" w:rsidRPr="00CF04BF">
        <w:rPr>
          <w:rFonts w:ascii="Times New Roman" w:hAnsi="Times New Roman" w:cs="Times New Roman"/>
          <w:sz w:val="24"/>
          <w:szCs w:val="24"/>
        </w:rPr>
        <w:t>E</w:t>
      </w:r>
      <w:r w:rsidRPr="00CF04BF">
        <w:rPr>
          <w:rFonts w:ascii="Times New Roman" w:hAnsi="Times New Roman" w:cs="Times New Roman"/>
          <w:sz w:val="24"/>
          <w:szCs w:val="24"/>
        </w:rPr>
        <w:t xml:space="preserve"> no violó el derecho al reconocimiento de la personali</w:t>
      </w:r>
      <w:r w:rsidR="00101B4C" w:rsidRPr="00CF04BF">
        <w:rPr>
          <w:rFonts w:ascii="Times New Roman" w:hAnsi="Times New Roman" w:cs="Times New Roman"/>
          <w:sz w:val="24"/>
          <w:szCs w:val="24"/>
        </w:rPr>
        <w:t>dad jurídica</w:t>
      </w:r>
      <w:r w:rsidRPr="00CF04BF">
        <w:rPr>
          <w:rFonts w:ascii="Times New Roman" w:hAnsi="Times New Roman" w:cs="Times New Roman"/>
          <w:sz w:val="24"/>
          <w:szCs w:val="24"/>
        </w:rPr>
        <w:t xml:space="preserve">, sino que además es </w:t>
      </w:r>
      <w:r w:rsidRPr="00CF04BF">
        <w:rPr>
          <w:rFonts w:ascii="Times New Roman" w:hAnsi="Times New Roman" w:cs="Times New Roman"/>
          <w:sz w:val="24"/>
          <w:szCs w:val="24"/>
          <w:lang w:val="es-ES"/>
        </w:rPr>
        <w:t>un Estado respetuoso y protector de los derech</w:t>
      </w:r>
      <w:r w:rsidR="00F354C8" w:rsidRPr="00CF04BF">
        <w:rPr>
          <w:rFonts w:ascii="Times New Roman" w:hAnsi="Times New Roman" w:cs="Times New Roman"/>
          <w:sz w:val="24"/>
          <w:szCs w:val="24"/>
          <w:lang w:val="es-ES"/>
        </w:rPr>
        <w:t>os humanos</w:t>
      </w:r>
      <w:r w:rsidRPr="00CF04BF">
        <w:rPr>
          <w:rFonts w:ascii="Times New Roman" w:hAnsi="Times New Roman" w:cs="Times New Roman"/>
          <w:sz w:val="24"/>
          <w:szCs w:val="24"/>
          <w:lang w:val="es-ES"/>
        </w:rPr>
        <w:t xml:space="preserve">, que es reconocido en la región por sus reformas legislativas progresistas y está comprometido con los derechos humanos de las personas con discapacidad, ya que no solamente ha ratificado la </w:t>
      </w:r>
      <w:r w:rsidRPr="00CF04BF">
        <w:rPr>
          <w:rFonts w:ascii="Times New Roman" w:hAnsi="Times New Roman" w:cs="Times New Roman"/>
          <w:sz w:val="24"/>
          <w:szCs w:val="24"/>
        </w:rPr>
        <w:t>CIEDPD</w:t>
      </w:r>
      <w:r w:rsidRPr="00CF04BF">
        <w:rPr>
          <w:rFonts w:ascii="Times New Roman" w:hAnsi="Times New Roman" w:cs="Times New Roman"/>
          <w:sz w:val="24"/>
          <w:szCs w:val="24"/>
          <w:lang w:val="es-ES"/>
        </w:rPr>
        <w:t xml:space="preserve"> y la </w:t>
      </w:r>
      <w:r w:rsidRPr="00CF04BF">
        <w:rPr>
          <w:rFonts w:ascii="Times New Roman" w:hAnsi="Times New Roman" w:cs="Times New Roman"/>
          <w:sz w:val="24"/>
          <w:szCs w:val="24"/>
        </w:rPr>
        <w:t>CDPD</w:t>
      </w:r>
      <w:r w:rsidRPr="00CF04BF">
        <w:rPr>
          <w:rFonts w:ascii="Times New Roman" w:hAnsi="Times New Roman" w:cs="Times New Roman"/>
          <w:sz w:val="24"/>
          <w:szCs w:val="24"/>
          <w:lang w:val="es-ES"/>
        </w:rPr>
        <w:t>, sino que además desde el año 2006 y hasta la fecha ha emprendido políticas sociales en aras de la protección y reconocimiento de las personas con discapacidad, como la impl</w:t>
      </w:r>
      <w:r w:rsidR="00C662FE" w:rsidRPr="00CF04BF">
        <w:rPr>
          <w:rFonts w:ascii="Times New Roman" w:hAnsi="Times New Roman" w:cs="Times New Roman"/>
          <w:sz w:val="24"/>
          <w:szCs w:val="24"/>
          <w:lang w:val="es-ES"/>
        </w:rPr>
        <w:t>ementación de hogares asistidos</w:t>
      </w:r>
      <w:r w:rsidRPr="00CF04BF">
        <w:rPr>
          <w:rStyle w:val="FootnoteReference"/>
          <w:rFonts w:ascii="Times New Roman" w:hAnsi="Times New Roman" w:cs="Times New Roman"/>
          <w:sz w:val="24"/>
          <w:szCs w:val="24"/>
          <w:lang w:val="es-ES"/>
        </w:rPr>
        <w:footnoteReference w:id="16"/>
      </w:r>
      <w:r w:rsidR="00C662FE" w:rsidRPr="00CF04BF">
        <w:rPr>
          <w:rFonts w:ascii="Times New Roman" w:hAnsi="Times New Roman" w:cs="Times New Roman"/>
          <w:sz w:val="24"/>
          <w:szCs w:val="24"/>
          <w:lang w:val="es-ES"/>
        </w:rPr>
        <w:t>,</w:t>
      </w:r>
      <w:r w:rsidRPr="00CF04BF">
        <w:rPr>
          <w:rFonts w:ascii="Times New Roman" w:hAnsi="Times New Roman" w:cs="Times New Roman"/>
          <w:sz w:val="24"/>
          <w:szCs w:val="24"/>
          <w:lang w:val="es-ES"/>
        </w:rPr>
        <w:t xml:space="preserve"> la adopción de la Ley Nacional para la Inclusión d</w:t>
      </w:r>
      <w:r w:rsidR="00F354C8" w:rsidRPr="00CF04BF">
        <w:rPr>
          <w:rFonts w:ascii="Times New Roman" w:hAnsi="Times New Roman" w:cs="Times New Roman"/>
          <w:sz w:val="24"/>
          <w:szCs w:val="24"/>
          <w:lang w:val="es-ES"/>
        </w:rPr>
        <w:t>e las Personas con Discapacidad</w:t>
      </w:r>
      <w:r w:rsidRPr="00CF04BF">
        <w:rPr>
          <w:rFonts w:ascii="Times New Roman" w:hAnsi="Times New Roman" w:cs="Times New Roman"/>
          <w:sz w:val="24"/>
          <w:szCs w:val="24"/>
          <w:lang w:val="es-ES"/>
        </w:rPr>
        <w:t xml:space="preserve">, mayor asignación de presupuesto al Consejo Nacional de Personas con Discapacidad de </w:t>
      </w:r>
      <w:r w:rsidR="00131F4B" w:rsidRPr="00CF04BF">
        <w:rPr>
          <w:rFonts w:ascii="Times New Roman" w:hAnsi="Times New Roman" w:cs="Times New Roman"/>
          <w:sz w:val="24"/>
          <w:szCs w:val="24"/>
          <w:lang w:val="es-ES"/>
        </w:rPr>
        <w:t>E</w:t>
      </w:r>
      <w:r w:rsidRPr="00CF04BF">
        <w:rPr>
          <w:rStyle w:val="FootnoteReference"/>
          <w:rFonts w:ascii="Times New Roman" w:hAnsi="Times New Roman" w:cs="Times New Roman"/>
          <w:sz w:val="24"/>
          <w:szCs w:val="24"/>
          <w:lang w:val="es-ES"/>
        </w:rPr>
        <w:footnoteReference w:id="17"/>
      </w:r>
      <w:r w:rsidR="00D27194">
        <w:rPr>
          <w:rFonts w:ascii="Times New Roman" w:hAnsi="Times New Roman" w:cs="Times New Roman"/>
          <w:sz w:val="24"/>
          <w:szCs w:val="24"/>
          <w:lang w:val="es-ES"/>
        </w:rPr>
        <w:t>,</w:t>
      </w:r>
      <w:r w:rsidRPr="00CF04BF">
        <w:rPr>
          <w:rFonts w:ascii="Times New Roman" w:hAnsi="Times New Roman" w:cs="Times New Roman"/>
          <w:sz w:val="24"/>
          <w:szCs w:val="24"/>
          <w:lang w:val="es-ES"/>
        </w:rPr>
        <w:t xml:space="preserve"> entre otras políticas.</w:t>
      </w:r>
      <w:r w:rsidR="005424E7">
        <w:rPr>
          <w:rFonts w:ascii="Times New Roman" w:hAnsi="Times New Roman" w:cs="Times New Roman"/>
          <w:sz w:val="24"/>
          <w:szCs w:val="24"/>
          <w:lang w:val="es-CR"/>
        </w:rPr>
        <w:t xml:space="preserve"> </w:t>
      </w:r>
      <w:r w:rsidRPr="00CF04BF">
        <w:rPr>
          <w:rFonts w:ascii="Times New Roman" w:hAnsi="Times New Roman" w:cs="Times New Roman"/>
          <w:sz w:val="24"/>
          <w:szCs w:val="24"/>
        </w:rPr>
        <w:t xml:space="preserve">Por otra parte, el </w:t>
      </w:r>
      <w:r w:rsidRPr="00CF04BF">
        <w:rPr>
          <w:rFonts w:ascii="Times New Roman" w:hAnsi="Times New Roman" w:cs="Times New Roman"/>
          <w:sz w:val="24"/>
          <w:szCs w:val="24"/>
          <w:lang w:val="es-ES"/>
        </w:rPr>
        <w:t>contenido del derecho al reconocimiento de la personalidad jurídica refiere al correlativo deber general del Estado de procurar los medios y condiciones jurídicas para que ese derecho pueda ser ejercido libre</w:t>
      </w:r>
      <w:r w:rsidR="00101B4C" w:rsidRPr="00CF04BF">
        <w:rPr>
          <w:rFonts w:ascii="Times New Roman" w:hAnsi="Times New Roman" w:cs="Times New Roman"/>
          <w:sz w:val="24"/>
          <w:szCs w:val="24"/>
          <w:lang w:val="es-ES"/>
        </w:rPr>
        <w:t xml:space="preserve"> y plenamente por sus titulares</w:t>
      </w:r>
      <w:r w:rsidRPr="00CF04BF">
        <w:rPr>
          <w:rStyle w:val="FootnoteReference"/>
          <w:rFonts w:ascii="Times New Roman" w:hAnsi="Times New Roman" w:cs="Times New Roman"/>
          <w:sz w:val="24"/>
          <w:szCs w:val="24"/>
          <w:lang w:val="es-ES"/>
        </w:rPr>
        <w:footnoteReference w:id="18"/>
      </w:r>
      <w:r w:rsidR="00101B4C" w:rsidRPr="00CF04BF">
        <w:rPr>
          <w:rFonts w:ascii="Times New Roman" w:hAnsi="Times New Roman" w:cs="Times New Roman"/>
          <w:sz w:val="24"/>
          <w:szCs w:val="24"/>
          <w:lang w:val="es-ES"/>
        </w:rPr>
        <w:t>.</w:t>
      </w:r>
      <w:r w:rsidRPr="00CF04BF">
        <w:rPr>
          <w:rFonts w:ascii="Times New Roman" w:hAnsi="Times New Roman" w:cs="Times New Roman"/>
          <w:sz w:val="24"/>
          <w:szCs w:val="24"/>
          <w:lang w:val="es-ES"/>
        </w:rPr>
        <w:t>De lo anterior se desprende que el Estado debe de implementar los medios necesarios para que las personas con discapacidad puedan ejercer plenamente sus derechos, especialmente el derecho a la personalidad</w:t>
      </w:r>
      <w:r w:rsidR="00C662FE" w:rsidRPr="00CF04BF">
        <w:rPr>
          <w:rFonts w:ascii="Times New Roman" w:hAnsi="Times New Roman" w:cs="Times New Roman"/>
          <w:sz w:val="24"/>
          <w:szCs w:val="24"/>
          <w:lang w:val="es-ES"/>
        </w:rPr>
        <w:t xml:space="preserve"> jurídica. Además</w:t>
      </w:r>
      <w:r w:rsidR="00E82BB1" w:rsidRPr="00CF04BF">
        <w:rPr>
          <w:rFonts w:ascii="Times New Roman" w:hAnsi="Times New Roman" w:cs="Times New Roman"/>
          <w:sz w:val="24"/>
          <w:szCs w:val="24"/>
          <w:lang w:val="es-ES"/>
        </w:rPr>
        <w:t xml:space="preserve">, la </w:t>
      </w:r>
      <w:r w:rsidR="00C662FE" w:rsidRPr="00CF04BF">
        <w:rPr>
          <w:rFonts w:ascii="Times New Roman" w:hAnsi="Times New Roman" w:cs="Times New Roman"/>
          <w:color w:val="000000" w:themeColor="text1"/>
          <w:sz w:val="24"/>
          <w:szCs w:val="24"/>
        </w:rPr>
        <w:t>Corte</w:t>
      </w:r>
      <w:r w:rsidRPr="00CF04BF">
        <w:rPr>
          <w:rFonts w:ascii="Times New Roman" w:hAnsi="Times New Roman" w:cs="Times New Roman"/>
          <w:color w:val="000000" w:themeColor="text1"/>
          <w:sz w:val="24"/>
          <w:szCs w:val="24"/>
        </w:rPr>
        <w:t xml:space="preserve"> ha señalado que toda persona con alguna discapacidad y que se encuentre en situación de vulnerabilidad es titular de una protección especial, la cual obliga a los Estados a tomar medidas positivas de carácter legislativo, </w:t>
      </w:r>
      <w:r w:rsidR="00C662FE" w:rsidRPr="00CF04BF">
        <w:rPr>
          <w:rFonts w:ascii="Times New Roman" w:hAnsi="Times New Roman" w:cs="Times New Roman"/>
          <w:color w:val="000000" w:themeColor="text1"/>
          <w:sz w:val="24"/>
          <w:szCs w:val="24"/>
        </w:rPr>
        <w:t>social, educativo, laboral o de</w:t>
      </w:r>
      <w:r w:rsidRPr="00CF04BF">
        <w:rPr>
          <w:rFonts w:ascii="Times New Roman" w:hAnsi="Times New Roman" w:cs="Times New Roman"/>
          <w:color w:val="000000" w:themeColor="text1"/>
          <w:sz w:val="24"/>
          <w:szCs w:val="24"/>
        </w:rPr>
        <w:t xml:space="preserve"> cualquier índole, necesarias para eliminar cualquier forma de discriminación y propiciar su plena inclusión en t</w:t>
      </w:r>
      <w:r w:rsidR="00C662FE" w:rsidRPr="00CF04BF">
        <w:rPr>
          <w:rFonts w:ascii="Times New Roman" w:hAnsi="Times New Roman" w:cs="Times New Roman"/>
          <w:color w:val="000000" w:themeColor="text1"/>
          <w:sz w:val="24"/>
          <w:szCs w:val="24"/>
        </w:rPr>
        <w:t xml:space="preserve">odas las esferas de </w:t>
      </w:r>
      <w:r w:rsidR="00C662FE" w:rsidRPr="00CF04BF">
        <w:rPr>
          <w:rFonts w:ascii="Times New Roman" w:hAnsi="Times New Roman" w:cs="Times New Roman"/>
          <w:color w:val="000000" w:themeColor="text1"/>
          <w:sz w:val="24"/>
          <w:szCs w:val="24"/>
        </w:rPr>
        <w:lastRenderedPageBreak/>
        <w:t>la sociedad</w:t>
      </w:r>
      <w:r w:rsidRPr="00CF04BF">
        <w:rPr>
          <w:rStyle w:val="FootnoteReference"/>
          <w:rFonts w:ascii="Times New Roman" w:hAnsi="Times New Roman" w:cs="Times New Roman"/>
          <w:color w:val="000000" w:themeColor="text1"/>
          <w:sz w:val="24"/>
          <w:szCs w:val="24"/>
        </w:rPr>
        <w:footnoteReference w:id="19"/>
      </w:r>
      <w:r w:rsidR="008D7F5D" w:rsidRPr="00CF04BF">
        <w:rPr>
          <w:rFonts w:ascii="Times New Roman" w:hAnsi="Times New Roman" w:cs="Times New Roman"/>
          <w:color w:val="000000" w:themeColor="text1"/>
          <w:sz w:val="24"/>
          <w:szCs w:val="24"/>
        </w:rPr>
        <w:t>.</w:t>
      </w:r>
      <w:r w:rsidRPr="00CF04BF">
        <w:rPr>
          <w:rFonts w:ascii="Times New Roman" w:eastAsia="Calibri" w:hAnsi="Times New Roman" w:cs="Times New Roman"/>
          <w:sz w:val="24"/>
          <w:szCs w:val="24"/>
          <w:lang w:eastAsia="de-DE"/>
        </w:rPr>
        <w:t xml:space="preserve">Por tanto, es necesario que los Estados </w:t>
      </w:r>
      <w:r w:rsidRPr="00CF04BF">
        <w:rPr>
          <w:rFonts w:ascii="Times New Roman" w:eastAsia="Calibri" w:hAnsi="Times New Roman" w:cs="Times New Roman"/>
          <w:sz w:val="24"/>
          <w:szCs w:val="24"/>
          <w:lang w:val="es-CO" w:eastAsia="de-DE"/>
        </w:rPr>
        <w:t>promuevan prácticas de inclusión social y adopten medidas de diferenciación positiva para remover dichas barreras</w:t>
      </w:r>
      <w:r w:rsidRPr="00CF04BF">
        <w:rPr>
          <w:rFonts w:ascii="Times New Roman" w:eastAsia="Calibri" w:hAnsi="Times New Roman" w:cs="Times New Roman"/>
          <w:sz w:val="24"/>
          <w:szCs w:val="24"/>
          <w:vertAlign w:val="superscript"/>
          <w:lang w:val="es-CO" w:eastAsia="de-DE"/>
        </w:rPr>
        <w:footnoteReference w:id="20"/>
      </w:r>
      <w:r w:rsidR="00D27194">
        <w:rPr>
          <w:rFonts w:ascii="Times New Roman" w:eastAsia="Calibri" w:hAnsi="Times New Roman" w:cs="Times New Roman"/>
          <w:sz w:val="24"/>
          <w:szCs w:val="24"/>
          <w:lang w:val="es-CO" w:eastAsia="de-DE"/>
        </w:rPr>
        <w:t>.</w:t>
      </w:r>
    </w:p>
    <w:p w:rsidR="008A6376" w:rsidRPr="00CF04BF" w:rsidRDefault="008A6376" w:rsidP="009972EA">
      <w:pPr>
        <w:spacing w:after="0" w:line="480" w:lineRule="auto"/>
        <w:jc w:val="both"/>
        <w:rPr>
          <w:rFonts w:ascii="Times New Roman" w:hAnsi="Times New Roman" w:cs="Times New Roman"/>
          <w:color w:val="000000" w:themeColor="text1"/>
          <w:sz w:val="24"/>
          <w:szCs w:val="24"/>
          <w:lang w:val="es-ES"/>
        </w:rPr>
      </w:pPr>
      <w:r w:rsidRPr="00CF04BF">
        <w:rPr>
          <w:rFonts w:ascii="Times New Roman" w:hAnsi="Times New Roman" w:cs="Times New Roman"/>
          <w:color w:val="000000" w:themeColor="text1"/>
          <w:sz w:val="24"/>
          <w:szCs w:val="24"/>
          <w:lang w:val="es-ES"/>
        </w:rPr>
        <w:t xml:space="preserve">Por todo lo anterior, </w:t>
      </w:r>
      <w:r w:rsidR="00131F4B" w:rsidRPr="00CF04BF">
        <w:rPr>
          <w:rFonts w:ascii="Times New Roman" w:hAnsi="Times New Roman" w:cs="Times New Roman"/>
          <w:color w:val="000000" w:themeColor="text1"/>
          <w:sz w:val="24"/>
          <w:szCs w:val="24"/>
          <w:lang w:val="es-ES"/>
        </w:rPr>
        <w:t>E</w:t>
      </w:r>
      <w:r w:rsidRPr="00CF04BF">
        <w:rPr>
          <w:rFonts w:ascii="Times New Roman" w:hAnsi="Times New Roman" w:cs="Times New Roman"/>
          <w:color w:val="000000" w:themeColor="text1"/>
          <w:sz w:val="24"/>
          <w:szCs w:val="24"/>
          <w:lang w:val="es-ES"/>
        </w:rPr>
        <w:t xml:space="preserve"> en pleno cumplimiento de sus obligaciones y en aras de otorgar una protección especial a las personas con discapacidad, ha adoptado una medida de diferenciación positiva al incluir en su legislación la figura de interdicción, la cual lejos de representar una violación al reconocimiento de la personalidad jurídica de las personas con discapacidad y en el presente caso de </w:t>
      </w:r>
      <w:r w:rsidR="00131F4B" w:rsidRPr="00CF04BF">
        <w:rPr>
          <w:rFonts w:ascii="Times New Roman" w:hAnsi="Times New Roman" w:cs="Times New Roman"/>
          <w:color w:val="000000" w:themeColor="text1"/>
          <w:sz w:val="24"/>
          <w:szCs w:val="24"/>
          <w:lang w:val="es-ES"/>
        </w:rPr>
        <w:t>C</w:t>
      </w:r>
      <w:r w:rsidRPr="00CF04BF">
        <w:rPr>
          <w:rFonts w:ascii="Times New Roman" w:hAnsi="Times New Roman" w:cs="Times New Roman"/>
          <w:color w:val="000000" w:themeColor="text1"/>
          <w:sz w:val="24"/>
          <w:szCs w:val="24"/>
          <w:lang w:val="es-ES"/>
        </w:rPr>
        <w:t>, refleja la ardua labor del Estado por procurar</w:t>
      </w:r>
      <w:r w:rsidRPr="00CF04BF">
        <w:rPr>
          <w:rFonts w:ascii="Times New Roman" w:hAnsi="Times New Roman" w:cs="Times New Roman"/>
          <w:sz w:val="24"/>
          <w:szCs w:val="24"/>
          <w:lang w:val="es-ES"/>
        </w:rPr>
        <w:t xml:space="preserve"> los medios y condiciones jurídicas</w:t>
      </w:r>
      <w:r w:rsidRPr="00CF04BF">
        <w:rPr>
          <w:rFonts w:ascii="Times New Roman" w:hAnsi="Times New Roman" w:cs="Times New Roman"/>
          <w:color w:val="000000" w:themeColor="text1"/>
          <w:sz w:val="24"/>
          <w:szCs w:val="24"/>
          <w:lang w:val="es-ES"/>
        </w:rPr>
        <w:t xml:space="preserve"> para que las personas con discapacidad puedan e</w:t>
      </w:r>
      <w:r w:rsidR="008D7F5D" w:rsidRPr="00CF04BF">
        <w:rPr>
          <w:rFonts w:ascii="Times New Roman" w:hAnsi="Times New Roman" w:cs="Times New Roman"/>
          <w:color w:val="000000" w:themeColor="text1"/>
          <w:sz w:val="24"/>
          <w:szCs w:val="24"/>
          <w:lang w:val="es-ES"/>
        </w:rPr>
        <w:t xml:space="preserve">jercer sus </w:t>
      </w:r>
      <w:r w:rsidRPr="00CF04BF">
        <w:rPr>
          <w:rFonts w:ascii="Times New Roman" w:hAnsi="Times New Roman" w:cs="Times New Roman"/>
          <w:color w:val="000000" w:themeColor="text1"/>
          <w:sz w:val="24"/>
          <w:szCs w:val="24"/>
          <w:lang w:val="es-ES"/>
        </w:rPr>
        <w:t>derechos</w:t>
      </w:r>
      <w:r w:rsidR="008D7F5D" w:rsidRPr="00CF04BF">
        <w:rPr>
          <w:rFonts w:ascii="Times New Roman" w:hAnsi="Times New Roman" w:cs="Times New Roman"/>
          <w:color w:val="000000" w:themeColor="text1"/>
          <w:sz w:val="24"/>
          <w:szCs w:val="24"/>
          <w:lang w:val="es-ES"/>
        </w:rPr>
        <w:t xml:space="preserve">. </w:t>
      </w:r>
      <w:r w:rsidRPr="00CF04BF">
        <w:rPr>
          <w:rFonts w:ascii="Times New Roman" w:hAnsi="Times New Roman" w:cs="Times New Roman"/>
          <w:color w:val="000000" w:themeColor="text1"/>
          <w:sz w:val="24"/>
          <w:szCs w:val="24"/>
          <w:lang w:val="es-ES"/>
        </w:rPr>
        <w:t>En relación a lo anterior, es necesario analizar lo anterior a la luz del modelo social</w:t>
      </w:r>
      <w:r w:rsidRPr="00CF04BF">
        <w:rPr>
          <w:rStyle w:val="FootnoteReference"/>
          <w:rFonts w:ascii="Times New Roman" w:hAnsi="Times New Roman" w:cs="Times New Roman"/>
          <w:color w:val="000000" w:themeColor="text1"/>
          <w:sz w:val="24"/>
          <w:szCs w:val="24"/>
          <w:lang w:val="es-ES"/>
        </w:rPr>
        <w:footnoteReference w:id="21"/>
      </w:r>
      <w:r w:rsidRPr="00CF04BF">
        <w:rPr>
          <w:rFonts w:ascii="Times New Roman" w:hAnsi="Times New Roman" w:cs="Times New Roman"/>
          <w:color w:val="000000" w:themeColor="text1"/>
          <w:sz w:val="24"/>
          <w:szCs w:val="24"/>
          <w:lang w:val="es-ES"/>
        </w:rPr>
        <w:t xml:space="preserve"> que establece la CDPD, cuya finalidad es buscar la </w:t>
      </w:r>
      <w:r w:rsidRPr="00CF04BF">
        <w:rPr>
          <w:rFonts w:ascii="Times New Roman" w:hAnsi="Times New Roman" w:cs="Times New Roman"/>
          <w:sz w:val="24"/>
          <w:szCs w:val="24"/>
        </w:rPr>
        <w:t>igualdad material, que se caracteriza por reconocer que las personas con discapacidad tienen circunstancias especiales de vida, pero finalidades o necesidades sim</w:t>
      </w:r>
      <w:r w:rsidR="00F463D9" w:rsidRPr="00CF04BF">
        <w:rPr>
          <w:rFonts w:ascii="Times New Roman" w:hAnsi="Times New Roman" w:cs="Times New Roman"/>
          <w:sz w:val="24"/>
          <w:szCs w:val="24"/>
        </w:rPr>
        <w:t>ilares al resto de la población</w:t>
      </w:r>
      <w:r w:rsidRPr="00CF04BF">
        <w:rPr>
          <w:rStyle w:val="FootnoteReference"/>
          <w:rFonts w:ascii="Times New Roman" w:hAnsi="Times New Roman" w:cs="Times New Roman"/>
          <w:sz w:val="24"/>
          <w:szCs w:val="24"/>
        </w:rPr>
        <w:footnoteReference w:id="22"/>
      </w:r>
      <w:r w:rsidR="008D7F5D" w:rsidRPr="00CF04BF">
        <w:rPr>
          <w:rFonts w:ascii="Times New Roman" w:hAnsi="Times New Roman" w:cs="Times New Roman"/>
          <w:sz w:val="24"/>
          <w:szCs w:val="24"/>
        </w:rPr>
        <w:t>.</w:t>
      </w:r>
      <w:r w:rsidRPr="00CF04BF">
        <w:rPr>
          <w:rFonts w:ascii="Times New Roman" w:hAnsi="Times New Roman" w:cs="Times New Roman"/>
          <w:sz w:val="24"/>
          <w:szCs w:val="24"/>
        </w:rPr>
        <w:t>Lo que ha provocado la creación de los llamados ajustes razonables, que son medidas paliativas por medio de las cuales se introducen elementos diferenciadores que buscan la plena aplicación del principio de igualdad de oportunidades par</w:t>
      </w:r>
      <w:r w:rsidR="00F463D9" w:rsidRPr="00CF04BF">
        <w:rPr>
          <w:rFonts w:ascii="Times New Roman" w:hAnsi="Times New Roman" w:cs="Times New Roman"/>
          <w:sz w:val="24"/>
          <w:szCs w:val="24"/>
        </w:rPr>
        <w:t>a las personas con discapacidad</w:t>
      </w:r>
      <w:r w:rsidRPr="00CF04BF">
        <w:rPr>
          <w:rStyle w:val="FootnoteReference"/>
          <w:rFonts w:ascii="Times New Roman" w:hAnsi="Times New Roman" w:cs="Times New Roman"/>
          <w:sz w:val="24"/>
          <w:szCs w:val="24"/>
        </w:rPr>
        <w:footnoteReference w:id="23"/>
      </w:r>
      <w:r w:rsidRPr="00CF04BF">
        <w:rPr>
          <w:rFonts w:ascii="Times New Roman" w:hAnsi="Times New Roman" w:cs="Times New Roman"/>
          <w:sz w:val="24"/>
          <w:szCs w:val="24"/>
        </w:rPr>
        <w:t xml:space="preserve"> y propicia la implementación de medidas de naturaleza positiva que atenúen las desigualdades y permitan una mayor inclusión de las personas con alguna diversidad funcional. Y tal como ha manifestado </w:t>
      </w:r>
      <w:r w:rsidRPr="00CF04BF">
        <w:rPr>
          <w:rFonts w:ascii="Times New Roman" w:hAnsi="Times New Roman" w:cs="Times New Roman"/>
          <w:color w:val="000000" w:themeColor="text1"/>
          <w:sz w:val="24"/>
          <w:szCs w:val="24"/>
        </w:rPr>
        <w:t xml:space="preserve">el TEDH, los Estados están obligados a tomar las medidas necesarias para realizar </w:t>
      </w:r>
      <w:r w:rsidRPr="00CF04BF">
        <w:rPr>
          <w:rFonts w:ascii="Times New Roman" w:hAnsi="Times New Roman" w:cs="Times New Roman"/>
          <w:color w:val="000000" w:themeColor="text1"/>
          <w:sz w:val="24"/>
          <w:szCs w:val="24"/>
        </w:rPr>
        <w:lastRenderedPageBreak/>
        <w:t>ajustes razonables, cuando los mismos pueden eliminar las barreras a que están sujetas las p</w:t>
      </w:r>
      <w:r w:rsidR="00F463D9" w:rsidRPr="00CF04BF">
        <w:rPr>
          <w:rFonts w:ascii="Times New Roman" w:hAnsi="Times New Roman" w:cs="Times New Roman"/>
          <w:color w:val="000000" w:themeColor="text1"/>
          <w:sz w:val="24"/>
          <w:szCs w:val="24"/>
        </w:rPr>
        <w:t>ersonas con alguna discapacidad</w:t>
      </w:r>
      <w:r w:rsidRPr="00CF04BF">
        <w:rPr>
          <w:rStyle w:val="FootnoteReference"/>
          <w:rFonts w:ascii="Times New Roman" w:hAnsi="Times New Roman" w:cs="Times New Roman"/>
          <w:color w:val="000000" w:themeColor="text1"/>
          <w:sz w:val="24"/>
          <w:szCs w:val="24"/>
        </w:rPr>
        <w:footnoteReference w:id="24"/>
      </w:r>
      <w:r w:rsidR="00F463D9" w:rsidRPr="00CF04BF">
        <w:rPr>
          <w:rFonts w:ascii="Times New Roman" w:hAnsi="Times New Roman" w:cs="Times New Roman"/>
          <w:color w:val="000000" w:themeColor="text1"/>
          <w:sz w:val="24"/>
          <w:szCs w:val="24"/>
        </w:rPr>
        <w:t>.</w:t>
      </w:r>
      <w:r w:rsidRPr="00CF04BF">
        <w:rPr>
          <w:rFonts w:ascii="Times New Roman" w:hAnsi="Times New Roman" w:cs="Times New Roman"/>
          <w:color w:val="000000" w:themeColor="text1"/>
          <w:sz w:val="24"/>
          <w:szCs w:val="24"/>
        </w:rPr>
        <w:t xml:space="preserve">Por lo tanto, el Estado considera pertinente resaltar que el estado de interdicción de </w:t>
      </w:r>
      <w:r w:rsidR="00131F4B" w:rsidRPr="00CF04BF">
        <w:rPr>
          <w:rFonts w:ascii="Times New Roman" w:hAnsi="Times New Roman" w:cs="Times New Roman"/>
          <w:color w:val="000000" w:themeColor="text1"/>
          <w:sz w:val="24"/>
          <w:szCs w:val="24"/>
        </w:rPr>
        <w:t>C</w:t>
      </w:r>
      <w:r w:rsidRPr="00CF04BF">
        <w:rPr>
          <w:rFonts w:ascii="Times New Roman" w:hAnsi="Times New Roman" w:cs="Times New Roman"/>
          <w:color w:val="000000" w:themeColor="text1"/>
          <w:sz w:val="24"/>
          <w:szCs w:val="24"/>
        </w:rPr>
        <w:t xml:space="preserve"> es un ajuste razonable, que busca eliminar las barreras sociales que enfrenta </w:t>
      </w:r>
      <w:r w:rsidR="00131F4B" w:rsidRPr="00CF04BF">
        <w:rPr>
          <w:rFonts w:ascii="Times New Roman" w:hAnsi="Times New Roman" w:cs="Times New Roman"/>
          <w:color w:val="000000" w:themeColor="text1"/>
          <w:sz w:val="24"/>
          <w:szCs w:val="24"/>
        </w:rPr>
        <w:t>C</w:t>
      </w:r>
      <w:r w:rsidRPr="00CF04BF">
        <w:rPr>
          <w:rFonts w:ascii="Times New Roman" w:hAnsi="Times New Roman" w:cs="Times New Roman"/>
          <w:color w:val="000000" w:themeColor="text1"/>
          <w:sz w:val="24"/>
          <w:szCs w:val="24"/>
        </w:rPr>
        <w:t xml:space="preserve"> de acuerdo a su diversidad funcional específica en razón de su ceguera permanente y la depresión mayor la cual fue diagnosticada con los </w:t>
      </w:r>
      <w:r w:rsidRPr="00CF04BF">
        <w:rPr>
          <w:rFonts w:ascii="Times New Roman" w:hAnsi="Times New Roman" w:cs="Times New Roman"/>
          <w:sz w:val="24"/>
          <w:szCs w:val="24"/>
        </w:rPr>
        <w:t>dictámenes médicos correspondientes</w:t>
      </w:r>
      <w:r w:rsidR="00F463D9" w:rsidRPr="00CF04BF">
        <w:rPr>
          <w:rFonts w:ascii="Times New Roman" w:hAnsi="Times New Roman" w:cs="Times New Roman"/>
          <w:color w:val="000000" w:themeColor="text1"/>
          <w:sz w:val="24"/>
          <w:szCs w:val="24"/>
        </w:rPr>
        <w:t xml:space="preserve">. </w:t>
      </w:r>
      <w:r w:rsidRPr="00CF04BF">
        <w:rPr>
          <w:rFonts w:ascii="Times New Roman" w:hAnsi="Times New Roman" w:cs="Times New Roman"/>
          <w:color w:val="000000" w:themeColor="text1"/>
          <w:sz w:val="24"/>
          <w:szCs w:val="24"/>
        </w:rPr>
        <w:t xml:space="preserve">De igual manera como consta, antes de dictarse el ya referido estado de interdicción, </w:t>
      </w:r>
      <w:r w:rsidR="00131F4B" w:rsidRPr="00CF04BF">
        <w:rPr>
          <w:rFonts w:ascii="Times New Roman" w:hAnsi="Times New Roman" w:cs="Times New Roman"/>
          <w:color w:val="000000" w:themeColor="text1"/>
          <w:sz w:val="24"/>
          <w:szCs w:val="24"/>
        </w:rPr>
        <w:t>C</w:t>
      </w:r>
      <w:r w:rsidRPr="00CF04BF">
        <w:rPr>
          <w:rFonts w:ascii="Times New Roman" w:hAnsi="Times New Roman" w:cs="Times New Roman"/>
          <w:color w:val="000000" w:themeColor="text1"/>
          <w:sz w:val="24"/>
          <w:szCs w:val="24"/>
        </w:rPr>
        <w:t xml:space="preserve"> no pod</w:t>
      </w:r>
      <w:r w:rsidR="00F463D9" w:rsidRPr="00CF04BF">
        <w:rPr>
          <w:rFonts w:ascii="Times New Roman" w:hAnsi="Times New Roman" w:cs="Times New Roman"/>
          <w:color w:val="000000" w:themeColor="text1"/>
          <w:sz w:val="24"/>
          <w:szCs w:val="24"/>
        </w:rPr>
        <w:t>ía conducirse con independencia</w:t>
      </w:r>
      <w:r w:rsidRPr="00CF04BF">
        <w:rPr>
          <w:rStyle w:val="FootnoteReference"/>
          <w:rFonts w:ascii="Times New Roman" w:hAnsi="Times New Roman" w:cs="Times New Roman"/>
          <w:color w:val="000000" w:themeColor="text1"/>
          <w:sz w:val="24"/>
          <w:szCs w:val="24"/>
        </w:rPr>
        <w:footnoteReference w:id="25"/>
      </w:r>
      <w:r w:rsidR="00F463D9" w:rsidRPr="00CF04BF">
        <w:rPr>
          <w:rFonts w:ascii="Times New Roman" w:hAnsi="Times New Roman" w:cs="Times New Roman"/>
          <w:color w:val="000000" w:themeColor="text1"/>
          <w:sz w:val="24"/>
          <w:szCs w:val="24"/>
        </w:rPr>
        <w:t>,</w:t>
      </w:r>
      <w:r w:rsidR="008D7F5D" w:rsidRPr="00CF04BF">
        <w:rPr>
          <w:rFonts w:ascii="Times New Roman" w:hAnsi="Times New Roman" w:cs="Times New Roman"/>
          <w:color w:val="000000" w:themeColor="text1"/>
          <w:sz w:val="24"/>
          <w:szCs w:val="24"/>
        </w:rPr>
        <w:t xml:space="preserve"> y era necesario que su vecina </w:t>
      </w:r>
      <w:r w:rsidRPr="00CF04BF">
        <w:rPr>
          <w:rFonts w:ascii="Times New Roman" w:hAnsi="Times New Roman" w:cs="Times New Roman"/>
          <w:color w:val="000000" w:themeColor="text1"/>
          <w:sz w:val="24"/>
          <w:szCs w:val="24"/>
        </w:rPr>
        <w:t>la asistiera en la búsqueda de empleo</w:t>
      </w:r>
      <w:r w:rsidR="008D7F5D" w:rsidRPr="00CF04BF">
        <w:rPr>
          <w:rFonts w:ascii="Times New Roman" w:hAnsi="Times New Roman" w:cs="Times New Roman"/>
          <w:color w:val="000000" w:themeColor="text1"/>
          <w:sz w:val="24"/>
          <w:szCs w:val="24"/>
        </w:rPr>
        <w:t xml:space="preserve"> y </w:t>
      </w:r>
      <w:r w:rsidR="00F354C8" w:rsidRPr="00CF04BF">
        <w:rPr>
          <w:rFonts w:ascii="Times New Roman" w:hAnsi="Times New Roman" w:cs="Times New Roman"/>
          <w:color w:val="000000" w:themeColor="text1"/>
          <w:sz w:val="24"/>
          <w:szCs w:val="24"/>
        </w:rPr>
        <w:t>la llevara de un</w:t>
      </w:r>
      <w:r w:rsidRPr="00CF04BF">
        <w:rPr>
          <w:rFonts w:ascii="Times New Roman" w:hAnsi="Times New Roman" w:cs="Times New Roman"/>
          <w:color w:val="000000" w:themeColor="text1"/>
          <w:sz w:val="24"/>
          <w:szCs w:val="24"/>
        </w:rPr>
        <w:t xml:space="preserve"> lugar </w:t>
      </w:r>
      <w:r w:rsidR="00F463D9" w:rsidRPr="00CF04BF">
        <w:rPr>
          <w:rFonts w:ascii="Times New Roman" w:hAnsi="Times New Roman" w:cs="Times New Roman"/>
          <w:color w:val="000000" w:themeColor="text1"/>
          <w:sz w:val="24"/>
          <w:szCs w:val="24"/>
        </w:rPr>
        <w:t>a otro</w:t>
      </w:r>
      <w:r w:rsidRPr="00CF04BF">
        <w:rPr>
          <w:rStyle w:val="FootnoteReference"/>
          <w:rFonts w:ascii="Times New Roman" w:hAnsi="Times New Roman" w:cs="Times New Roman"/>
          <w:color w:val="000000" w:themeColor="text1"/>
          <w:sz w:val="24"/>
          <w:szCs w:val="24"/>
        </w:rPr>
        <w:footnoteReference w:id="26"/>
      </w:r>
      <w:r w:rsidR="00F463D9" w:rsidRPr="00CF04BF">
        <w:rPr>
          <w:rFonts w:ascii="Times New Roman" w:hAnsi="Times New Roman" w:cs="Times New Roman"/>
          <w:color w:val="000000" w:themeColor="text1"/>
          <w:sz w:val="24"/>
          <w:szCs w:val="24"/>
        </w:rPr>
        <w:t>,</w:t>
      </w:r>
      <w:r w:rsidRPr="00CF04BF">
        <w:rPr>
          <w:rFonts w:ascii="Times New Roman" w:hAnsi="Times New Roman" w:cs="Times New Roman"/>
          <w:color w:val="000000" w:themeColor="text1"/>
          <w:sz w:val="24"/>
          <w:szCs w:val="24"/>
        </w:rPr>
        <w:t xml:space="preserve"> lo que hace constar que </w:t>
      </w:r>
      <w:r w:rsidR="00131F4B" w:rsidRPr="00CF04BF">
        <w:rPr>
          <w:rFonts w:ascii="Times New Roman" w:hAnsi="Times New Roman" w:cs="Times New Roman"/>
          <w:color w:val="000000" w:themeColor="text1"/>
          <w:sz w:val="24"/>
          <w:szCs w:val="24"/>
        </w:rPr>
        <w:t>C</w:t>
      </w:r>
      <w:r w:rsidRPr="00CF04BF">
        <w:rPr>
          <w:rFonts w:ascii="Times New Roman" w:hAnsi="Times New Roman" w:cs="Times New Roman"/>
          <w:color w:val="000000" w:themeColor="text1"/>
          <w:sz w:val="24"/>
          <w:szCs w:val="24"/>
        </w:rPr>
        <w:t xml:space="preserve"> se encontraba en una circunstancia especial, y que era el deber del Estado brindarle una protección especial, por ello </w:t>
      </w:r>
      <w:r w:rsidR="00131F4B" w:rsidRPr="00CF04BF">
        <w:rPr>
          <w:rFonts w:ascii="Times New Roman" w:hAnsi="Times New Roman" w:cs="Times New Roman"/>
          <w:color w:val="000000" w:themeColor="text1"/>
          <w:sz w:val="24"/>
          <w:szCs w:val="24"/>
        </w:rPr>
        <w:t>E</w:t>
      </w:r>
      <w:r w:rsidRPr="00CF04BF">
        <w:rPr>
          <w:rFonts w:ascii="Times New Roman" w:hAnsi="Times New Roman" w:cs="Times New Roman"/>
          <w:color w:val="000000" w:themeColor="text1"/>
          <w:sz w:val="24"/>
          <w:szCs w:val="24"/>
        </w:rPr>
        <w:t xml:space="preserve"> dicta ese ajuste razonable que es el estado de interdicción. Por consiguiente al ingresar a “La Casita” y no contar con familiares cercanos, la persona indicada para ser su tutora era la Dra. Lira, no para sustituir la voluntad de </w:t>
      </w:r>
      <w:r w:rsidR="00131F4B" w:rsidRPr="00CF04BF">
        <w:rPr>
          <w:rFonts w:ascii="Times New Roman" w:hAnsi="Times New Roman" w:cs="Times New Roman"/>
          <w:color w:val="000000" w:themeColor="text1"/>
          <w:sz w:val="24"/>
          <w:szCs w:val="24"/>
        </w:rPr>
        <w:t>C</w:t>
      </w:r>
      <w:r w:rsidRPr="00CF04BF">
        <w:rPr>
          <w:rFonts w:ascii="Times New Roman" w:hAnsi="Times New Roman" w:cs="Times New Roman"/>
          <w:color w:val="000000" w:themeColor="text1"/>
          <w:sz w:val="24"/>
          <w:szCs w:val="24"/>
        </w:rPr>
        <w:t xml:space="preserve">, sino para asistirla en la </w:t>
      </w:r>
      <w:r w:rsidR="008D7F5D" w:rsidRPr="00CF04BF">
        <w:rPr>
          <w:rFonts w:ascii="Times New Roman" w:hAnsi="Times New Roman" w:cs="Times New Roman"/>
          <w:sz w:val="24"/>
          <w:szCs w:val="24"/>
        </w:rPr>
        <w:t>toma de sus propias decisiones</w:t>
      </w:r>
      <w:r w:rsidRPr="00CF04BF">
        <w:rPr>
          <w:rFonts w:ascii="Times New Roman" w:hAnsi="Times New Roman" w:cs="Times New Roman"/>
          <w:sz w:val="24"/>
          <w:szCs w:val="24"/>
        </w:rPr>
        <w:t xml:space="preserve">, ello en </w:t>
      </w:r>
      <w:r w:rsidR="00F463D9" w:rsidRPr="00CF04BF">
        <w:rPr>
          <w:rFonts w:ascii="Times New Roman" w:hAnsi="Times New Roman" w:cs="Times New Roman"/>
          <w:sz w:val="24"/>
          <w:szCs w:val="24"/>
        </w:rPr>
        <w:t>aras de incentivar su autonomía</w:t>
      </w:r>
      <w:r w:rsidRPr="00CF04BF">
        <w:rPr>
          <w:rStyle w:val="FootnoteReference"/>
          <w:rFonts w:ascii="Times New Roman" w:hAnsi="Times New Roman" w:cs="Times New Roman"/>
          <w:sz w:val="24"/>
          <w:szCs w:val="24"/>
        </w:rPr>
        <w:footnoteReference w:id="27"/>
      </w:r>
      <w:r w:rsidR="00F463D9" w:rsidRPr="00CF04BF">
        <w:rPr>
          <w:rFonts w:ascii="Times New Roman" w:hAnsi="Times New Roman" w:cs="Times New Roman"/>
          <w:sz w:val="24"/>
          <w:szCs w:val="24"/>
        </w:rPr>
        <w:t xml:space="preserve">. </w:t>
      </w:r>
      <w:r w:rsidRPr="00CF04BF">
        <w:rPr>
          <w:rFonts w:ascii="Times New Roman" w:hAnsi="Times New Roman" w:cs="Times New Roman"/>
          <w:sz w:val="24"/>
          <w:szCs w:val="24"/>
        </w:rPr>
        <w:t>Para concluir, la Corte IDH  ha manifestado que la violación del rec</w:t>
      </w:r>
      <w:r w:rsidR="005424E7">
        <w:rPr>
          <w:rFonts w:ascii="Times New Roman" w:hAnsi="Times New Roman" w:cs="Times New Roman"/>
          <w:sz w:val="24"/>
          <w:szCs w:val="24"/>
        </w:rPr>
        <w:t>onocimiento de la personalidad j</w:t>
      </w:r>
      <w:r w:rsidRPr="00CF04BF">
        <w:rPr>
          <w:rFonts w:ascii="Times New Roman" w:hAnsi="Times New Roman" w:cs="Times New Roman"/>
          <w:sz w:val="24"/>
          <w:szCs w:val="24"/>
        </w:rPr>
        <w:t xml:space="preserve">urídica supone desconocer en términos absolutos la posibilidad de ser titular y gozar </w:t>
      </w:r>
      <w:r w:rsidR="00F463D9" w:rsidRPr="00CF04BF">
        <w:rPr>
          <w:rFonts w:ascii="Times New Roman" w:hAnsi="Times New Roman" w:cs="Times New Roman"/>
          <w:sz w:val="24"/>
          <w:szCs w:val="24"/>
        </w:rPr>
        <w:t>de esos derechos y obligaciones</w:t>
      </w:r>
      <w:r w:rsidRPr="00CF04BF">
        <w:rPr>
          <w:rStyle w:val="FootnoteReference"/>
          <w:rFonts w:ascii="Times New Roman" w:hAnsi="Times New Roman" w:cs="Times New Roman"/>
          <w:sz w:val="24"/>
          <w:szCs w:val="24"/>
        </w:rPr>
        <w:footnoteReference w:id="28"/>
      </w:r>
      <w:r w:rsidR="00F463D9" w:rsidRPr="00CF04BF">
        <w:rPr>
          <w:rFonts w:ascii="Times New Roman" w:hAnsi="Times New Roman" w:cs="Times New Roman"/>
          <w:sz w:val="24"/>
          <w:szCs w:val="24"/>
        </w:rPr>
        <w:t>,</w:t>
      </w:r>
      <w:r w:rsidRPr="00CF04BF">
        <w:rPr>
          <w:rFonts w:ascii="Times New Roman" w:hAnsi="Times New Roman" w:cs="Times New Roman"/>
          <w:sz w:val="24"/>
          <w:szCs w:val="24"/>
        </w:rPr>
        <w:t xml:space="preserve"> y tal como se ha demostrado el estado de interdicción es una ajuste </w:t>
      </w:r>
      <w:r w:rsidR="00D02E01">
        <w:rPr>
          <w:rFonts w:ascii="Times New Roman" w:hAnsi="Times New Roman" w:cs="Times New Roman"/>
          <w:sz w:val="24"/>
          <w:szCs w:val="24"/>
        </w:rPr>
        <w:t xml:space="preserve">razonable, </w:t>
      </w:r>
      <w:r w:rsidRPr="00CF04BF">
        <w:rPr>
          <w:rFonts w:ascii="Times New Roman" w:hAnsi="Times New Roman" w:cs="Times New Roman"/>
          <w:sz w:val="24"/>
          <w:szCs w:val="24"/>
        </w:rPr>
        <w:t xml:space="preserve">en virtud del cual, se busca una nivelación contextual al considerar que ciertas personas con diversidades funcionales como </w:t>
      </w:r>
      <w:r w:rsidR="00131F4B" w:rsidRPr="00CF04BF">
        <w:rPr>
          <w:rFonts w:ascii="Times New Roman" w:hAnsi="Times New Roman" w:cs="Times New Roman"/>
          <w:sz w:val="24"/>
          <w:szCs w:val="24"/>
        </w:rPr>
        <w:t>C</w:t>
      </w:r>
      <w:r w:rsidRPr="00CF04BF">
        <w:rPr>
          <w:rFonts w:ascii="Times New Roman" w:hAnsi="Times New Roman" w:cs="Times New Roman"/>
          <w:sz w:val="24"/>
          <w:szCs w:val="24"/>
        </w:rPr>
        <w:t xml:space="preserve">, requieren de asistencia para ejercer sus derechos, por lo tanto no supone desconocer en términos absolutos su personalidad jurídica. Es por </w:t>
      </w:r>
      <w:r w:rsidR="008D7F5D" w:rsidRPr="00CF04BF">
        <w:rPr>
          <w:rFonts w:ascii="Times New Roman" w:hAnsi="Times New Roman" w:cs="Times New Roman"/>
          <w:sz w:val="24"/>
          <w:szCs w:val="24"/>
        </w:rPr>
        <w:t xml:space="preserve">ello, que se solicita a esta </w:t>
      </w:r>
      <w:r w:rsidRPr="00CF04BF">
        <w:rPr>
          <w:rFonts w:ascii="Times New Roman" w:hAnsi="Times New Roman" w:cs="Times New Roman"/>
          <w:sz w:val="24"/>
          <w:szCs w:val="24"/>
        </w:rPr>
        <w:t>Corte</w:t>
      </w:r>
      <w:r w:rsidR="008D7F5D" w:rsidRPr="00CF04BF">
        <w:rPr>
          <w:rFonts w:ascii="Times New Roman" w:hAnsi="Times New Roman" w:cs="Times New Roman"/>
          <w:sz w:val="24"/>
          <w:szCs w:val="24"/>
        </w:rPr>
        <w:t xml:space="preserve"> </w:t>
      </w:r>
      <w:r w:rsidRPr="00CF04BF">
        <w:rPr>
          <w:rFonts w:ascii="Times New Roman" w:hAnsi="Times New Roman" w:cs="Times New Roman"/>
          <w:sz w:val="24"/>
          <w:szCs w:val="24"/>
        </w:rPr>
        <w:t>que declare la no violación del Art. 3 de la CADH.</w:t>
      </w:r>
    </w:p>
    <w:p w:rsidR="008A6376" w:rsidRPr="00CF04BF" w:rsidRDefault="00F75298" w:rsidP="009972EA">
      <w:pPr>
        <w:spacing w:after="0" w:line="480" w:lineRule="auto"/>
        <w:jc w:val="both"/>
        <w:rPr>
          <w:rFonts w:ascii="Times New Roman" w:hAnsi="Times New Roman" w:cs="Times New Roman"/>
          <w:b/>
          <w:color w:val="000000" w:themeColor="text1"/>
          <w:sz w:val="24"/>
          <w:szCs w:val="24"/>
        </w:rPr>
      </w:pPr>
      <w:r w:rsidRPr="00CF04BF">
        <w:rPr>
          <w:rFonts w:ascii="Times New Roman" w:hAnsi="Times New Roman" w:cs="Times New Roman"/>
          <w:b/>
          <w:color w:val="000000" w:themeColor="text1"/>
          <w:sz w:val="24"/>
          <w:szCs w:val="24"/>
        </w:rPr>
        <w:lastRenderedPageBreak/>
        <w:t>2.3</w:t>
      </w:r>
      <w:r w:rsidR="008A6376" w:rsidRPr="00CF04BF">
        <w:rPr>
          <w:rFonts w:ascii="Times New Roman" w:hAnsi="Times New Roman" w:cs="Times New Roman"/>
          <w:b/>
          <w:color w:val="000000" w:themeColor="text1"/>
          <w:sz w:val="24"/>
          <w:szCs w:val="24"/>
        </w:rPr>
        <w:t xml:space="preserve">.1.1. </w:t>
      </w:r>
      <w:r w:rsidR="00131F4B" w:rsidRPr="00CF04BF">
        <w:rPr>
          <w:rFonts w:ascii="Times New Roman" w:hAnsi="Times New Roman" w:cs="Times New Roman"/>
          <w:b/>
          <w:color w:val="000000" w:themeColor="text1"/>
          <w:sz w:val="24"/>
          <w:szCs w:val="24"/>
        </w:rPr>
        <w:t>E</w:t>
      </w:r>
      <w:r w:rsidR="00962BBE" w:rsidRPr="00CF04BF">
        <w:rPr>
          <w:rFonts w:ascii="Times New Roman" w:hAnsi="Times New Roman" w:cs="Times New Roman"/>
          <w:b/>
          <w:color w:val="000000" w:themeColor="text1"/>
          <w:sz w:val="24"/>
          <w:szCs w:val="24"/>
        </w:rPr>
        <w:t>xclutia</w:t>
      </w:r>
      <w:r w:rsidR="008A6376" w:rsidRPr="00CF04BF">
        <w:rPr>
          <w:rFonts w:ascii="Times New Roman" w:hAnsi="Times New Roman" w:cs="Times New Roman"/>
          <w:b/>
          <w:color w:val="000000" w:themeColor="text1"/>
          <w:sz w:val="24"/>
          <w:szCs w:val="24"/>
        </w:rPr>
        <w:t xml:space="preserve"> respetó el Art. 24 </w:t>
      </w:r>
      <w:r w:rsidRPr="00CF04BF">
        <w:rPr>
          <w:rFonts w:ascii="Times New Roman" w:hAnsi="Times New Roman" w:cs="Times New Roman"/>
          <w:b/>
          <w:color w:val="000000" w:themeColor="text1"/>
          <w:sz w:val="24"/>
          <w:szCs w:val="24"/>
        </w:rPr>
        <w:t xml:space="preserve">en relación con el Art. 3 </w:t>
      </w:r>
      <w:r w:rsidR="008A6376" w:rsidRPr="00CF04BF">
        <w:rPr>
          <w:rFonts w:ascii="Times New Roman" w:hAnsi="Times New Roman" w:cs="Times New Roman"/>
          <w:b/>
          <w:color w:val="000000" w:themeColor="text1"/>
          <w:sz w:val="24"/>
          <w:szCs w:val="24"/>
        </w:rPr>
        <w:t>de la CADH.</w:t>
      </w:r>
    </w:p>
    <w:p w:rsidR="008A6376" w:rsidRPr="00CF04BF" w:rsidRDefault="00962BBE" w:rsidP="009972EA">
      <w:pPr>
        <w:spacing w:after="0" w:line="480" w:lineRule="auto"/>
        <w:jc w:val="both"/>
        <w:rPr>
          <w:rFonts w:ascii="Times New Roman" w:hAnsi="Times New Roman" w:cs="Times New Roman"/>
          <w:color w:val="000000" w:themeColor="text1"/>
          <w:sz w:val="24"/>
          <w:szCs w:val="24"/>
        </w:rPr>
      </w:pPr>
      <w:r w:rsidRPr="00CF04BF">
        <w:rPr>
          <w:rFonts w:ascii="Times New Roman" w:hAnsi="Times New Roman" w:cs="Times New Roman"/>
          <w:sz w:val="24"/>
          <w:szCs w:val="24"/>
          <w:lang w:val="es-ES_tradnl"/>
        </w:rPr>
        <w:t>L</w:t>
      </w:r>
      <w:r w:rsidR="008A6376" w:rsidRPr="00CF04BF">
        <w:rPr>
          <w:rFonts w:ascii="Times New Roman" w:hAnsi="Times New Roman" w:cs="Times New Roman"/>
          <w:sz w:val="24"/>
          <w:szCs w:val="24"/>
          <w:lang w:val="es-ES_tradnl"/>
        </w:rPr>
        <w:t xml:space="preserve">a Corte IDH </w:t>
      </w:r>
      <w:r w:rsidR="008A6376" w:rsidRPr="00CF04BF">
        <w:rPr>
          <w:rFonts w:ascii="Times New Roman" w:hAnsi="Times New Roman" w:cs="Times New Roman"/>
          <w:sz w:val="24"/>
          <w:szCs w:val="24"/>
        </w:rPr>
        <w:t>ha indicado que e</w:t>
      </w:r>
      <w:r w:rsidR="008A6376" w:rsidRPr="00CF04BF">
        <w:rPr>
          <w:rFonts w:ascii="Times New Roman" w:hAnsi="Times New Roman" w:cs="Times New Roman"/>
          <w:sz w:val="24"/>
          <w:szCs w:val="24"/>
          <w:lang w:val="es-ES_tradnl"/>
        </w:rPr>
        <w:t xml:space="preserve">l art. 24 de la CADH prohíbe la discriminación de derecho o de hecho, no sólo en cuanto a los derechos consagrados en dicho tratado, sino en lo que respecta a todas las leyes que apruebe el Estado y a su aplicación, es decir, </w:t>
      </w:r>
      <w:r w:rsidR="008A6376" w:rsidRPr="00CF04BF">
        <w:rPr>
          <w:rFonts w:ascii="Times New Roman" w:hAnsi="Times New Roman" w:cs="Times New Roman"/>
          <w:sz w:val="24"/>
          <w:szCs w:val="24"/>
        </w:rPr>
        <w:t>se prohíbe todo tratamiento discriminatorio</w:t>
      </w:r>
      <w:r w:rsidR="008A6376" w:rsidRPr="00CF04BF">
        <w:rPr>
          <w:rStyle w:val="FootnoteReference"/>
          <w:rFonts w:ascii="Times New Roman" w:hAnsi="Times New Roman" w:cs="Times New Roman"/>
          <w:sz w:val="24"/>
          <w:szCs w:val="24"/>
        </w:rPr>
        <w:footnoteReference w:id="29"/>
      </w:r>
      <w:r w:rsidR="008A6376" w:rsidRPr="00CF04BF">
        <w:rPr>
          <w:rFonts w:ascii="Times New Roman" w:hAnsi="Times New Roman" w:cs="Times New Roman"/>
          <w:sz w:val="24"/>
          <w:szCs w:val="24"/>
        </w:rPr>
        <w:t>.</w:t>
      </w:r>
      <w:r w:rsidR="008A6376" w:rsidRPr="00CF04BF">
        <w:rPr>
          <w:rFonts w:ascii="Times New Roman" w:hAnsi="Times New Roman" w:cs="Times New Roman"/>
          <w:sz w:val="24"/>
          <w:szCs w:val="24"/>
          <w:lang w:val="es-ES_tradnl"/>
        </w:rPr>
        <w:t xml:space="preserve"> </w:t>
      </w:r>
      <w:r w:rsidRPr="00CF04BF">
        <w:rPr>
          <w:rFonts w:ascii="Times New Roman" w:hAnsi="Times New Roman" w:cs="Times New Roman"/>
          <w:sz w:val="24"/>
          <w:szCs w:val="24"/>
          <w:lang w:val="es-ES_tradnl"/>
        </w:rPr>
        <w:t xml:space="preserve">Así, </w:t>
      </w:r>
      <w:r w:rsidR="008A6376" w:rsidRPr="00CF04BF">
        <w:rPr>
          <w:rFonts w:ascii="Times New Roman" w:hAnsi="Times New Roman" w:cs="Times New Roman"/>
          <w:sz w:val="24"/>
          <w:szCs w:val="24"/>
          <w:lang w:val="es-ES_tradnl"/>
        </w:rPr>
        <w:t xml:space="preserve">el estado de Interdicción de </w:t>
      </w:r>
      <w:r w:rsidR="00131F4B" w:rsidRPr="00CF04BF">
        <w:rPr>
          <w:rFonts w:ascii="Times New Roman" w:hAnsi="Times New Roman" w:cs="Times New Roman"/>
          <w:sz w:val="24"/>
          <w:szCs w:val="24"/>
          <w:lang w:val="es-ES_tradnl"/>
        </w:rPr>
        <w:t>C</w:t>
      </w:r>
      <w:r w:rsidR="005424E7">
        <w:rPr>
          <w:rFonts w:ascii="Times New Roman" w:hAnsi="Times New Roman" w:cs="Times New Roman"/>
          <w:sz w:val="24"/>
          <w:szCs w:val="24"/>
          <w:lang w:val="es-ES_tradnl"/>
        </w:rPr>
        <w:t xml:space="preserve"> </w:t>
      </w:r>
      <w:r w:rsidR="008A6376" w:rsidRPr="00CF04BF">
        <w:rPr>
          <w:rFonts w:ascii="Times New Roman" w:hAnsi="Times New Roman" w:cs="Times New Roman"/>
          <w:color w:val="000000" w:themeColor="text1"/>
          <w:sz w:val="24"/>
          <w:szCs w:val="24"/>
        </w:rPr>
        <w:t xml:space="preserve">no representa un tratamiento discriminatorio, sino es una distinción necesaria. Por lo que </w:t>
      </w:r>
      <w:r w:rsidR="008A6376" w:rsidRPr="00CF04BF">
        <w:rPr>
          <w:rFonts w:ascii="Times New Roman" w:hAnsi="Times New Roman" w:cs="Times New Roman"/>
          <w:sz w:val="24"/>
          <w:szCs w:val="24"/>
        </w:rPr>
        <w:t xml:space="preserve">si bien </w:t>
      </w:r>
      <w:r w:rsidR="00131F4B" w:rsidRPr="00CF04BF">
        <w:rPr>
          <w:rFonts w:ascii="Times New Roman" w:hAnsi="Times New Roman" w:cs="Times New Roman"/>
          <w:sz w:val="24"/>
          <w:szCs w:val="24"/>
        </w:rPr>
        <w:t>E</w:t>
      </w:r>
      <w:r w:rsidR="008A6376" w:rsidRPr="00CF04BF">
        <w:rPr>
          <w:rFonts w:ascii="Times New Roman" w:hAnsi="Times New Roman" w:cs="Times New Roman"/>
          <w:sz w:val="24"/>
          <w:szCs w:val="24"/>
        </w:rPr>
        <w:t xml:space="preserve"> reconoce que las medidas relacionadas con la discapacidad buscan la igualdad y no discriminación, también considera pertinente recordar que “los derechos consagrados en la CADH no son absolutos, en el sentido de que su ejercicio se halle exento de </w:t>
      </w:r>
      <w:r w:rsidRPr="00CF04BF">
        <w:rPr>
          <w:rFonts w:ascii="Times New Roman" w:hAnsi="Times New Roman" w:cs="Times New Roman"/>
          <w:sz w:val="24"/>
          <w:szCs w:val="24"/>
        </w:rPr>
        <w:t>límites y controles legítimos”</w:t>
      </w:r>
      <w:r w:rsidR="008A6376" w:rsidRPr="00CF04BF">
        <w:rPr>
          <w:rStyle w:val="FootnoteReference"/>
          <w:rFonts w:ascii="Times New Roman" w:hAnsi="Times New Roman" w:cs="Times New Roman"/>
          <w:sz w:val="24"/>
          <w:szCs w:val="24"/>
        </w:rPr>
        <w:footnoteReference w:id="30"/>
      </w:r>
      <w:r w:rsidRPr="00CF04BF">
        <w:rPr>
          <w:rFonts w:ascii="Times New Roman" w:hAnsi="Times New Roman" w:cs="Times New Roman"/>
          <w:sz w:val="24"/>
          <w:szCs w:val="24"/>
        </w:rPr>
        <w:t>.</w:t>
      </w:r>
      <w:r w:rsidR="008A6376" w:rsidRPr="00CF04BF">
        <w:rPr>
          <w:rFonts w:ascii="Times New Roman" w:hAnsi="Times New Roman" w:cs="Times New Roman"/>
          <w:sz w:val="24"/>
          <w:szCs w:val="24"/>
        </w:rPr>
        <w:t>De lo anterior se desprende que no todas las diferencias de trato están prohibidas, por lo que la Corte IDH ha distinguido entre “discriminaciones” y “distinciones”. Las primeras constituyen diferencias arbitraria</w:t>
      </w:r>
      <w:r w:rsidRPr="00CF04BF">
        <w:rPr>
          <w:rFonts w:ascii="Times New Roman" w:hAnsi="Times New Roman" w:cs="Times New Roman"/>
          <w:sz w:val="24"/>
          <w:szCs w:val="24"/>
        </w:rPr>
        <w:t>s que vulneran derechos humanos</w:t>
      </w:r>
      <w:r w:rsidR="008A6376" w:rsidRPr="00CF04BF">
        <w:rPr>
          <w:rStyle w:val="FootnoteReference"/>
          <w:rFonts w:ascii="Times New Roman" w:hAnsi="Times New Roman" w:cs="Times New Roman"/>
          <w:sz w:val="24"/>
          <w:szCs w:val="24"/>
        </w:rPr>
        <w:footnoteReference w:id="31"/>
      </w:r>
      <w:r w:rsidRPr="00CF04BF">
        <w:rPr>
          <w:rFonts w:ascii="Times New Roman" w:hAnsi="Times New Roman" w:cs="Times New Roman"/>
          <w:sz w:val="24"/>
          <w:szCs w:val="24"/>
        </w:rPr>
        <w:t>,</w:t>
      </w:r>
      <w:r w:rsidR="008A6376" w:rsidRPr="00CF04BF">
        <w:rPr>
          <w:rFonts w:ascii="Times New Roman" w:hAnsi="Times New Roman" w:cs="Times New Roman"/>
          <w:sz w:val="24"/>
          <w:szCs w:val="24"/>
        </w:rPr>
        <w:t xml:space="preserve"> mientras que las segundas son diferencias compatibles con la CADH por ser razonab</w:t>
      </w:r>
      <w:r w:rsidRPr="00CF04BF">
        <w:rPr>
          <w:rFonts w:ascii="Times New Roman" w:hAnsi="Times New Roman" w:cs="Times New Roman"/>
          <w:sz w:val="24"/>
          <w:szCs w:val="24"/>
        </w:rPr>
        <w:t>les, proporcionales y objetivas</w:t>
      </w:r>
      <w:r w:rsidR="008A6376" w:rsidRPr="00CF04BF">
        <w:rPr>
          <w:rStyle w:val="FootnoteReference"/>
          <w:rFonts w:ascii="Times New Roman" w:hAnsi="Times New Roman" w:cs="Times New Roman"/>
          <w:sz w:val="24"/>
          <w:szCs w:val="24"/>
        </w:rPr>
        <w:footnoteReference w:id="32"/>
      </w:r>
      <w:r w:rsidRPr="00CF04BF">
        <w:rPr>
          <w:rFonts w:ascii="Times New Roman" w:hAnsi="Times New Roman" w:cs="Times New Roman"/>
          <w:sz w:val="24"/>
          <w:szCs w:val="24"/>
        </w:rPr>
        <w:t>.</w:t>
      </w:r>
      <w:r w:rsidR="008A6376" w:rsidRPr="00CF04BF">
        <w:rPr>
          <w:rFonts w:ascii="Times New Roman" w:hAnsi="Times New Roman" w:cs="Times New Roman"/>
          <w:sz w:val="24"/>
          <w:szCs w:val="24"/>
        </w:rPr>
        <w:t>Para determinar lo anterior, la jurisprudencia de la Corte IDH y de otros organismos internacionales, han estipulado que toda medida restrictiva de derechos debe cumplir con ciertos requisitos fundamentales, los cuales son: que se persiga un fin legítimo, y que la medida sea idónea, necesaria, y proporcional en sent</w:t>
      </w:r>
      <w:r w:rsidRPr="00CF04BF">
        <w:rPr>
          <w:rFonts w:ascii="Times New Roman" w:hAnsi="Times New Roman" w:cs="Times New Roman"/>
          <w:sz w:val="24"/>
          <w:szCs w:val="24"/>
        </w:rPr>
        <w:t>ido estricto</w:t>
      </w:r>
      <w:r w:rsidR="008A6376" w:rsidRPr="00CF04BF">
        <w:rPr>
          <w:rStyle w:val="FootnoteReference"/>
          <w:rFonts w:ascii="Times New Roman" w:hAnsi="Times New Roman" w:cs="Times New Roman"/>
          <w:sz w:val="24"/>
          <w:szCs w:val="24"/>
        </w:rPr>
        <w:footnoteReference w:id="33"/>
      </w:r>
      <w:r w:rsidRPr="00CF04BF">
        <w:rPr>
          <w:rFonts w:ascii="Times New Roman" w:hAnsi="Times New Roman" w:cs="Times New Roman"/>
          <w:sz w:val="24"/>
          <w:szCs w:val="24"/>
        </w:rPr>
        <w:t>.</w:t>
      </w:r>
    </w:p>
    <w:p w:rsidR="008A6376" w:rsidRPr="00CF04BF" w:rsidRDefault="008A6376" w:rsidP="009972EA">
      <w:pPr>
        <w:spacing w:after="0" w:line="480" w:lineRule="auto"/>
        <w:jc w:val="both"/>
        <w:rPr>
          <w:rFonts w:ascii="Times New Roman" w:hAnsi="Times New Roman" w:cs="Times New Roman"/>
          <w:sz w:val="24"/>
          <w:szCs w:val="24"/>
        </w:rPr>
      </w:pPr>
      <w:r w:rsidRPr="00CF04BF">
        <w:rPr>
          <w:rFonts w:ascii="Times New Roman" w:hAnsi="Times New Roman" w:cs="Times New Roman"/>
          <w:sz w:val="24"/>
          <w:szCs w:val="24"/>
        </w:rPr>
        <w:lastRenderedPageBreak/>
        <w:t>La institución jurídica de interdicción contemplada en el Art. 41 del Código C</w:t>
      </w:r>
      <w:r w:rsidR="00CB11FB" w:rsidRPr="00CF04BF">
        <w:rPr>
          <w:rFonts w:ascii="Times New Roman" w:hAnsi="Times New Roman" w:cs="Times New Roman"/>
          <w:sz w:val="24"/>
          <w:szCs w:val="24"/>
        </w:rPr>
        <w:t xml:space="preserve">ivil </w:t>
      </w:r>
      <w:r w:rsidRPr="00CF04BF">
        <w:rPr>
          <w:rFonts w:ascii="Times New Roman" w:hAnsi="Times New Roman" w:cs="Times New Roman"/>
          <w:sz w:val="24"/>
          <w:szCs w:val="24"/>
        </w:rPr>
        <w:t>cumple con los requisitos antes men</w:t>
      </w:r>
      <w:r w:rsidR="00962BBE" w:rsidRPr="00CF04BF">
        <w:rPr>
          <w:rFonts w:ascii="Times New Roman" w:hAnsi="Times New Roman" w:cs="Times New Roman"/>
          <w:sz w:val="24"/>
          <w:szCs w:val="24"/>
        </w:rPr>
        <w:t>cionados ya que su fin legítimo</w:t>
      </w:r>
      <w:r w:rsidRPr="00CF04BF">
        <w:rPr>
          <w:rStyle w:val="FootnoteReference"/>
          <w:rFonts w:ascii="Times New Roman" w:hAnsi="Times New Roman" w:cs="Times New Roman"/>
          <w:sz w:val="24"/>
          <w:szCs w:val="24"/>
        </w:rPr>
        <w:footnoteReference w:id="34"/>
      </w:r>
      <w:r w:rsidR="00962BBE" w:rsidRPr="00CF04BF">
        <w:rPr>
          <w:rFonts w:ascii="Times New Roman" w:hAnsi="Times New Roman" w:cs="Times New Roman"/>
          <w:sz w:val="24"/>
          <w:szCs w:val="24"/>
        </w:rPr>
        <w:t>,</w:t>
      </w:r>
      <w:r w:rsidR="005424E7">
        <w:rPr>
          <w:rFonts w:ascii="Times New Roman" w:hAnsi="Times New Roman" w:cs="Times New Roman"/>
          <w:sz w:val="24"/>
          <w:szCs w:val="24"/>
        </w:rPr>
        <w:t xml:space="preserve"> </w:t>
      </w:r>
      <w:r w:rsidRPr="00CF04BF">
        <w:rPr>
          <w:rFonts w:ascii="Times New Roman" w:hAnsi="Times New Roman" w:cs="Times New Roman"/>
          <w:sz w:val="24"/>
          <w:szCs w:val="24"/>
        </w:rPr>
        <w:t>es procurar que las personas con discapacidad, a quiénes se le dificulta realizar ciertas tareas y acciones, ejerzan plenamente sus derechos a través de</w:t>
      </w:r>
      <w:r w:rsidR="00962BBE" w:rsidRPr="00CF04BF">
        <w:rPr>
          <w:rFonts w:ascii="Times New Roman" w:hAnsi="Times New Roman" w:cs="Times New Roman"/>
          <w:sz w:val="24"/>
          <w:szCs w:val="24"/>
        </w:rPr>
        <w:t xml:space="preserve"> la asistencia de otra persona. </w:t>
      </w:r>
      <w:r w:rsidRPr="00CF04BF">
        <w:rPr>
          <w:rFonts w:ascii="Times New Roman" w:hAnsi="Times New Roman" w:cs="Times New Roman"/>
          <w:sz w:val="24"/>
          <w:szCs w:val="24"/>
        </w:rPr>
        <w:t>La norma en cuestión también cumple con el requisito de idoneidad, consiste</w:t>
      </w:r>
      <w:r w:rsidR="00C81B13" w:rsidRPr="00CF04BF">
        <w:rPr>
          <w:rFonts w:ascii="Times New Roman" w:hAnsi="Times New Roman" w:cs="Times New Roman"/>
          <w:sz w:val="24"/>
          <w:szCs w:val="24"/>
        </w:rPr>
        <w:t xml:space="preserve">nte en que se trate de un medio </w:t>
      </w:r>
      <w:r w:rsidRPr="00CF04BF">
        <w:rPr>
          <w:rFonts w:ascii="Times New Roman" w:hAnsi="Times New Roman" w:cs="Times New Roman"/>
          <w:sz w:val="24"/>
          <w:szCs w:val="24"/>
        </w:rPr>
        <w:t>adecuado para contribuir a la obtención de una f</w:t>
      </w:r>
      <w:r w:rsidR="00C81B13" w:rsidRPr="00CF04BF">
        <w:rPr>
          <w:rFonts w:ascii="Times New Roman" w:hAnsi="Times New Roman" w:cs="Times New Roman"/>
          <w:sz w:val="24"/>
          <w:szCs w:val="24"/>
        </w:rPr>
        <w:t>inalidad compatible con la CADH</w:t>
      </w:r>
      <w:r w:rsidRPr="00CF04BF">
        <w:rPr>
          <w:rStyle w:val="FootnoteReference"/>
          <w:rFonts w:ascii="Times New Roman" w:hAnsi="Times New Roman" w:cs="Times New Roman"/>
          <w:sz w:val="24"/>
          <w:szCs w:val="24"/>
        </w:rPr>
        <w:footnoteReference w:id="35"/>
      </w:r>
      <w:r w:rsidR="00C81B13" w:rsidRPr="00CF04BF">
        <w:rPr>
          <w:rFonts w:ascii="Times New Roman" w:hAnsi="Times New Roman" w:cs="Times New Roman"/>
          <w:sz w:val="24"/>
          <w:szCs w:val="24"/>
        </w:rPr>
        <w:t>,</w:t>
      </w:r>
      <w:r w:rsidRPr="00CF04BF">
        <w:rPr>
          <w:rFonts w:ascii="Times New Roman" w:hAnsi="Times New Roman" w:cs="Times New Roman"/>
          <w:sz w:val="24"/>
          <w:szCs w:val="24"/>
        </w:rPr>
        <w:t xml:space="preserve"> el juicio de interdicción cumple con esto al ser un ajuste razonable que genera las condiciones que permiten a las personas con discapacidad gozar de sus derechos civiles y políticos, así como sus derechos económicos, sociales y culturales.</w:t>
      </w:r>
    </w:p>
    <w:p w:rsidR="008A6376" w:rsidRPr="00CF04BF" w:rsidRDefault="008A6376" w:rsidP="009972EA">
      <w:pPr>
        <w:spacing w:after="0" w:line="480" w:lineRule="auto"/>
        <w:jc w:val="both"/>
        <w:rPr>
          <w:rFonts w:ascii="Times New Roman" w:hAnsi="Times New Roman" w:cs="Times New Roman"/>
          <w:sz w:val="24"/>
          <w:szCs w:val="24"/>
        </w:rPr>
      </w:pPr>
      <w:r w:rsidRPr="00CF04BF">
        <w:rPr>
          <w:rFonts w:ascii="Times New Roman" w:hAnsi="Times New Roman" w:cs="Times New Roman"/>
          <w:sz w:val="24"/>
          <w:szCs w:val="24"/>
        </w:rPr>
        <w:t>En cuanto al requisito de necesidad, que radica en que no existan otras al</w:t>
      </w:r>
      <w:r w:rsidR="00C81B13" w:rsidRPr="00CF04BF">
        <w:rPr>
          <w:rFonts w:ascii="Times New Roman" w:hAnsi="Times New Roman" w:cs="Times New Roman"/>
          <w:sz w:val="24"/>
          <w:szCs w:val="24"/>
        </w:rPr>
        <w:t>ternativas para alcanzar el fin</w:t>
      </w:r>
      <w:r w:rsidRPr="00CF04BF">
        <w:rPr>
          <w:rStyle w:val="FootnoteReference"/>
          <w:rFonts w:ascii="Times New Roman" w:hAnsi="Times New Roman" w:cs="Times New Roman"/>
          <w:sz w:val="24"/>
          <w:szCs w:val="24"/>
        </w:rPr>
        <w:footnoteReference w:id="36"/>
      </w:r>
      <w:r w:rsidR="00C81B13" w:rsidRPr="00CF04BF">
        <w:rPr>
          <w:rFonts w:ascii="Times New Roman" w:hAnsi="Times New Roman" w:cs="Times New Roman"/>
          <w:sz w:val="24"/>
          <w:szCs w:val="24"/>
        </w:rPr>
        <w:t>,</w:t>
      </w:r>
      <w:r w:rsidRPr="00CF04BF">
        <w:rPr>
          <w:rFonts w:ascii="Times New Roman" w:hAnsi="Times New Roman" w:cs="Times New Roman"/>
          <w:sz w:val="24"/>
          <w:szCs w:val="24"/>
        </w:rPr>
        <w:t xml:space="preserve"> es preciso afirmar que el juicio de interdicción cumple con esto, en tanto ninguna otra medida,  que no dañe derechos humanos, lograría este cometido de forma efectiva.  Por último, la proporcionalidad en sentido estricto por parte de la norma debe considerarse cumplida</w:t>
      </w:r>
      <w:r w:rsidR="00D27194">
        <w:rPr>
          <w:rFonts w:ascii="Times New Roman" w:hAnsi="Times New Roman" w:cs="Times New Roman"/>
          <w:sz w:val="24"/>
          <w:szCs w:val="24"/>
        </w:rPr>
        <w:t xml:space="preserve"> si “el sacrificio inherente a (</w:t>
      </w:r>
      <w:r w:rsidRPr="00CF04BF">
        <w:rPr>
          <w:rFonts w:ascii="Times New Roman" w:hAnsi="Times New Roman" w:cs="Times New Roman"/>
          <w:sz w:val="24"/>
          <w:szCs w:val="24"/>
        </w:rPr>
        <w:t>la restricción</w:t>
      </w:r>
      <w:r w:rsidR="00D27194">
        <w:rPr>
          <w:rFonts w:ascii="Times New Roman" w:hAnsi="Times New Roman" w:cs="Times New Roman"/>
          <w:sz w:val="24"/>
          <w:szCs w:val="24"/>
        </w:rPr>
        <w:t>)</w:t>
      </w:r>
      <w:r w:rsidRPr="00CF04BF">
        <w:rPr>
          <w:rFonts w:ascii="Times New Roman" w:hAnsi="Times New Roman" w:cs="Times New Roman"/>
          <w:sz w:val="24"/>
          <w:szCs w:val="24"/>
        </w:rPr>
        <w:t xml:space="preserve"> no resulta exagerado o desmedido frente a las ventajas que se ob</w:t>
      </w:r>
      <w:r w:rsidR="00C81B13" w:rsidRPr="00CF04BF">
        <w:rPr>
          <w:rFonts w:ascii="Times New Roman" w:hAnsi="Times New Roman" w:cs="Times New Roman"/>
          <w:sz w:val="24"/>
          <w:szCs w:val="24"/>
        </w:rPr>
        <w:t>tienen mediante tal limitación”</w:t>
      </w:r>
      <w:r w:rsidRPr="00CF04BF">
        <w:rPr>
          <w:rStyle w:val="FootnoteReference"/>
          <w:rFonts w:ascii="Times New Roman" w:hAnsi="Times New Roman" w:cs="Times New Roman"/>
          <w:sz w:val="24"/>
          <w:szCs w:val="24"/>
        </w:rPr>
        <w:footnoteReference w:id="37"/>
      </w:r>
      <w:r w:rsidR="00C81B13" w:rsidRPr="00CF04BF">
        <w:rPr>
          <w:rFonts w:ascii="Times New Roman" w:hAnsi="Times New Roman" w:cs="Times New Roman"/>
          <w:sz w:val="24"/>
          <w:szCs w:val="24"/>
        </w:rPr>
        <w:t>.</w:t>
      </w:r>
      <w:r w:rsidRPr="00CF04BF">
        <w:rPr>
          <w:rFonts w:ascii="Times New Roman" w:hAnsi="Times New Roman" w:cs="Times New Roman"/>
          <w:sz w:val="24"/>
          <w:szCs w:val="24"/>
        </w:rPr>
        <w:t>Este requisito se cumple en el presente caso ya que la pequeña restricción a la capacidad jurídica del individuo se encuentra justificada por la necesidad de salvaguardar sus derechos mediante la asistencia de otra persona</w:t>
      </w:r>
      <w:r w:rsidRPr="00CF04BF">
        <w:rPr>
          <w:rStyle w:val="FootnoteReference"/>
          <w:rFonts w:ascii="Times New Roman" w:hAnsi="Times New Roman" w:cs="Times New Roman"/>
          <w:sz w:val="24"/>
          <w:szCs w:val="24"/>
        </w:rPr>
        <w:footnoteReference w:id="38"/>
      </w:r>
      <w:r w:rsidR="00C81B13" w:rsidRPr="00CF04BF">
        <w:rPr>
          <w:rFonts w:ascii="Times New Roman" w:hAnsi="Times New Roman" w:cs="Times New Roman"/>
          <w:sz w:val="24"/>
          <w:szCs w:val="24"/>
        </w:rPr>
        <w:t>.</w:t>
      </w:r>
      <w:r w:rsidRPr="00CF04BF">
        <w:rPr>
          <w:rFonts w:ascii="Times New Roman" w:hAnsi="Times New Roman" w:cs="Times New Roman"/>
          <w:sz w:val="24"/>
          <w:szCs w:val="24"/>
        </w:rPr>
        <w:t xml:space="preserve">Por lo ya mencionado, es claro que el trato diferenciado de las personas con discapacidad por </w:t>
      </w:r>
      <w:r w:rsidR="00CB11FB" w:rsidRPr="00CF04BF">
        <w:rPr>
          <w:rFonts w:ascii="Times New Roman" w:hAnsi="Times New Roman" w:cs="Times New Roman"/>
          <w:sz w:val="24"/>
          <w:szCs w:val="24"/>
        </w:rPr>
        <w:t>medio del Art. 41 del Código Civil</w:t>
      </w:r>
      <w:r w:rsidRPr="00CF04BF">
        <w:rPr>
          <w:rFonts w:ascii="Times New Roman" w:hAnsi="Times New Roman" w:cs="Times New Roman"/>
          <w:sz w:val="24"/>
          <w:szCs w:val="24"/>
        </w:rPr>
        <w:t xml:space="preserve">, </w:t>
      </w:r>
      <w:r w:rsidRPr="00CF04BF">
        <w:rPr>
          <w:rFonts w:ascii="Times New Roman" w:hAnsi="Times New Roman" w:cs="Times New Roman"/>
          <w:sz w:val="24"/>
          <w:szCs w:val="24"/>
        </w:rPr>
        <w:lastRenderedPageBreak/>
        <w:t xml:space="preserve">en el caso </w:t>
      </w:r>
      <w:r w:rsidRPr="00CF04BF">
        <w:rPr>
          <w:rFonts w:ascii="Times New Roman" w:hAnsi="Times New Roman" w:cs="Times New Roman"/>
          <w:i/>
          <w:sz w:val="24"/>
          <w:szCs w:val="24"/>
        </w:rPr>
        <w:t>sub judice</w:t>
      </w:r>
      <w:r w:rsidRPr="00CF04BF">
        <w:rPr>
          <w:rFonts w:ascii="Times New Roman" w:hAnsi="Times New Roman" w:cs="Times New Roman"/>
          <w:sz w:val="24"/>
          <w:szCs w:val="24"/>
        </w:rPr>
        <w:t xml:space="preserve"> de </w:t>
      </w:r>
      <w:r w:rsidR="00131F4B" w:rsidRPr="00CF04BF">
        <w:rPr>
          <w:rFonts w:ascii="Times New Roman" w:hAnsi="Times New Roman" w:cs="Times New Roman"/>
          <w:sz w:val="24"/>
          <w:szCs w:val="24"/>
        </w:rPr>
        <w:t>C</w:t>
      </w:r>
      <w:r w:rsidRPr="00CF04BF">
        <w:rPr>
          <w:rFonts w:ascii="Times New Roman" w:hAnsi="Times New Roman" w:cs="Times New Roman"/>
          <w:sz w:val="24"/>
          <w:szCs w:val="24"/>
        </w:rPr>
        <w:t>, cumple con los requisitos antes mencionados y por lo tanto no constituye una discriminación</w:t>
      </w:r>
      <w:r w:rsidR="00C81B13" w:rsidRPr="00CF04BF">
        <w:rPr>
          <w:rFonts w:ascii="Times New Roman" w:hAnsi="Times New Roman" w:cs="Times New Roman"/>
          <w:sz w:val="24"/>
          <w:szCs w:val="24"/>
        </w:rPr>
        <w:t xml:space="preserve"> sino una distinción; </w:t>
      </w:r>
      <w:r w:rsidRPr="00CF04BF">
        <w:rPr>
          <w:rFonts w:ascii="Times New Roman" w:hAnsi="Times New Roman" w:cs="Times New Roman"/>
          <w:sz w:val="24"/>
          <w:szCs w:val="24"/>
        </w:rPr>
        <w:t>es importante trae</w:t>
      </w:r>
      <w:r w:rsidR="00C81B13" w:rsidRPr="00CF04BF">
        <w:rPr>
          <w:rFonts w:ascii="Times New Roman" w:hAnsi="Times New Roman" w:cs="Times New Roman"/>
          <w:sz w:val="24"/>
          <w:szCs w:val="24"/>
        </w:rPr>
        <w:t xml:space="preserve">r a la luz lo dicho por está </w:t>
      </w:r>
      <w:r w:rsidRPr="00CF04BF">
        <w:rPr>
          <w:rFonts w:ascii="Times New Roman" w:hAnsi="Times New Roman" w:cs="Times New Roman"/>
          <w:sz w:val="24"/>
          <w:szCs w:val="24"/>
        </w:rPr>
        <w:t xml:space="preserve">Corte, al advertir que pueden establecerse distinciones, basadas en desigualdades de hecho, que constituyen un instrumento para la protección </w:t>
      </w:r>
      <w:r w:rsidR="00C81B13" w:rsidRPr="00CF04BF">
        <w:rPr>
          <w:rFonts w:ascii="Times New Roman" w:hAnsi="Times New Roman" w:cs="Times New Roman"/>
          <w:sz w:val="24"/>
          <w:szCs w:val="24"/>
        </w:rPr>
        <w:t>de quienes deban ser protegidos</w:t>
      </w:r>
      <w:r w:rsidRPr="00CF04BF">
        <w:rPr>
          <w:rStyle w:val="FootnoteReference"/>
          <w:rFonts w:ascii="Times New Roman" w:hAnsi="Times New Roman" w:cs="Times New Roman"/>
          <w:sz w:val="24"/>
          <w:szCs w:val="24"/>
        </w:rPr>
        <w:footnoteReference w:id="39"/>
      </w:r>
      <w:r w:rsidR="00C81B13" w:rsidRPr="00CF04BF">
        <w:rPr>
          <w:rFonts w:ascii="Times New Roman" w:hAnsi="Times New Roman" w:cs="Times New Roman"/>
          <w:sz w:val="24"/>
          <w:szCs w:val="24"/>
        </w:rPr>
        <w:t xml:space="preserve">. </w:t>
      </w:r>
      <w:r w:rsidRPr="00CF04BF">
        <w:rPr>
          <w:rFonts w:ascii="Times New Roman" w:hAnsi="Times New Roman" w:cs="Times New Roman"/>
          <w:sz w:val="24"/>
          <w:szCs w:val="24"/>
        </w:rPr>
        <w:t xml:space="preserve">En consecuencia, se solicita a esta H. Corte IDH que no encuentre violado el Art. 24 en relación con el Art. 3 ambos de la CADH, en perjuicio de </w:t>
      </w:r>
      <w:r w:rsidR="00131F4B" w:rsidRPr="00CF04BF">
        <w:rPr>
          <w:rFonts w:ascii="Times New Roman" w:hAnsi="Times New Roman" w:cs="Times New Roman"/>
          <w:sz w:val="24"/>
          <w:szCs w:val="24"/>
        </w:rPr>
        <w:t>C</w:t>
      </w:r>
      <w:r w:rsidRPr="00CF04BF">
        <w:rPr>
          <w:rFonts w:ascii="Times New Roman" w:hAnsi="Times New Roman" w:cs="Times New Roman"/>
          <w:sz w:val="24"/>
          <w:szCs w:val="24"/>
        </w:rPr>
        <w:t>.</w:t>
      </w:r>
    </w:p>
    <w:p w:rsidR="00A108A3" w:rsidRPr="00CF04BF" w:rsidRDefault="00F75298" w:rsidP="009972EA">
      <w:pPr>
        <w:spacing w:after="0" w:line="480" w:lineRule="auto"/>
        <w:jc w:val="both"/>
        <w:rPr>
          <w:rFonts w:ascii="Times New Roman" w:hAnsi="Times New Roman" w:cs="Times New Roman"/>
          <w:b/>
          <w:sz w:val="24"/>
          <w:szCs w:val="24"/>
        </w:rPr>
      </w:pPr>
      <w:r w:rsidRPr="00CF04BF">
        <w:rPr>
          <w:rFonts w:ascii="Times New Roman" w:hAnsi="Times New Roman" w:cs="Times New Roman"/>
          <w:b/>
          <w:sz w:val="24"/>
          <w:szCs w:val="24"/>
        </w:rPr>
        <w:t>2.3</w:t>
      </w:r>
      <w:r w:rsidR="00A108A3" w:rsidRPr="00CF04BF">
        <w:rPr>
          <w:rFonts w:ascii="Times New Roman" w:hAnsi="Times New Roman" w:cs="Times New Roman"/>
          <w:b/>
          <w:sz w:val="24"/>
          <w:szCs w:val="24"/>
        </w:rPr>
        <w:t xml:space="preserve">.2. </w:t>
      </w:r>
      <w:r w:rsidR="005424E7">
        <w:rPr>
          <w:rFonts w:ascii="Times New Roman" w:hAnsi="Times New Roman" w:cs="Times New Roman"/>
          <w:b/>
          <w:sz w:val="24"/>
          <w:szCs w:val="24"/>
        </w:rPr>
        <w:t xml:space="preserve">Exclutia </w:t>
      </w:r>
      <w:r w:rsidR="00A108A3" w:rsidRPr="00CF04BF">
        <w:rPr>
          <w:rFonts w:ascii="Times New Roman" w:hAnsi="Times New Roman" w:cs="Times New Roman"/>
          <w:b/>
          <w:sz w:val="24"/>
          <w:szCs w:val="24"/>
        </w:rPr>
        <w:t>respet</w:t>
      </w:r>
      <w:r w:rsidR="00E455D8" w:rsidRPr="00CF04BF">
        <w:rPr>
          <w:rFonts w:ascii="Times New Roman" w:hAnsi="Times New Roman" w:cs="Times New Roman"/>
          <w:b/>
          <w:sz w:val="24"/>
          <w:szCs w:val="24"/>
        </w:rPr>
        <w:t>ó el Art. 7.1 en relación con los Arts.</w:t>
      </w:r>
      <w:r w:rsidR="00A108A3" w:rsidRPr="00CF04BF">
        <w:rPr>
          <w:rFonts w:ascii="Times New Roman" w:hAnsi="Times New Roman" w:cs="Times New Roman"/>
          <w:b/>
          <w:sz w:val="24"/>
          <w:szCs w:val="24"/>
        </w:rPr>
        <w:t xml:space="preserve"> 1.1 y 2 de la CADH.</w:t>
      </w:r>
    </w:p>
    <w:p w:rsidR="00A108A3" w:rsidRPr="00CF04BF" w:rsidRDefault="00C81B13" w:rsidP="009972EA">
      <w:pPr>
        <w:spacing w:after="0" w:line="480" w:lineRule="auto"/>
        <w:jc w:val="both"/>
        <w:rPr>
          <w:rFonts w:ascii="Times New Roman" w:hAnsi="Times New Roman" w:cs="Times New Roman"/>
          <w:sz w:val="24"/>
          <w:szCs w:val="24"/>
        </w:rPr>
      </w:pPr>
      <w:r w:rsidRPr="00CF04BF">
        <w:rPr>
          <w:rFonts w:ascii="Times New Roman" w:hAnsi="Times New Roman" w:cs="Times New Roman"/>
          <w:sz w:val="24"/>
          <w:szCs w:val="24"/>
        </w:rPr>
        <w:t>P</w:t>
      </w:r>
      <w:r w:rsidR="00A108A3" w:rsidRPr="00CF04BF">
        <w:rPr>
          <w:rFonts w:ascii="Times New Roman" w:hAnsi="Times New Roman" w:cs="Times New Roman"/>
          <w:sz w:val="24"/>
          <w:szCs w:val="24"/>
        </w:rPr>
        <w:t>ara que un Estado en efecto vele y de cumplimiento a lo establecido por la CADH debe garantizar a sus pobladores que tanto su libertad como su seguridad personal, les serán respetadas. En este mismo sentido, esta Corte IDH ha establecido que la libertad es la capacidad de hacer y no hacer todo lo que esté lícitamente permitido. En otras palabras, constituye el derecho de toda persona de organizar, con arreglo a la ley, su vida individual y social conforme a sus propias opciones y convicciones. La seguridad por su parte, sería la ausencia de perturbaciones que restrinjan o limiten la li</w:t>
      </w:r>
      <w:r w:rsidRPr="00CF04BF">
        <w:rPr>
          <w:rFonts w:ascii="Times New Roman" w:hAnsi="Times New Roman" w:cs="Times New Roman"/>
          <w:sz w:val="24"/>
          <w:szCs w:val="24"/>
        </w:rPr>
        <w:t>bertad más allá de lo razonable</w:t>
      </w:r>
      <w:r w:rsidR="00A108A3" w:rsidRPr="00CF04BF">
        <w:rPr>
          <w:rStyle w:val="FootnoteReference"/>
          <w:rFonts w:ascii="Times New Roman" w:hAnsi="Times New Roman" w:cs="Times New Roman"/>
          <w:sz w:val="24"/>
          <w:szCs w:val="24"/>
        </w:rPr>
        <w:footnoteReference w:id="40"/>
      </w:r>
      <w:r w:rsidRPr="00CF04BF">
        <w:rPr>
          <w:rFonts w:ascii="Times New Roman" w:hAnsi="Times New Roman" w:cs="Times New Roman"/>
          <w:sz w:val="24"/>
          <w:szCs w:val="24"/>
        </w:rPr>
        <w:t>.</w:t>
      </w:r>
      <w:r w:rsidR="00A108A3" w:rsidRPr="00CF04BF">
        <w:rPr>
          <w:rFonts w:ascii="Times New Roman" w:hAnsi="Times New Roman" w:cs="Times New Roman"/>
          <w:sz w:val="24"/>
          <w:szCs w:val="24"/>
        </w:rPr>
        <w:t xml:space="preserve">En razón de estos parámetros, es que </w:t>
      </w:r>
      <w:r w:rsidR="00131F4B" w:rsidRPr="00CF04BF">
        <w:rPr>
          <w:rFonts w:ascii="Times New Roman" w:hAnsi="Times New Roman" w:cs="Times New Roman"/>
          <w:sz w:val="24"/>
          <w:szCs w:val="24"/>
        </w:rPr>
        <w:t>E</w:t>
      </w:r>
      <w:r w:rsidR="00A108A3" w:rsidRPr="00CF04BF">
        <w:rPr>
          <w:rFonts w:ascii="Times New Roman" w:hAnsi="Times New Roman" w:cs="Times New Roman"/>
          <w:sz w:val="24"/>
          <w:szCs w:val="24"/>
        </w:rPr>
        <w:t xml:space="preserve"> no ha violado el derecho a la libertad de </w:t>
      </w:r>
      <w:r w:rsidR="00131F4B" w:rsidRPr="00CF04BF">
        <w:rPr>
          <w:rFonts w:ascii="Times New Roman" w:hAnsi="Times New Roman" w:cs="Times New Roman"/>
          <w:sz w:val="24"/>
          <w:szCs w:val="24"/>
        </w:rPr>
        <w:t>C</w:t>
      </w:r>
      <w:r w:rsidR="00A108A3" w:rsidRPr="00CF04BF">
        <w:rPr>
          <w:rFonts w:ascii="Times New Roman" w:hAnsi="Times New Roman" w:cs="Times New Roman"/>
          <w:sz w:val="24"/>
          <w:szCs w:val="24"/>
        </w:rPr>
        <w:t xml:space="preserve"> por lo siguiente: </w:t>
      </w:r>
      <w:r w:rsidR="00131F4B" w:rsidRPr="00CF04BF">
        <w:rPr>
          <w:rFonts w:ascii="Times New Roman" w:hAnsi="Times New Roman" w:cs="Times New Roman"/>
          <w:sz w:val="24"/>
          <w:szCs w:val="24"/>
        </w:rPr>
        <w:t>E</w:t>
      </w:r>
      <w:r w:rsidR="00A108A3" w:rsidRPr="00CF04BF">
        <w:rPr>
          <w:rFonts w:ascii="Times New Roman" w:hAnsi="Times New Roman" w:cs="Times New Roman"/>
          <w:sz w:val="24"/>
          <w:szCs w:val="24"/>
        </w:rPr>
        <w:t xml:space="preserve"> al ser Estado parte de la CIEDPD cumplió con la obligación establecida en su Art. III que dicta: "Adoptar todas las medidas de carácter legislativo, social, educativo, laboral o de cualquier índole, necesarias para eliminar la discriminación contra las personas con discapacidad y propiciar su p</w:t>
      </w:r>
      <w:r w:rsidR="00D27194">
        <w:rPr>
          <w:rFonts w:ascii="Times New Roman" w:hAnsi="Times New Roman" w:cs="Times New Roman"/>
          <w:sz w:val="24"/>
          <w:szCs w:val="24"/>
        </w:rPr>
        <w:t>lena integración en la sociedad</w:t>
      </w:r>
      <w:r w:rsidR="00A108A3" w:rsidRPr="00CF04BF">
        <w:rPr>
          <w:rFonts w:ascii="Times New Roman" w:hAnsi="Times New Roman" w:cs="Times New Roman"/>
          <w:sz w:val="24"/>
          <w:szCs w:val="24"/>
        </w:rPr>
        <w:t>"</w:t>
      </w:r>
      <w:r w:rsidR="00A108A3" w:rsidRPr="00CF04BF">
        <w:rPr>
          <w:rStyle w:val="FootnoteReference"/>
          <w:rFonts w:ascii="Times New Roman" w:hAnsi="Times New Roman" w:cs="Times New Roman"/>
          <w:sz w:val="24"/>
          <w:szCs w:val="24"/>
        </w:rPr>
        <w:footnoteReference w:id="41"/>
      </w:r>
      <w:r w:rsidR="00D27194">
        <w:rPr>
          <w:rFonts w:ascii="Times New Roman" w:hAnsi="Times New Roman" w:cs="Times New Roman"/>
          <w:sz w:val="24"/>
          <w:szCs w:val="24"/>
        </w:rPr>
        <w:t>.</w:t>
      </w:r>
    </w:p>
    <w:p w:rsidR="00A108A3" w:rsidRPr="00CF04BF" w:rsidRDefault="00A108A3" w:rsidP="009972EA">
      <w:pPr>
        <w:spacing w:after="0" w:line="480" w:lineRule="auto"/>
        <w:jc w:val="both"/>
        <w:rPr>
          <w:rFonts w:ascii="Times New Roman" w:hAnsi="Times New Roman" w:cs="Times New Roman"/>
          <w:sz w:val="24"/>
          <w:szCs w:val="24"/>
        </w:rPr>
      </w:pPr>
      <w:r w:rsidRPr="00CF04BF">
        <w:rPr>
          <w:rFonts w:ascii="Times New Roman" w:hAnsi="Times New Roman" w:cs="Times New Roman"/>
          <w:sz w:val="24"/>
          <w:szCs w:val="24"/>
        </w:rPr>
        <w:t xml:space="preserve">Es por ello que al tener conocimiento de que </w:t>
      </w:r>
      <w:r w:rsidR="00131F4B" w:rsidRPr="00CF04BF">
        <w:rPr>
          <w:rFonts w:ascii="Times New Roman" w:hAnsi="Times New Roman" w:cs="Times New Roman"/>
          <w:sz w:val="24"/>
          <w:szCs w:val="24"/>
        </w:rPr>
        <w:t>C</w:t>
      </w:r>
      <w:r w:rsidRPr="00CF04BF">
        <w:rPr>
          <w:rFonts w:ascii="Times New Roman" w:hAnsi="Times New Roman" w:cs="Times New Roman"/>
          <w:sz w:val="24"/>
          <w:szCs w:val="24"/>
        </w:rPr>
        <w:t xml:space="preserve"> se encontraba viviendo en la calle vulnerable y expuesta a todo tipo de peligros, </w:t>
      </w:r>
      <w:r w:rsidR="00131F4B" w:rsidRPr="00CF04BF">
        <w:rPr>
          <w:rFonts w:ascii="Times New Roman" w:hAnsi="Times New Roman" w:cs="Times New Roman"/>
          <w:sz w:val="24"/>
          <w:szCs w:val="24"/>
        </w:rPr>
        <w:t>E</w:t>
      </w:r>
      <w:r w:rsidRPr="00CF04BF">
        <w:rPr>
          <w:rFonts w:ascii="Times New Roman" w:hAnsi="Times New Roman" w:cs="Times New Roman"/>
          <w:sz w:val="24"/>
          <w:szCs w:val="24"/>
        </w:rPr>
        <w:t xml:space="preserve"> tomó la decisión de acogerla brindándole los beneficios del </w:t>
      </w:r>
      <w:r w:rsidRPr="00CF04BF">
        <w:rPr>
          <w:rFonts w:ascii="Times New Roman" w:hAnsi="Times New Roman" w:cs="Times New Roman"/>
          <w:sz w:val="24"/>
          <w:szCs w:val="24"/>
        </w:rPr>
        <w:lastRenderedPageBreak/>
        <w:t xml:space="preserve">programa "Acogiendo a Nuestros Indigentes", para lo cual un agente de policía se acercó a </w:t>
      </w:r>
      <w:r w:rsidR="00131F4B" w:rsidRPr="00CF04BF">
        <w:rPr>
          <w:rFonts w:ascii="Times New Roman" w:hAnsi="Times New Roman" w:cs="Times New Roman"/>
          <w:sz w:val="24"/>
          <w:szCs w:val="24"/>
        </w:rPr>
        <w:t>C</w:t>
      </w:r>
      <w:r w:rsidRPr="00CF04BF">
        <w:rPr>
          <w:rFonts w:ascii="Times New Roman" w:hAnsi="Times New Roman" w:cs="Times New Roman"/>
          <w:sz w:val="24"/>
          <w:szCs w:val="24"/>
        </w:rPr>
        <w:t xml:space="preserve"> y la invitó a subir al vehículo oficial que la trasladaría a un lugar donde se</w:t>
      </w:r>
      <w:r w:rsidR="00093A0B" w:rsidRPr="00CF04BF">
        <w:rPr>
          <w:rFonts w:ascii="Times New Roman" w:hAnsi="Times New Roman" w:cs="Times New Roman"/>
          <w:sz w:val="24"/>
          <w:szCs w:val="24"/>
        </w:rPr>
        <w:t xml:space="preserve"> le protegería de cualquier mal</w:t>
      </w:r>
      <w:r w:rsidRPr="00CF04BF">
        <w:rPr>
          <w:rStyle w:val="FootnoteReference"/>
          <w:rFonts w:ascii="Times New Roman" w:hAnsi="Times New Roman" w:cs="Times New Roman"/>
          <w:sz w:val="24"/>
          <w:szCs w:val="24"/>
        </w:rPr>
        <w:footnoteReference w:id="42"/>
      </w:r>
      <w:r w:rsidR="00093A0B" w:rsidRPr="00CF04BF">
        <w:rPr>
          <w:rFonts w:ascii="Times New Roman" w:hAnsi="Times New Roman" w:cs="Times New Roman"/>
          <w:sz w:val="24"/>
          <w:szCs w:val="24"/>
        </w:rPr>
        <w:t xml:space="preserve">, </w:t>
      </w:r>
      <w:r w:rsidRPr="00CF04BF">
        <w:rPr>
          <w:rFonts w:ascii="Times New Roman" w:hAnsi="Times New Roman" w:cs="Times New Roman"/>
          <w:sz w:val="24"/>
          <w:szCs w:val="24"/>
        </w:rPr>
        <w:t xml:space="preserve">es importante resaltar que en ese momento </w:t>
      </w:r>
      <w:r w:rsidR="00131F4B" w:rsidRPr="00CF04BF">
        <w:rPr>
          <w:rFonts w:ascii="Times New Roman" w:hAnsi="Times New Roman" w:cs="Times New Roman"/>
          <w:sz w:val="24"/>
          <w:szCs w:val="24"/>
        </w:rPr>
        <w:t>C</w:t>
      </w:r>
      <w:r w:rsidRPr="00CF04BF">
        <w:rPr>
          <w:rFonts w:ascii="Times New Roman" w:hAnsi="Times New Roman" w:cs="Times New Roman"/>
          <w:sz w:val="24"/>
          <w:szCs w:val="24"/>
        </w:rPr>
        <w:t xml:space="preserve"> se encontraba en posición de manifestar su inconformidad y negarse a acceder a la invitación del oficial, sin embargo, nunca manife</w:t>
      </w:r>
      <w:r w:rsidR="00093A0B" w:rsidRPr="00CF04BF">
        <w:rPr>
          <w:rFonts w:ascii="Times New Roman" w:hAnsi="Times New Roman" w:cs="Times New Roman"/>
          <w:sz w:val="24"/>
          <w:szCs w:val="24"/>
        </w:rPr>
        <w:t>stó alguna señal de resistencia</w:t>
      </w:r>
      <w:r w:rsidRPr="00CF04BF">
        <w:rPr>
          <w:rStyle w:val="FootnoteReference"/>
          <w:rFonts w:ascii="Times New Roman" w:hAnsi="Times New Roman" w:cs="Times New Roman"/>
          <w:sz w:val="24"/>
          <w:szCs w:val="24"/>
        </w:rPr>
        <w:footnoteReference w:id="43"/>
      </w:r>
      <w:r w:rsidR="00093A0B" w:rsidRPr="00CF04BF">
        <w:rPr>
          <w:rFonts w:ascii="Times New Roman" w:hAnsi="Times New Roman" w:cs="Times New Roman"/>
          <w:sz w:val="24"/>
          <w:szCs w:val="24"/>
        </w:rPr>
        <w:t>.</w:t>
      </w:r>
      <w:r w:rsidRPr="00CF04BF">
        <w:rPr>
          <w:rFonts w:ascii="Times New Roman" w:hAnsi="Times New Roman" w:cs="Times New Roman"/>
          <w:sz w:val="24"/>
          <w:szCs w:val="24"/>
        </w:rPr>
        <w:t xml:space="preserve">Una vez en el vehículo oficial, el agente de policía condujo a </w:t>
      </w:r>
      <w:r w:rsidR="00131F4B" w:rsidRPr="00CF04BF">
        <w:rPr>
          <w:rFonts w:ascii="Times New Roman" w:hAnsi="Times New Roman" w:cs="Times New Roman"/>
          <w:sz w:val="24"/>
          <w:szCs w:val="24"/>
        </w:rPr>
        <w:t>C</w:t>
      </w:r>
      <w:r w:rsidRPr="00CF04BF">
        <w:rPr>
          <w:rFonts w:ascii="Times New Roman" w:hAnsi="Times New Roman" w:cs="Times New Roman"/>
          <w:sz w:val="24"/>
          <w:szCs w:val="24"/>
        </w:rPr>
        <w:t xml:space="preserve"> a</w:t>
      </w:r>
      <w:r w:rsidR="009458EA" w:rsidRPr="00CF04BF">
        <w:rPr>
          <w:rFonts w:ascii="Times New Roman" w:hAnsi="Times New Roman" w:cs="Times New Roman"/>
          <w:sz w:val="24"/>
          <w:szCs w:val="24"/>
        </w:rPr>
        <w:t xml:space="preserve"> un albergue estatal</w:t>
      </w:r>
      <w:r w:rsidRPr="00CF04BF">
        <w:rPr>
          <w:rFonts w:ascii="Times New Roman" w:hAnsi="Times New Roman" w:cs="Times New Roman"/>
          <w:sz w:val="24"/>
          <w:szCs w:val="24"/>
        </w:rPr>
        <w:t xml:space="preserve"> llamado "La Casita", lugar idóneo para ella pues cuenta con toda la atención médica y humana que necesita, y que ha salvaguardado su integridad física y psicológica. Asimismo, es importante tener presente que otra opción con la que contaba </w:t>
      </w:r>
      <w:r w:rsidR="00131F4B" w:rsidRPr="00CF04BF">
        <w:rPr>
          <w:rFonts w:ascii="Times New Roman" w:hAnsi="Times New Roman" w:cs="Times New Roman"/>
          <w:sz w:val="24"/>
          <w:szCs w:val="24"/>
        </w:rPr>
        <w:t>C</w:t>
      </w:r>
      <w:r w:rsidRPr="00CF04BF">
        <w:rPr>
          <w:rFonts w:ascii="Times New Roman" w:hAnsi="Times New Roman" w:cs="Times New Roman"/>
          <w:sz w:val="24"/>
          <w:szCs w:val="24"/>
        </w:rPr>
        <w:t>, de no ser llevada a “La Casita” se limitaba a vivir en la vagancia y sobrevivir de la buena voluntad de las personas.</w:t>
      </w:r>
      <w:r w:rsidR="005424E7">
        <w:rPr>
          <w:rFonts w:ascii="Times New Roman" w:hAnsi="Times New Roman" w:cs="Times New Roman"/>
          <w:sz w:val="24"/>
          <w:szCs w:val="24"/>
        </w:rPr>
        <w:t xml:space="preserve"> </w:t>
      </w:r>
      <w:r w:rsidRPr="00CF04BF">
        <w:rPr>
          <w:rFonts w:ascii="Times New Roman" w:hAnsi="Times New Roman" w:cs="Times New Roman"/>
          <w:sz w:val="24"/>
          <w:szCs w:val="24"/>
        </w:rPr>
        <w:t xml:space="preserve">Cabe mencionar que si bien, el ser llevada a “La Casita” y permanecer en dicho albergue se podría considerar una restricción de la libertad de </w:t>
      </w:r>
      <w:r w:rsidR="00131F4B" w:rsidRPr="00CF04BF">
        <w:rPr>
          <w:rFonts w:ascii="Times New Roman" w:hAnsi="Times New Roman" w:cs="Times New Roman"/>
          <w:sz w:val="24"/>
          <w:szCs w:val="24"/>
        </w:rPr>
        <w:t>C</w:t>
      </w:r>
      <w:r w:rsidRPr="00CF04BF">
        <w:rPr>
          <w:rFonts w:ascii="Times New Roman" w:hAnsi="Times New Roman" w:cs="Times New Roman"/>
          <w:sz w:val="24"/>
          <w:szCs w:val="24"/>
        </w:rPr>
        <w:t>; esta restricción se ajusta a los criterios establecidos en los Principios de Siracusa, mediante los cuales un Estado puede limitar un derecho de primera generación siempre que se cumpla lo siguiente</w:t>
      </w:r>
      <w:r w:rsidRPr="00CF04BF">
        <w:rPr>
          <w:rStyle w:val="FootnoteReference"/>
          <w:rFonts w:ascii="Times New Roman" w:hAnsi="Times New Roman" w:cs="Times New Roman"/>
          <w:sz w:val="24"/>
          <w:szCs w:val="24"/>
        </w:rPr>
        <w:footnoteReference w:id="44"/>
      </w:r>
      <w:r w:rsidRPr="00CF04BF">
        <w:rPr>
          <w:rFonts w:ascii="Times New Roman" w:hAnsi="Times New Roman" w:cs="Times New Roman"/>
          <w:sz w:val="24"/>
          <w:szCs w:val="24"/>
        </w:rPr>
        <w:t xml:space="preserve">: a) La restricción debe estar basada y aplicada de acuerdo con la ley, en este sentido cuando </w:t>
      </w:r>
      <w:r w:rsidR="00131F4B" w:rsidRPr="00CF04BF">
        <w:rPr>
          <w:rFonts w:ascii="Times New Roman" w:hAnsi="Times New Roman" w:cs="Times New Roman"/>
          <w:sz w:val="24"/>
          <w:szCs w:val="24"/>
        </w:rPr>
        <w:t>C</w:t>
      </w:r>
      <w:r w:rsidRPr="00CF04BF">
        <w:rPr>
          <w:rFonts w:ascii="Times New Roman" w:hAnsi="Times New Roman" w:cs="Times New Roman"/>
          <w:sz w:val="24"/>
          <w:szCs w:val="24"/>
        </w:rPr>
        <w:t xml:space="preserve"> fue invitada por el agente de policía a acompañarla se aplicó lo dispuesto po</w:t>
      </w:r>
      <w:r w:rsidR="008F6B49" w:rsidRPr="00CF04BF">
        <w:rPr>
          <w:rFonts w:ascii="Times New Roman" w:hAnsi="Times New Roman" w:cs="Times New Roman"/>
          <w:sz w:val="24"/>
          <w:szCs w:val="24"/>
        </w:rPr>
        <w:t xml:space="preserve">r un programa de acción Estatal </w:t>
      </w:r>
      <w:r w:rsidRPr="00CF04BF">
        <w:rPr>
          <w:rFonts w:ascii="Times New Roman" w:hAnsi="Times New Roman" w:cs="Times New Roman"/>
          <w:sz w:val="24"/>
          <w:szCs w:val="24"/>
        </w:rPr>
        <w:t xml:space="preserve">"Acogiendo a Nuestros Indigentes", a través de dicho plan </w:t>
      </w:r>
      <w:r w:rsidR="00131F4B" w:rsidRPr="00CF04BF">
        <w:rPr>
          <w:rFonts w:ascii="Times New Roman" w:hAnsi="Times New Roman" w:cs="Times New Roman"/>
          <w:sz w:val="24"/>
          <w:szCs w:val="24"/>
        </w:rPr>
        <w:t>C</w:t>
      </w:r>
      <w:r w:rsidRPr="00CF04BF">
        <w:rPr>
          <w:rFonts w:ascii="Times New Roman" w:hAnsi="Times New Roman" w:cs="Times New Roman"/>
          <w:sz w:val="24"/>
          <w:szCs w:val="24"/>
        </w:rPr>
        <w:t xml:space="preserve"> ha obtenido beneficios como un tutor leg</w:t>
      </w:r>
      <w:r w:rsidR="008F6B49" w:rsidRPr="00CF04BF">
        <w:rPr>
          <w:rFonts w:ascii="Times New Roman" w:hAnsi="Times New Roman" w:cs="Times New Roman"/>
          <w:sz w:val="24"/>
          <w:szCs w:val="24"/>
        </w:rPr>
        <w:t>al que vela por sus derechos</w:t>
      </w:r>
      <w:r w:rsidRPr="00CF04BF">
        <w:rPr>
          <w:rFonts w:ascii="Times New Roman" w:hAnsi="Times New Roman" w:cs="Times New Roman"/>
          <w:sz w:val="24"/>
          <w:szCs w:val="24"/>
        </w:rPr>
        <w:t xml:space="preserve">; b) La restricción debe estar justificada por un objetivo legítimo de interés general; </w:t>
      </w:r>
      <w:r w:rsidR="00131F4B" w:rsidRPr="00CF04BF">
        <w:rPr>
          <w:rFonts w:ascii="Times New Roman" w:hAnsi="Times New Roman" w:cs="Times New Roman"/>
          <w:sz w:val="24"/>
          <w:szCs w:val="24"/>
        </w:rPr>
        <w:t>E</w:t>
      </w:r>
      <w:r w:rsidRPr="00CF04BF">
        <w:rPr>
          <w:rFonts w:ascii="Times New Roman" w:hAnsi="Times New Roman" w:cs="Times New Roman"/>
          <w:sz w:val="24"/>
          <w:szCs w:val="24"/>
        </w:rPr>
        <w:t xml:space="preserve"> aplica el programa para brindar asilo a aquellas personas que no cuentan con un hogar, con el objetivo de brindarles los cuidados y atención necesarios para mejorar su nivel de vida y en consecuencia el de la población en general, en "La Casita", </w:t>
      </w:r>
      <w:r w:rsidR="008F6B49" w:rsidRPr="00CF04BF">
        <w:rPr>
          <w:rFonts w:ascii="Times New Roman" w:hAnsi="Times New Roman" w:cs="Times New Roman"/>
          <w:sz w:val="24"/>
          <w:szCs w:val="24"/>
        </w:rPr>
        <w:t xml:space="preserve">a </w:t>
      </w:r>
      <w:r w:rsidR="00131F4B" w:rsidRPr="00CF04BF">
        <w:rPr>
          <w:rFonts w:ascii="Times New Roman" w:hAnsi="Times New Roman" w:cs="Times New Roman"/>
          <w:sz w:val="24"/>
          <w:szCs w:val="24"/>
        </w:rPr>
        <w:t>C</w:t>
      </w:r>
      <w:r w:rsidRPr="00CF04BF">
        <w:rPr>
          <w:rFonts w:ascii="Times New Roman" w:hAnsi="Times New Roman" w:cs="Times New Roman"/>
          <w:sz w:val="24"/>
          <w:szCs w:val="24"/>
        </w:rPr>
        <w:t xml:space="preserve"> se le brinda alimento y cuidados</w:t>
      </w:r>
      <w:r w:rsidRPr="00CF04BF">
        <w:rPr>
          <w:rStyle w:val="FootnoteReference"/>
          <w:rFonts w:ascii="Times New Roman" w:hAnsi="Times New Roman" w:cs="Times New Roman"/>
          <w:sz w:val="24"/>
          <w:szCs w:val="24"/>
        </w:rPr>
        <w:footnoteReference w:id="45"/>
      </w:r>
      <w:r w:rsidRPr="00CF04BF">
        <w:rPr>
          <w:rFonts w:ascii="Times New Roman" w:hAnsi="Times New Roman" w:cs="Times New Roman"/>
          <w:sz w:val="24"/>
          <w:szCs w:val="24"/>
        </w:rPr>
        <w:t xml:space="preserve">los cuales no recibía </w:t>
      </w:r>
      <w:r w:rsidRPr="00CF04BF">
        <w:rPr>
          <w:rFonts w:ascii="Times New Roman" w:hAnsi="Times New Roman" w:cs="Times New Roman"/>
          <w:sz w:val="24"/>
          <w:szCs w:val="24"/>
        </w:rPr>
        <w:lastRenderedPageBreak/>
        <w:t>cuando vivía en la calle; c) La restricción debe ser estrictamente necesaria en una sociedad democrática</w:t>
      </w:r>
      <w:r w:rsidR="008F6B49" w:rsidRPr="00CF04BF">
        <w:rPr>
          <w:rFonts w:ascii="Times New Roman" w:hAnsi="Times New Roman" w:cs="Times New Roman"/>
          <w:sz w:val="24"/>
          <w:szCs w:val="24"/>
        </w:rPr>
        <w:t>,</w:t>
      </w:r>
      <w:r w:rsidRPr="00CF04BF">
        <w:rPr>
          <w:rFonts w:ascii="Times New Roman" w:hAnsi="Times New Roman" w:cs="Times New Roman"/>
          <w:sz w:val="24"/>
          <w:szCs w:val="24"/>
        </w:rPr>
        <w:t xml:space="preserve"> para lograr ese objetivo, este programa es la medida idónea, ya que es aplicado en el marco de reconocimiento y respeto de los derechos humanos por un gobierno electo por el pueblo de </w:t>
      </w:r>
      <w:r w:rsidR="00131F4B" w:rsidRPr="00CF04BF">
        <w:rPr>
          <w:rFonts w:ascii="Times New Roman" w:hAnsi="Times New Roman" w:cs="Times New Roman"/>
          <w:sz w:val="24"/>
          <w:szCs w:val="24"/>
        </w:rPr>
        <w:t>E</w:t>
      </w:r>
      <w:r w:rsidRPr="00CF04BF">
        <w:rPr>
          <w:rFonts w:ascii="Times New Roman" w:hAnsi="Times New Roman" w:cs="Times New Roman"/>
          <w:sz w:val="24"/>
          <w:szCs w:val="24"/>
        </w:rPr>
        <w:t xml:space="preserve">, del cual </w:t>
      </w:r>
      <w:r w:rsidR="00131F4B" w:rsidRPr="00CF04BF">
        <w:rPr>
          <w:rFonts w:ascii="Times New Roman" w:hAnsi="Times New Roman" w:cs="Times New Roman"/>
          <w:sz w:val="24"/>
          <w:szCs w:val="24"/>
        </w:rPr>
        <w:t>C</w:t>
      </w:r>
      <w:r w:rsidRPr="00CF04BF">
        <w:rPr>
          <w:rFonts w:ascii="Times New Roman" w:hAnsi="Times New Roman" w:cs="Times New Roman"/>
          <w:sz w:val="24"/>
          <w:szCs w:val="24"/>
        </w:rPr>
        <w:t xml:space="preserve"> forma parte. d) La restricción debe ser necesaria para responder a una necesidad pública de salud; al vivir en la calle las personas se encuentran expuestas a todo tipo de condiciones ambientales y poco higiénicas; y que sin el debido cuidado pueden contraer enfermedades que pongan en peligro su vida con la posibilidad de que estas deriven en una contingencia de salud, en "La Casita" </w:t>
      </w:r>
      <w:r w:rsidR="00131F4B" w:rsidRPr="00CF04BF">
        <w:rPr>
          <w:rFonts w:ascii="Times New Roman" w:hAnsi="Times New Roman" w:cs="Times New Roman"/>
          <w:sz w:val="24"/>
          <w:szCs w:val="24"/>
        </w:rPr>
        <w:t>C</w:t>
      </w:r>
      <w:r w:rsidRPr="00CF04BF">
        <w:rPr>
          <w:rFonts w:ascii="Times New Roman" w:hAnsi="Times New Roman" w:cs="Times New Roman"/>
          <w:sz w:val="24"/>
          <w:szCs w:val="24"/>
        </w:rPr>
        <w:t xml:space="preserve"> goza de instalaciones higiénicas y cuidados médicos destinados a proteger su salud; e) La restricción debe ser proporcional al objetivo social que pretende lograr, y no existe medio menos intrusivo y restrictivo disponible para lograr ese objetivo social, en </w:t>
      </w:r>
      <w:r w:rsidR="00131F4B" w:rsidRPr="00CF04BF">
        <w:rPr>
          <w:rFonts w:ascii="Times New Roman" w:hAnsi="Times New Roman" w:cs="Times New Roman"/>
          <w:sz w:val="24"/>
          <w:szCs w:val="24"/>
        </w:rPr>
        <w:t>E</w:t>
      </w:r>
      <w:r w:rsidRPr="00CF04BF">
        <w:rPr>
          <w:rFonts w:ascii="Times New Roman" w:hAnsi="Times New Roman" w:cs="Times New Roman"/>
          <w:sz w:val="24"/>
          <w:szCs w:val="24"/>
        </w:rPr>
        <w:t xml:space="preserve"> lejos de causar perjuicios a las personas el programa brinda una mejor</w:t>
      </w:r>
      <w:r w:rsidR="008F6B49" w:rsidRPr="00CF04BF">
        <w:rPr>
          <w:rFonts w:ascii="Times New Roman" w:hAnsi="Times New Roman" w:cs="Times New Roman"/>
          <w:sz w:val="24"/>
          <w:szCs w:val="24"/>
        </w:rPr>
        <w:t xml:space="preserve"> calidad de vida</w:t>
      </w:r>
      <w:r w:rsidRPr="00CF04BF">
        <w:rPr>
          <w:rFonts w:ascii="Times New Roman" w:hAnsi="Times New Roman" w:cs="Times New Roman"/>
          <w:sz w:val="24"/>
          <w:szCs w:val="24"/>
        </w:rPr>
        <w:t xml:space="preserve">, como en el caso de </w:t>
      </w:r>
      <w:r w:rsidR="00131F4B" w:rsidRPr="00CF04BF">
        <w:rPr>
          <w:rFonts w:ascii="Times New Roman" w:hAnsi="Times New Roman" w:cs="Times New Roman"/>
          <w:sz w:val="24"/>
          <w:szCs w:val="24"/>
        </w:rPr>
        <w:t>C</w:t>
      </w:r>
      <w:r w:rsidRPr="00CF04BF">
        <w:rPr>
          <w:rFonts w:ascii="Times New Roman" w:hAnsi="Times New Roman" w:cs="Times New Roman"/>
          <w:sz w:val="24"/>
          <w:szCs w:val="24"/>
        </w:rPr>
        <w:t xml:space="preserve"> que ahora cuenta con una tutora, personal médico e instalaciones que garantizan el respeto a sus derechos; f) Las leyes que impongan restricciones no deben ser arbitrarias, ni ser aplicadas de manera arbitraria, "Acogiendo a Nuestros Indigentes" como ya se ha mencionado es una invitación mas no una imposición del gobierno por lo que las personas pueden manifestar su inconformidad y negar</w:t>
      </w:r>
      <w:r w:rsidR="008F6B49" w:rsidRPr="00CF04BF">
        <w:rPr>
          <w:rFonts w:ascii="Times New Roman" w:hAnsi="Times New Roman" w:cs="Times New Roman"/>
          <w:sz w:val="24"/>
          <w:szCs w:val="24"/>
        </w:rPr>
        <w:t>se a participar en el programa</w:t>
      </w:r>
      <w:r w:rsidRPr="00CF04BF">
        <w:rPr>
          <w:rFonts w:ascii="Times New Roman" w:hAnsi="Times New Roman" w:cs="Times New Roman"/>
          <w:sz w:val="24"/>
          <w:szCs w:val="24"/>
        </w:rPr>
        <w:t xml:space="preserve">, y como ya se mencionó </w:t>
      </w:r>
      <w:r w:rsidR="00131F4B" w:rsidRPr="00CF04BF">
        <w:rPr>
          <w:rFonts w:ascii="Times New Roman" w:hAnsi="Times New Roman" w:cs="Times New Roman"/>
          <w:sz w:val="24"/>
          <w:szCs w:val="24"/>
        </w:rPr>
        <w:t>C</w:t>
      </w:r>
      <w:r w:rsidRPr="00CF04BF">
        <w:rPr>
          <w:rFonts w:ascii="Times New Roman" w:hAnsi="Times New Roman" w:cs="Times New Roman"/>
          <w:sz w:val="24"/>
          <w:szCs w:val="24"/>
        </w:rPr>
        <w:t xml:space="preserve"> por su propia voluntad accedió a ser trasladada a "La Casita" convirtiéndose en acreedora </w:t>
      </w:r>
      <w:r w:rsidR="002F6B23" w:rsidRPr="00CF04BF">
        <w:rPr>
          <w:rFonts w:ascii="Times New Roman" w:hAnsi="Times New Roman" w:cs="Times New Roman"/>
          <w:sz w:val="24"/>
          <w:szCs w:val="24"/>
        </w:rPr>
        <w:t xml:space="preserve">de los beneficios del programa. </w:t>
      </w:r>
      <w:r w:rsidRPr="00CF04BF">
        <w:rPr>
          <w:rFonts w:ascii="Times New Roman" w:hAnsi="Times New Roman" w:cs="Times New Roman"/>
          <w:sz w:val="24"/>
          <w:szCs w:val="24"/>
        </w:rPr>
        <w:t xml:space="preserve">En conclusión, la intención de </w:t>
      </w:r>
      <w:r w:rsidR="00131F4B" w:rsidRPr="00CF04BF">
        <w:rPr>
          <w:rFonts w:ascii="Times New Roman" w:hAnsi="Times New Roman" w:cs="Times New Roman"/>
          <w:sz w:val="24"/>
          <w:szCs w:val="24"/>
        </w:rPr>
        <w:t>E</w:t>
      </w:r>
      <w:r w:rsidRPr="00CF04BF">
        <w:rPr>
          <w:rFonts w:ascii="Times New Roman" w:hAnsi="Times New Roman" w:cs="Times New Roman"/>
          <w:sz w:val="24"/>
          <w:szCs w:val="24"/>
        </w:rPr>
        <w:t xml:space="preserve"> nunca fue la de reducir el derecho a la libertad de </w:t>
      </w:r>
      <w:r w:rsidR="00131F4B" w:rsidRPr="00CF04BF">
        <w:rPr>
          <w:rFonts w:ascii="Times New Roman" w:hAnsi="Times New Roman" w:cs="Times New Roman"/>
          <w:sz w:val="24"/>
          <w:szCs w:val="24"/>
        </w:rPr>
        <w:t>C</w:t>
      </w:r>
      <w:r w:rsidRPr="00CF04BF">
        <w:rPr>
          <w:rFonts w:ascii="Times New Roman" w:hAnsi="Times New Roman" w:cs="Times New Roman"/>
          <w:sz w:val="24"/>
          <w:szCs w:val="24"/>
        </w:rPr>
        <w:t xml:space="preserve">, por el contrario su propósito siempre ha sido proveerla de todos los cuidados y atenciones que requiere, por ello le ha otorgado la oportunidad de incentivar su autonomía y se le ha brindado la garantía de protección de su seguridad personal, por lo cual se le solicita a esta Corte IDH declaré que </w:t>
      </w:r>
      <w:r w:rsidR="00131F4B" w:rsidRPr="00CF04BF">
        <w:rPr>
          <w:rFonts w:ascii="Times New Roman" w:hAnsi="Times New Roman" w:cs="Times New Roman"/>
          <w:sz w:val="24"/>
          <w:szCs w:val="24"/>
        </w:rPr>
        <w:t>E</w:t>
      </w:r>
      <w:r w:rsidRPr="00CF04BF">
        <w:rPr>
          <w:rFonts w:ascii="Times New Roman" w:hAnsi="Times New Roman" w:cs="Times New Roman"/>
          <w:sz w:val="24"/>
          <w:szCs w:val="24"/>
        </w:rPr>
        <w:t xml:space="preserve"> no violó del Art. 7.1 de la CADH.</w:t>
      </w:r>
    </w:p>
    <w:p w:rsidR="002F6B23" w:rsidRPr="00CF04BF" w:rsidRDefault="00A108A3" w:rsidP="009972EA">
      <w:pPr>
        <w:spacing w:after="0" w:line="480" w:lineRule="auto"/>
        <w:jc w:val="both"/>
        <w:rPr>
          <w:rFonts w:ascii="Times New Roman" w:hAnsi="Times New Roman" w:cs="Times New Roman"/>
          <w:b/>
          <w:sz w:val="24"/>
          <w:szCs w:val="24"/>
        </w:rPr>
      </w:pPr>
      <w:r w:rsidRPr="00CF04BF">
        <w:rPr>
          <w:rFonts w:ascii="Times New Roman" w:hAnsi="Times New Roman" w:cs="Times New Roman"/>
          <w:b/>
          <w:sz w:val="24"/>
          <w:szCs w:val="24"/>
        </w:rPr>
        <w:t>2.</w:t>
      </w:r>
      <w:r w:rsidR="00F75298" w:rsidRPr="00CF04BF">
        <w:rPr>
          <w:rFonts w:ascii="Times New Roman" w:hAnsi="Times New Roman" w:cs="Times New Roman"/>
          <w:b/>
          <w:sz w:val="24"/>
          <w:szCs w:val="24"/>
        </w:rPr>
        <w:t>3</w:t>
      </w:r>
      <w:r w:rsidRPr="00CF04BF">
        <w:rPr>
          <w:rFonts w:ascii="Times New Roman" w:hAnsi="Times New Roman" w:cs="Times New Roman"/>
          <w:b/>
          <w:sz w:val="24"/>
          <w:szCs w:val="24"/>
        </w:rPr>
        <w:t xml:space="preserve">.3. </w:t>
      </w:r>
      <w:r w:rsidR="002F6B23" w:rsidRPr="00CF04BF">
        <w:rPr>
          <w:rFonts w:ascii="Times New Roman" w:hAnsi="Times New Roman" w:cs="Times New Roman"/>
          <w:b/>
          <w:sz w:val="24"/>
          <w:szCs w:val="24"/>
        </w:rPr>
        <w:t>Exclutia</w:t>
      </w:r>
      <w:r w:rsidRPr="00CF04BF">
        <w:rPr>
          <w:rFonts w:ascii="Times New Roman" w:hAnsi="Times New Roman" w:cs="Times New Roman"/>
          <w:b/>
          <w:sz w:val="24"/>
          <w:szCs w:val="24"/>
        </w:rPr>
        <w:t xml:space="preserve"> respetó los Arts. 5.1 y 5.2 </w:t>
      </w:r>
      <w:r w:rsidR="00E455D8" w:rsidRPr="00CF04BF">
        <w:rPr>
          <w:rFonts w:ascii="Times New Roman" w:hAnsi="Times New Roman" w:cs="Times New Roman"/>
          <w:b/>
          <w:sz w:val="24"/>
          <w:szCs w:val="24"/>
        </w:rPr>
        <w:t>en relación con</w:t>
      </w:r>
      <w:r w:rsidR="002F6B23" w:rsidRPr="00CF04BF">
        <w:rPr>
          <w:rFonts w:ascii="Times New Roman" w:hAnsi="Times New Roman" w:cs="Times New Roman"/>
          <w:b/>
          <w:sz w:val="24"/>
          <w:szCs w:val="24"/>
        </w:rPr>
        <w:t xml:space="preserve"> los Arts. 1.1 y 2</w:t>
      </w:r>
      <w:r w:rsidR="00F75298" w:rsidRPr="00CF04BF">
        <w:rPr>
          <w:rFonts w:ascii="Times New Roman" w:hAnsi="Times New Roman" w:cs="Times New Roman"/>
          <w:b/>
          <w:sz w:val="24"/>
          <w:szCs w:val="24"/>
        </w:rPr>
        <w:t xml:space="preserve"> de la CADH</w:t>
      </w:r>
      <w:r w:rsidR="002F6B23" w:rsidRPr="00CF04BF">
        <w:rPr>
          <w:rFonts w:ascii="Times New Roman" w:hAnsi="Times New Roman" w:cs="Times New Roman"/>
          <w:b/>
          <w:sz w:val="24"/>
          <w:szCs w:val="24"/>
        </w:rPr>
        <w:t xml:space="preserve">. </w:t>
      </w:r>
    </w:p>
    <w:p w:rsidR="00A108A3" w:rsidRPr="00CF04BF" w:rsidRDefault="00A108A3" w:rsidP="009972EA">
      <w:pPr>
        <w:spacing w:after="0" w:line="480" w:lineRule="auto"/>
        <w:jc w:val="both"/>
        <w:rPr>
          <w:rFonts w:ascii="Times New Roman" w:hAnsi="Times New Roman" w:cs="Times New Roman"/>
          <w:sz w:val="24"/>
          <w:szCs w:val="24"/>
        </w:rPr>
      </w:pPr>
      <w:r w:rsidRPr="00CF04BF">
        <w:rPr>
          <w:rFonts w:ascii="Times New Roman" w:hAnsi="Times New Roman" w:cs="Times New Roman"/>
          <w:sz w:val="24"/>
          <w:szCs w:val="24"/>
        </w:rPr>
        <w:lastRenderedPageBreak/>
        <w:t>El Art. 5.2 de la CADH dicta: nadie debe ser sometido a torturas ni a penas o tratos crueles, inhumanos o degradantes. Toda persona privada de libertad será tratada con el respeto debido a la dignidad inherente al ser humano. Por tratos crueles, inhumanos se debe entender lo establecido por la CIDH, es decir, aquellos que deliberadamente causan un severo sufrimient</w:t>
      </w:r>
      <w:r w:rsidR="008F6B49" w:rsidRPr="00CF04BF">
        <w:rPr>
          <w:rFonts w:ascii="Times New Roman" w:hAnsi="Times New Roman" w:cs="Times New Roman"/>
          <w:sz w:val="24"/>
          <w:szCs w:val="24"/>
        </w:rPr>
        <w:t>o mental o psicológico. Por otra</w:t>
      </w:r>
      <w:r w:rsidRPr="00CF04BF">
        <w:rPr>
          <w:rFonts w:ascii="Times New Roman" w:hAnsi="Times New Roman" w:cs="Times New Roman"/>
          <w:sz w:val="24"/>
          <w:szCs w:val="24"/>
        </w:rPr>
        <w:t xml:space="preserve"> parte, considera que el tratamiento de un individuo puede ser degradante si se le humilla severamente ante otros o se lo compele a actuar contra sus deseos o su conciencia</w:t>
      </w:r>
      <w:r w:rsidRPr="00CF04BF">
        <w:rPr>
          <w:rStyle w:val="FootnoteReference"/>
          <w:rFonts w:ascii="Times New Roman" w:hAnsi="Times New Roman" w:cs="Times New Roman"/>
          <w:sz w:val="24"/>
          <w:szCs w:val="24"/>
        </w:rPr>
        <w:footnoteReference w:id="46"/>
      </w:r>
      <w:r w:rsidRPr="00CF04BF">
        <w:rPr>
          <w:rFonts w:ascii="Times New Roman" w:hAnsi="Times New Roman" w:cs="Times New Roman"/>
          <w:sz w:val="24"/>
          <w:szCs w:val="24"/>
        </w:rPr>
        <w:t xml:space="preserve"> lo que</w:t>
      </w:r>
      <w:r w:rsidR="00E00698" w:rsidRPr="00CF04BF">
        <w:rPr>
          <w:rFonts w:ascii="Times New Roman" w:hAnsi="Times New Roman" w:cs="Times New Roman"/>
          <w:sz w:val="24"/>
          <w:szCs w:val="24"/>
        </w:rPr>
        <w:t xml:space="preserve"> en el presente caso no ocurre. </w:t>
      </w:r>
      <w:r w:rsidRPr="00CF04BF">
        <w:rPr>
          <w:rFonts w:ascii="Times New Roman" w:hAnsi="Times New Roman" w:cs="Times New Roman"/>
          <w:sz w:val="24"/>
          <w:szCs w:val="24"/>
        </w:rPr>
        <w:t>El Estado tiene la obligación de asegurar a sus ciudadanos su derecho a la integridad física, y con esa finalidad existen hospita</w:t>
      </w:r>
      <w:r w:rsidR="00852D2A" w:rsidRPr="00CF04BF">
        <w:rPr>
          <w:rFonts w:ascii="Times New Roman" w:hAnsi="Times New Roman" w:cs="Times New Roman"/>
          <w:sz w:val="24"/>
          <w:szCs w:val="24"/>
        </w:rPr>
        <w:t>les administrados por el Estado</w:t>
      </w:r>
      <w:r w:rsidRPr="00CF04BF">
        <w:rPr>
          <w:rStyle w:val="FootnoteReference"/>
          <w:rFonts w:ascii="Times New Roman" w:hAnsi="Times New Roman" w:cs="Times New Roman"/>
          <w:sz w:val="24"/>
          <w:szCs w:val="24"/>
        </w:rPr>
        <w:footnoteReference w:id="47"/>
      </w:r>
      <w:r w:rsidR="00852D2A" w:rsidRPr="00CF04BF">
        <w:rPr>
          <w:rFonts w:ascii="Times New Roman" w:hAnsi="Times New Roman" w:cs="Times New Roman"/>
          <w:sz w:val="24"/>
          <w:szCs w:val="24"/>
        </w:rPr>
        <w:t>.</w:t>
      </w:r>
      <w:r w:rsidRPr="00CF04BF">
        <w:rPr>
          <w:rFonts w:ascii="Times New Roman" w:hAnsi="Times New Roman" w:cs="Times New Roman"/>
          <w:sz w:val="24"/>
          <w:szCs w:val="24"/>
        </w:rPr>
        <w:t xml:space="preserve"> Por consiguiente, es deber de los Estados garantizar mecanismos que protejan la integridad personal de sus habitantes y especialmente a aquellos que tienen alguna discapacidad; con esta finalidad </w:t>
      </w:r>
      <w:r w:rsidR="00131F4B" w:rsidRPr="00CF04BF">
        <w:rPr>
          <w:rFonts w:ascii="Times New Roman" w:hAnsi="Times New Roman" w:cs="Times New Roman"/>
          <w:sz w:val="24"/>
          <w:szCs w:val="24"/>
        </w:rPr>
        <w:t>E</w:t>
      </w:r>
      <w:r w:rsidRPr="00CF04BF">
        <w:rPr>
          <w:rFonts w:ascii="Times New Roman" w:hAnsi="Times New Roman" w:cs="Times New Roman"/>
          <w:sz w:val="24"/>
          <w:szCs w:val="24"/>
        </w:rPr>
        <w:t xml:space="preserve"> ha establecido albergues y centros de atención</w:t>
      </w:r>
      <w:r w:rsidR="00E00698" w:rsidRPr="00CF04BF">
        <w:rPr>
          <w:rFonts w:ascii="Times New Roman" w:hAnsi="Times New Roman" w:cs="Times New Roman"/>
          <w:sz w:val="24"/>
          <w:szCs w:val="24"/>
        </w:rPr>
        <w:t xml:space="preserve"> y tratamiento como "La Casita"</w:t>
      </w:r>
      <w:r w:rsidRPr="00CF04BF">
        <w:rPr>
          <w:rStyle w:val="FootnoteReference"/>
          <w:rFonts w:ascii="Times New Roman" w:hAnsi="Times New Roman" w:cs="Times New Roman"/>
          <w:sz w:val="24"/>
          <w:szCs w:val="24"/>
        </w:rPr>
        <w:footnoteReference w:id="48"/>
      </w:r>
      <w:r w:rsidR="00852D2A" w:rsidRPr="00CF04BF">
        <w:rPr>
          <w:rFonts w:ascii="Times New Roman" w:hAnsi="Times New Roman" w:cs="Times New Roman"/>
          <w:sz w:val="24"/>
          <w:szCs w:val="24"/>
        </w:rPr>
        <w:t>.</w:t>
      </w:r>
      <w:r w:rsidRPr="00CF04BF">
        <w:rPr>
          <w:rFonts w:ascii="Times New Roman" w:hAnsi="Times New Roman" w:cs="Times New Roman"/>
          <w:sz w:val="24"/>
          <w:szCs w:val="24"/>
        </w:rPr>
        <w:t>Por su parte el Comité DESC, señala que el respeto a la integridad física de las personas que se encuentran en un centro de tratamiento sólo se consigue cuando los Estados emplean medidas positivas de prevención, y brindan el tratamiento adecuado par</w:t>
      </w:r>
      <w:r w:rsidR="00852D2A" w:rsidRPr="00CF04BF">
        <w:rPr>
          <w:rFonts w:ascii="Times New Roman" w:hAnsi="Times New Roman" w:cs="Times New Roman"/>
          <w:sz w:val="24"/>
          <w:szCs w:val="24"/>
        </w:rPr>
        <w:t>a las personas con discapacidad</w:t>
      </w:r>
      <w:r w:rsidRPr="00CF04BF">
        <w:rPr>
          <w:rStyle w:val="FootnoteReference"/>
          <w:rFonts w:ascii="Times New Roman" w:hAnsi="Times New Roman" w:cs="Times New Roman"/>
          <w:sz w:val="24"/>
          <w:szCs w:val="24"/>
        </w:rPr>
        <w:footnoteReference w:id="49"/>
      </w:r>
      <w:r w:rsidR="00852D2A" w:rsidRPr="00CF04BF">
        <w:rPr>
          <w:rFonts w:ascii="Times New Roman" w:hAnsi="Times New Roman" w:cs="Times New Roman"/>
          <w:sz w:val="24"/>
          <w:szCs w:val="24"/>
        </w:rPr>
        <w:t>.</w:t>
      </w:r>
    </w:p>
    <w:p w:rsidR="00A108A3" w:rsidRPr="00CF04BF" w:rsidRDefault="00A108A3" w:rsidP="009972EA">
      <w:pPr>
        <w:spacing w:after="0" w:line="480" w:lineRule="auto"/>
        <w:jc w:val="both"/>
        <w:rPr>
          <w:rFonts w:ascii="Times New Roman" w:hAnsi="Times New Roman" w:cs="Times New Roman"/>
          <w:sz w:val="24"/>
          <w:szCs w:val="24"/>
        </w:rPr>
      </w:pPr>
      <w:r w:rsidRPr="00CF04BF">
        <w:rPr>
          <w:rFonts w:ascii="Times New Roman" w:hAnsi="Times New Roman" w:cs="Times New Roman"/>
          <w:sz w:val="24"/>
          <w:szCs w:val="24"/>
        </w:rPr>
        <w:t xml:space="preserve">Esta Corte ha establecido que para que un Estado garantice un adecuado respeto a la integridad física y psicológica de las personas con discapacidad debe ajustar su actuar a los </w:t>
      </w:r>
      <w:r w:rsidR="00852D2A" w:rsidRPr="00CF04BF">
        <w:rPr>
          <w:rFonts w:ascii="Times New Roman" w:hAnsi="Times New Roman" w:cs="Times New Roman"/>
          <w:sz w:val="24"/>
          <w:szCs w:val="24"/>
        </w:rPr>
        <w:t>deberes de cuidado y de regular</w:t>
      </w:r>
      <w:r w:rsidRPr="00CF04BF">
        <w:rPr>
          <w:rStyle w:val="FootnoteReference"/>
          <w:rFonts w:ascii="Times New Roman" w:hAnsi="Times New Roman" w:cs="Times New Roman"/>
          <w:sz w:val="24"/>
          <w:szCs w:val="24"/>
        </w:rPr>
        <w:footnoteReference w:id="50"/>
      </w:r>
      <w:r w:rsidR="00852D2A" w:rsidRPr="00CF04BF">
        <w:rPr>
          <w:rFonts w:ascii="Times New Roman" w:hAnsi="Times New Roman" w:cs="Times New Roman"/>
          <w:sz w:val="24"/>
          <w:szCs w:val="24"/>
        </w:rPr>
        <w:t>.</w:t>
      </w:r>
      <w:r w:rsidRPr="00CF04BF">
        <w:rPr>
          <w:rFonts w:ascii="Times New Roman" w:hAnsi="Times New Roman" w:cs="Times New Roman"/>
          <w:sz w:val="24"/>
          <w:szCs w:val="24"/>
        </w:rPr>
        <w:t>Tales deberes deben ser aplicados en cada uno de los centros donde existan personas bajo la tutela del Estado</w:t>
      </w:r>
      <w:r w:rsidR="005424E7">
        <w:rPr>
          <w:rFonts w:ascii="Times New Roman" w:hAnsi="Times New Roman" w:cs="Times New Roman"/>
          <w:sz w:val="24"/>
          <w:szCs w:val="24"/>
        </w:rPr>
        <w:t>. E</w:t>
      </w:r>
      <w:r w:rsidRPr="00CF04BF">
        <w:rPr>
          <w:rFonts w:ascii="Times New Roman" w:hAnsi="Times New Roman" w:cs="Times New Roman"/>
          <w:sz w:val="24"/>
          <w:szCs w:val="24"/>
        </w:rPr>
        <w:t xml:space="preserve">n cumplimiento de lo antes ya mencionado </w:t>
      </w:r>
      <w:r w:rsidR="00131F4B" w:rsidRPr="00CF04BF">
        <w:rPr>
          <w:rFonts w:ascii="Times New Roman" w:hAnsi="Times New Roman" w:cs="Times New Roman"/>
          <w:sz w:val="24"/>
          <w:szCs w:val="24"/>
        </w:rPr>
        <w:t>E</w:t>
      </w:r>
      <w:r w:rsidRPr="00CF04BF">
        <w:rPr>
          <w:rFonts w:ascii="Times New Roman" w:hAnsi="Times New Roman" w:cs="Times New Roman"/>
          <w:sz w:val="24"/>
          <w:szCs w:val="24"/>
        </w:rPr>
        <w:t xml:space="preserve"> ha adoptado </w:t>
      </w:r>
      <w:r w:rsidRPr="00CF04BF">
        <w:rPr>
          <w:rFonts w:ascii="Times New Roman" w:hAnsi="Times New Roman" w:cs="Times New Roman"/>
          <w:sz w:val="24"/>
          <w:szCs w:val="24"/>
        </w:rPr>
        <w:lastRenderedPageBreak/>
        <w:t xml:space="preserve">diversas posturas para asegurar a </w:t>
      </w:r>
      <w:r w:rsidR="00131F4B" w:rsidRPr="00CF04BF">
        <w:rPr>
          <w:rFonts w:ascii="Times New Roman" w:hAnsi="Times New Roman" w:cs="Times New Roman"/>
          <w:sz w:val="24"/>
          <w:szCs w:val="24"/>
        </w:rPr>
        <w:t>C</w:t>
      </w:r>
      <w:r w:rsidRPr="00CF04BF">
        <w:rPr>
          <w:rFonts w:ascii="Times New Roman" w:hAnsi="Times New Roman" w:cs="Times New Roman"/>
          <w:sz w:val="24"/>
          <w:szCs w:val="24"/>
        </w:rPr>
        <w:t xml:space="preserve"> y a todas las personas con discapacidad el máximo goce de su dignidad y derechos.</w:t>
      </w:r>
    </w:p>
    <w:p w:rsidR="00A108A3" w:rsidRPr="00CF04BF" w:rsidRDefault="00A108A3" w:rsidP="009972EA">
      <w:pPr>
        <w:spacing w:after="0" w:line="480" w:lineRule="auto"/>
        <w:jc w:val="both"/>
        <w:rPr>
          <w:rFonts w:ascii="Times New Roman" w:hAnsi="Times New Roman" w:cs="Times New Roman"/>
          <w:sz w:val="24"/>
          <w:szCs w:val="24"/>
        </w:rPr>
      </w:pPr>
      <w:r w:rsidRPr="00CF04BF">
        <w:rPr>
          <w:rFonts w:ascii="Times New Roman" w:hAnsi="Times New Roman" w:cs="Times New Roman"/>
          <w:sz w:val="24"/>
          <w:szCs w:val="24"/>
        </w:rPr>
        <w:t>En este orden de ideas, el deber de cuidado se traduce en proveer las condiciones necesarias para desarrollar una vida digna</w:t>
      </w:r>
      <w:r w:rsidRPr="00CF04BF">
        <w:rPr>
          <w:rStyle w:val="FootnoteReference"/>
          <w:rFonts w:ascii="Times New Roman" w:hAnsi="Times New Roman" w:cs="Times New Roman"/>
          <w:sz w:val="24"/>
          <w:szCs w:val="24"/>
        </w:rPr>
        <w:footnoteReference w:id="51"/>
      </w:r>
      <w:r w:rsidR="00852D2A" w:rsidRPr="00CF04BF">
        <w:rPr>
          <w:rFonts w:ascii="Times New Roman" w:hAnsi="Times New Roman" w:cs="Times New Roman"/>
          <w:sz w:val="24"/>
          <w:szCs w:val="24"/>
        </w:rPr>
        <w:t>.</w:t>
      </w:r>
      <w:r w:rsidRPr="00CF04BF">
        <w:rPr>
          <w:rFonts w:ascii="Times New Roman" w:hAnsi="Times New Roman" w:cs="Times New Roman"/>
          <w:sz w:val="24"/>
          <w:szCs w:val="24"/>
        </w:rPr>
        <w:t xml:space="preserve">Lo anterior es cumplido de forma puntual por </w:t>
      </w:r>
      <w:r w:rsidR="00131F4B" w:rsidRPr="00CF04BF">
        <w:rPr>
          <w:rFonts w:ascii="Times New Roman" w:hAnsi="Times New Roman" w:cs="Times New Roman"/>
          <w:sz w:val="24"/>
          <w:szCs w:val="24"/>
        </w:rPr>
        <w:t>E</w:t>
      </w:r>
      <w:r w:rsidRPr="00CF04BF">
        <w:rPr>
          <w:rFonts w:ascii="Times New Roman" w:hAnsi="Times New Roman" w:cs="Times New Roman"/>
          <w:sz w:val="24"/>
          <w:szCs w:val="24"/>
        </w:rPr>
        <w:t xml:space="preserve"> quien se ha asegurado de brindar las condiciones adecuadas que permitan que la salud de la personas que viven en “La Casita” mejore durante su tratamiento, entre estas condiciones podemos mencionar la atención por un médico de planta, suministro de alimentos, cuidados en la higiene personal de los habitantes, terapias, sesiones de entrenamiento, así como la aplicación de diversos tipos de tratamientos para procurar que las personas con discapacidad tengan una mejor calidad de vida.</w:t>
      </w:r>
    </w:p>
    <w:p w:rsidR="00A108A3" w:rsidRPr="00CF04BF" w:rsidRDefault="00A108A3" w:rsidP="009972EA">
      <w:pPr>
        <w:spacing w:after="0" w:line="480" w:lineRule="auto"/>
        <w:jc w:val="both"/>
        <w:rPr>
          <w:rFonts w:ascii="Times New Roman" w:hAnsi="Times New Roman" w:cs="Times New Roman"/>
          <w:sz w:val="24"/>
          <w:szCs w:val="24"/>
        </w:rPr>
      </w:pPr>
      <w:r w:rsidRPr="00CF04BF">
        <w:rPr>
          <w:rFonts w:ascii="Times New Roman" w:hAnsi="Times New Roman" w:cs="Times New Roman"/>
          <w:sz w:val="24"/>
          <w:szCs w:val="24"/>
        </w:rPr>
        <w:t>Respecto a los tratamientos brindados, esta Corte IDH considera que todo tratamiento de salud dirigido a personas con discapacidad mental debe tener como finalidad principal el bienestar del paciente y el respeto a su dignidad como ser humano, que se traduce en el deber de adoptar como principios orientadores del tratamiento psiquiátrico, el respeto a la intimidad y</w:t>
      </w:r>
      <w:r w:rsidR="00852D2A" w:rsidRPr="00CF04BF">
        <w:rPr>
          <w:rFonts w:ascii="Times New Roman" w:hAnsi="Times New Roman" w:cs="Times New Roman"/>
          <w:sz w:val="24"/>
          <w:szCs w:val="24"/>
        </w:rPr>
        <w:t xml:space="preserve"> a la autonomía de las personas</w:t>
      </w:r>
      <w:r w:rsidRPr="00CF04BF">
        <w:rPr>
          <w:rStyle w:val="FootnoteReference"/>
          <w:rFonts w:ascii="Times New Roman" w:hAnsi="Times New Roman" w:cs="Times New Roman"/>
          <w:sz w:val="24"/>
          <w:szCs w:val="24"/>
        </w:rPr>
        <w:footnoteReference w:id="52"/>
      </w:r>
      <w:r w:rsidR="00852D2A" w:rsidRPr="00CF04BF">
        <w:rPr>
          <w:rFonts w:ascii="Times New Roman" w:hAnsi="Times New Roman" w:cs="Times New Roman"/>
          <w:sz w:val="24"/>
          <w:szCs w:val="24"/>
        </w:rPr>
        <w:t>.</w:t>
      </w:r>
      <w:r w:rsidRPr="00CF04BF">
        <w:rPr>
          <w:rFonts w:ascii="Times New Roman" w:hAnsi="Times New Roman" w:cs="Times New Roman"/>
          <w:sz w:val="24"/>
          <w:szCs w:val="24"/>
        </w:rPr>
        <w:t xml:space="preserve">La difícil situación por la que ha atravesado </w:t>
      </w:r>
      <w:r w:rsidR="00131F4B" w:rsidRPr="00CF04BF">
        <w:rPr>
          <w:rFonts w:ascii="Times New Roman" w:hAnsi="Times New Roman" w:cs="Times New Roman"/>
          <w:sz w:val="24"/>
          <w:szCs w:val="24"/>
        </w:rPr>
        <w:t>C</w:t>
      </w:r>
      <w:r w:rsidRPr="00CF04BF">
        <w:rPr>
          <w:rFonts w:ascii="Times New Roman" w:hAnsi="Times New Roman" w:cs="Times New Roman"/>
          <w:sz w:val="24"/>
          <w:szCs w:val="24"/>
        </w:rPr>
        <w:t xml:space="preserve"> a lo largo de su vida, antes de su llegada a “La Casita”, ha generado afectaciones a su salud mental, es por ello que tras diversos estudios que le fueron practicados por el personal médico de "La Casita"</w:t>
      </w:r>
      <w:r w:rsidRPr="00CF04BF">
        <w:rPr>
          <w:rStyle w:val="FootnoteReference"/>
          <w:rFonts w:ascii="Times New Roman" w:hAnsi="Times New Roman" w:cs="Times New Roman"/>
          <w:sz w:val="24"/>
          <w:szCs w:val="24"/>
        </w:rPr>
        <w:footnoteReference w:id="53"/>
      </w:r>
      <w:r w:rsidRPr="00CF04BF">
        <w:rPr>
          <w:rFonts w:ascii="Times New Roman" w:hAnsi="Times New Roman" w:cs="Times New Roman"/>
          <w:sz w:val="24"/>
          <w:szCs w:val="24"/>
        </w:rPr>
        <w:t>se le diagnostico depresión grave, la cual es considerada mundialmente como la principal causa de discapacidad</w:t>
      </w:r>
      <w:r w:rsidRPr="00CF04BF">
        <w:rPr>
          <w:rStyle w:val="FootnoteReference"/>
          <w:rFonts w:ascii="Times New Roman" w:hAnsi="Times New Roman" w:cs="Times New Roman"/>
          <w:sz w:val="24"/>
          <w:szCs w:val="24"/>
        </w:rPr>
        <w:footnoteReference w:id="54"/>
      </w:r>
      <w:r w:rsidRPr="00CF04BF">
        <w:rPr>
          <w:rFonts w:ascii="Times New Roman" w:hAnsi="Times New Roman" w:cs="Times New Roman"/>
          <w:sz w:val="24"/>
          <w:szCs w:val="24"/>
        </w:rPr>
        <w:t>debido a que afecta la capacidad de las personas de desenvolverse en el ámbito familiar, laboral y social, por lo que en algunos casos puede traer consigo graves consecuenci</w:t>
      </w:r>
      <w:r w:rsidR="00852D2A" w:rsidRPr="00CF04BF">
        <w:rPr>
          <w:rFonts w:ascii="Times New Roman" w:hAnsi="Times New Roman" w:cs="Times New Roman"/>
          <w:sz w:val="24"/>
          <w:szCs w:val="24"/>
        </w:rPr>
        <w:t>as como la muerte por suicidios</w:t>
      </w:r>
      <w:r w:rsidRPr="00CF04BF">
        <w:rPr>
          <w:rStyle w:val="FootnoteReference"/>
          <w:rFonts w:ascii="Times New Roman" w:hAnsi="Times New Roman" w:cs="Times New Roman"/>
          <w:sz w:val="24"/>
          <w:szCs w:val="24"/>
        </w:rPr>
        <w:footnoteReference w:id="55"/>
      </w:r>
      <w:r w:rsidR="00852D2A" w:rsidRPr="00CF04BF">
        <w:rPr>
          <w:rFonts w:ascii="Times New Roman" w:hAnsi="Times New Roman" w:cs="Times New Roman"/>
          <w:sz w:val="24"/>
          <w:szCs w:val="24"/>
        </w:rPr>
        <w:t>.</w:t>
      </w:r>
      <w:r w:rsidRPr="00CF04BF">
        <w:rPr>
          <w:rFonts w:ascii="Times New Roman" w:hAnsi="Times New Roman" w:cs="Times New Roman"/>
          <w:sz w:val="24"/>
          <w:szCs w:val="24"/>
        </w:rPr>
        <w:t xml:space="preserve">En consecuencia, una vez determinado el diagnostico de </w:t>
      </w:r>
      <w:r w:rsidR="00131F4B" w:rsidRPr="00CF04BF">
        <w:rPr>
          <w:rFonts w:ascii="Times New Roman" w:hAnsi="Times New Roman" w:cs="Times New Roman"/>
          <w:sz w:val="24"/>
          <w:szCs w:val="24"/>
        </w:rPr>
        <w:t>C</w:t>
      </w:r>
      <w:r w:rsidRPr="00CF04BF">
        <w:rPr>
          <w:rFonts w:ascii="Times New Roman" w:hAnsi="Times New Roman" w:cs="Times New Roman"/>
          <w:sz w:val="24"/>
          <w:szCs w:val="24"/>
        </w:rPr>
        <w:t xml:space="preserve">, el </w:t>
      </w:r>
      <w:r w:rsidRPr="00CF04BF">
        <w:rPr>
          <w:rFonts w:ascii="Times New Roman" w:hAnsi="Times New Roman" w:cs="Times New Roman"/>
          <w:sz w:val="24"/>
          <w:szCs w:val="24"/>
        </w:rPr>
        <w:lastRenderedPageBreak/>
        <w:t>doctor de planta le asignó un tratamiento con base en el consumo de fármacos antidepresiv</w:t>
      </w:r>
      <w:r w:rsidR="00852D2A" w:rsidRPr="00CF04BF">
        <w:rPr>
          <w:rFonts w:ascii="Times New Roman" w:hAnsi="Times New Roman" w:cs="Times New Roman"/>
          <w:sz w:val="24"/>
          <w:szCs w:val="24"/>
        </w:rPr>
        <w:t>os para mejorar su salud mental</w:t>
      </w:r>
      <w:r w:rsidRPr="00CF04BF">
        <w:rPr>
          <w:rStyle w:val="FootnoteReference"/>
          <w:rFonts w:ascii="Times New Roman" w:hAnsi="Times New Roman" w:cs="Times New Roman"/>
          <w:sz w:val="24"/>
          <w:szCs w:val="24"/>
        </w:rPr>
        <w:footnoteReference w:id="56"/>
      </w:r>
      <w:r w:rsidR="00852D2A" w:rsidRPr="00CF04BF">
        <w:rPr>
          <w:rFonts w:ascii="Times New Roman" w:hAnsi="Times New Roman" w:cs="Times New Roman"/>
          <w:sz w:val="24"/>
          <w:szCs w:val="24"/>
        </w:rPr>
        <w:t xml:space="preserve">, </w:t>
      </w:r>
      <w:r w:rsidRPr="00CF04BF">
        <w:rPr>
          <w:rFonts w:ascii="Times New Roman" w:hAnsi="Times New Roman" w:cs="Times New Roman"/>
          <w:sz w:val="24"/>
          <w:szCs w:val="24"/>
        </w:rPr>
        <w:t xml:space="preserve">de esta manera </w:t>
      </w:r>
      <w:r w:rsidR="00131F4B" w:rsidRPr="00CF04BF">
        <w:rPr>
          <w:rFonts w:ascii="Times New Roman" w:hAnsi="Times New Roman" w:cs="Times New Roman"/>
          <w:sz w:val="24"/>
          <w:szCs w:val="24"/>
        </w:rPr>
        <w:t>E</w:t>
      </w:r>
      <w:r w:rsidRPr="00CF04BF">
        <w:rPr>
          <w:rFonts w:ascii="Times New Roman" w:hAnsi="Times New Roman" w:cs="Times New Roman"/>
          <w:sz w:val="24"/>
          <w:szCs w:val="24"/>
        </w:rPr>
        <w:t xml:space="preserve"> se aseguró de que la medicación respondiera a las necesidades fundamentales de salud del paciente y sólo se le administrara con fines terapéuticos o de diagnóstico prescrita por un profesi</w:t>
      </w:r>
      <w:r w:rsidR="00852D2A" w:rsidRPr="00CF04BF">
        <w:rPr>
          <w:rFonts w:ascii="Times New Roman" w:hAnsi="Times New Roman" w:cs="Times New Roman"/>
          <w:sz w:val="24"/>
          <w:szCs w:val="24"/>
        </w:rPr>
        <w:t>onal de salud mental autorizado</w:t>
      </w:r>
      <w:r w:rsidRPr="00CF04BF">
        <w:rPr>
          <w:rStyle w:val="FootnoteReference"/>
          <w:rFonts w:ascii="Times New Roman" w:hAnsi="Times New Roman" w:cs="Times New Roman"/>
          <w:sz w:val="24"/>
          <w:szCs w:val="24"/>
        </w:rPr>
        <w:footnoteReference w:id="57"/>
      </w:r>
      <w:r w:rsidR="00852D2A" w:rsidRPr="00CF04BF">
        <w:rPr>
          <w:rFonts w:ascii="Times New Roman" w:hAnsi="Times New Roman" w:cs="Times New Roman"/>
          <w:sz w:val="24"/>
          <w:szCs w:val="24"/>
        </w:rPr>
        <w:t>.</w:t>
      </w:r>
      <w:r w:rsidRPr="00CF04BF">
        <w:rPr>
          <w:rFonts w:ascii="Times New Roman" w:hAnsi="Times New Roman" w:cs="Times New Roman"/>
          <w:sz w:val="24"/>
          <w:szCs w:val="24"/>
        </w:rPr>
        <w:t>Por otra parte, la CIDH ha establecido que la discapacidad mental no debe ser entendida como una incapacidad para determinarse, y debe aplicarse la presunción de que las personas que padecen de ese tipo de discapacidad son capaces de expresar su voluntad</w:t>
      </w:r>
      <w:r w:rsidRPr="00CF04BF">
        <w:rPr>
          <w:rStyle w:val="FootnoteReference"/>
          <w:rFonts w:ascii="Times New Roman" w:hAnsi="Times New Roman" w:cs="Times New Roman"/>
          <w:sz w:val="24"/>
          <w:szCs w:val="24"/>
        </w:rPr>
        <w:footnoteReference w:id="58"/>
      </w:r>
      <w:r w:rsidR="00852D2A" w:rsidRPr="00CF04BF">
        <w:rPr>
          <w:rFonts w:ascii="Times New Roman" w:hAnsi="Times New Roman" w:cs="Times New Roman"/>
          <w:sz w:val="24"/>
          <w:szCs w:val="24"/>
        </w:rPr>
        <w:t>,</w:t>
      </w:r>
      <w:r w:rsidRPr="00CF04BF">
        <w:rPr>
          <w:rFonts w:ascii="Times New Roman" w:hAnsi="Times New Roman" w:cs="Times New Roman"/>
          <w:sz w:val="24"/>
          <w:szCs w:val="24"/>
        </w:rPr>
        <w:t xml:space="preserve"> por ello </w:t>
      </w:r>
      <w:r w:rsidR="00131F4B" w:rsidRPr="00CF04BF">
        <w:rPr>
          <w:rFonts w:ascii="Times New Roman" w:hAnsi="Times New Roman" w:cs="Times New Roman"/>
          <w:sz w:val="24"/>
          <w:szCs w:val="24"/>
        </w:rPr>
        <w:t>E</w:t>
      </w:r>
      <w:r w:rsidRPr="00CF04BF">
        <w:rPr>
          <w:rFonts w:ascii="Times New Roman" w:hAnsi="Times New Roman" w:cs="Times New Roman"/>
          <w:sz w:val="24"/>
          <w:szCs w:val="24"/>
        </w:rPr>
        <w:t xml:space="preserve"> desde el ingreso y dictamen del estado de salud de </w:t>
      </w:r>
      <w:r w:rsidR="00131F4B" w:rsidRPr="00CF04BF">
        <w:rPr>
          <w:rFonts w:ascii="Times New Roman" w:hAnsi="Times New Roman" w:cs="Times New Roman"/>
          <w:sz w:val="24"/>
          <w:szCs w:val="24"/>
        </w:rPr>
        <w:t>C</w:t>
      </w:r>
      <w:r w:rsidRPr="00CF04BF">
        <w:rPr>
          <w:rFonts w:ascii="Times New Roman" w:hAnsi="Times New Roman" w:cs="Times New Roman"/>
          <w:sz w:val="24"/>
          <w:szCs w:val="24"/>
        </w:rPr>
        <w:t xml:space="preserve">, en atención al respeto de su autonomía como ser humano y antes de que fuera promovido el juicio de interdicción, le brindó a </w:t>
      </w:r>
      <w:r w:rsidR="00131F4B" w:rsidRPr="00CF04BF">
        <w:rPr>
          <w:rFonts w:ascii="Times New Roman" w:hAnsi="Times New Roman" w:cs="Times New Roman"/>
          <w:sz w:val="24"/>
          <w:szCs w:val="24"/>
        </w:rPr>
        <w:t>C</w:t>
      </w:r>
      <w:r w:rsidRPr="00CF04BF">
        <w:rPr>
          <w:rFonts w:ascii="Times New Roman" w:hAnsi="Times New Roman" w:cs="Times New Roman"/>
          <w:sz w:val="24"/>
          <w:szCs w:val="24"/>
        </w:rPr>
        <w:t xml:space="preserve"> toda la información relativa a su tratamiento para que pudiera emi</w:t>
      </w:r>
      <w:r w:rsidR="00852D2A" w:rsidRPr="00CF04BF">
        <w:rPr>
          <w:rFonts w:ascii="Times New Roman" w:hAnsi="Times New Roman" w:cs="Times New Roman"/>
          <w:sz w:val="24"/>
          <w:szCs w:val="24"/>
        </w:rPr>
        <w:t>tir un consentimiento informado</w:t>
      </w:r>
      <w:r w:rsidRPr="00CF04BF">
        <w:rPr>
          <w:rStyle w:val="FootnoteReference"/>
          <w:rFonts w:ascii="Times New Roman" w:hAnsi="Times New Roman" w:cs="Times New Roman"/>
          <w:sz w:val="24"/>
          <w:szCs w:val="24"/>
        </w:rPr>
        <w:footnoteReference w:id="59"/>
      </w:r>
      <w:r w:rsidR="00852D2A" w:rsidRPr="00CF04BF">
        <w:rPr>
          <w:rFonts w:ascii="Times New Roman" w:hAnsi="Times New Roman" w:cs="Times New Roman"/>
          <w:sz w:val="24"/>
          <w:szCs w:val="24"/>
        </w:rPr>
        <w:t>,</w:t>
      </w:r>
      <w:r w:rsidR="009D3D84" w:rsidRPr="00CF04BF">
        <w:rPr>
          <w:rFonts w:ascii="Times New Roman" w:hAnsi="Times New Roman" w:cs="Times New Roman"/>
          <w:sz w:val="24"/>
          <w:szCs w:val="24"/>
        </w:rPr>
        <w:t xml:space="preserve"> esto al cumplir con lo siguiente</w:t>
      </w:r>
      <w:r w:rsidRPr="00CF04BF">
        <w:rPr>
          <w:rStyle w:val="FootnoteReference"/>
          <w:rFonts w:ascii="Times New Roman" w:hAnsi="Times New Roman" w:cs="Times New Roman"/>
          <w:sz w:val="24"/>
          <w:szCs w:val="24"/>
        </w:rPr>
        <w:footnoteReference w:id="60"/>
      </w:r>
      <w:r w:rsidR="00852D2A" w:rsidRPr="00CF04BF">
        <w:rPr>
          <w:rFonts w:ascii="Times New Roman" w:hAnsi="Times New Roman" w:cs="Times New Roman"/>
          <w:sz w:val="24"/>
          <w:szCs w:val="24"/>
        </w:rPr>
        <w:t>:</w:t>
      </w:r>
      <w:r w:rsidRPr="00CF04BF">
        <w:rPr>
          <w:rFonts w:ascii="Times New Roman" w:hAnsi="Times New Roman" w:cs="Times New Roman"/>
          <w:sz w:val="24"/>
          <w:szCs w:val="24"/>
        </w:rPr>
        <w:t xml:space="preserve"> a)</w:t>
      </w:r>
      <w:r w:rsidR="005424E7">
        <w:rPr>
          <w:rFonts w:ascii="Times New Roman" w:hAnsi="Times New Roman" w:cs="Times New Roman"/>
          <w:sz w:val="24"/>
          <w:szCs w:val="24"/>
        </w:rPr>
        <w:t xml:space="preserve"> El diagnóstico y su evaluación;</w:t>
      </w:r>
      <w:r w:rsidRPr="00CF04BF">
        <w:rPr>
          <w:rFonts w:ascii="Times New Roman" w:hAnsi="Times New Roman" w:cs="Times New Roman"/>
          <w:sz w:val="24"/>
          <w:szCs w:val="24"/>
        </w:rPr>
        <w:t xml:space="preserve"> respecto a este punto una vez que el médico evaluó la salud de </w:t>
      </w:r>
      <w:r w:rsidR="00131F4B" w:rsidRPr="00CF04BF">
        <w:rPr>
          <w:rFonts w:ascii="Times New Roman" w:hAnsi="Times New Roman" w:cs="Times New Roman"/>
          <w:sz w:val="24"/>
          <w:szCs w:val="24"/>
        </w:rPr>
        <w:t>C</w:t>
      </w:r>
      <w:r w:rsidRPr="00CF04BF">
        <w:rPr>
          <w:rFonts w:ascii="Times New Roman" w:hAnsi="Times New Roman" w:cs="Times New Roman"/>
          <w:sz w:val="24"/>
          <w:szCs w:val="24"/>
        </w:rPr>
        <w:t xml:space="preserve"> se le brindó a ella toda la información sobre dicha evaluación y la conclusión del diagnóstico de su salud; b) El propósito, el método, la duración probable y los beneficios que se espera ob</w:t>
      </w:r>
      <w:r w:rsidR="005424E7">
        <w:rPr>
          <w:rFonts w:ascii="Times New Roman" w:hAnsi="Times New Roman" w:cs="Times New Roman"/>
          <w:sz w:val="24"/>
          <w:szCs w:val="24"/>
        </w:rPr>
        <w:t>tener del tratamiento propuesto;</w:t>
      </w:r>
      <w:r w:rsidRPr="00CF04BF">
        <w:rPr>
          <w:rFonts w:ascii="Times New Roman" w:hAnsi="Times New Roman" w:cs="Times New Roman"/>
          <w:sz w:val="24"/>
          <w:szCs w:val="24"/>
        </w:rPr>
        <w:t xml:space="preserve"> en atención a esto a </w:t>
      </w:r>
      <w:r w:rsidR="00131F4B" w:rsidRPr="00CF04BF">
        <w:rPr>
          <w:rFonts w:ascii="Times New Roman" w:hAnsi="Times New Roman" w:cs="Times New Roman"/>
          <w:sz w:val="24"/>
          <w:szCs w:val="24"/>
        </w:rPr>
        <w:t>C</w:t>
      </w:r>
      <w:r w:rsidRPr="00CF04BF">
        <w:rPr>
          <w:rFonts w:ascii="Times New Roman" w:hAnsi="Times New Roman" w:cs="Times New Roman"/>
          <w:sz w:val="24"/>
          <w:szCs w:val="24"/>
        </w:rPr>
        <w:t xml:space="preserve"> se le informó que el objetivo de este tratamiento era mejorar su estado de ánimo, el cual era consecuencia de la depresión, de la misma forma se le indicó que su tratamiento consistiría en tomar fármacos antidepresivos y que debería ingerirlos por lo menos seis meses para que fuera efectivo; c) Las demás modalidades posibles de tratamiento, incluidas</w:t>
      </w:r>
      <w:r w:rsidR="005424E7">
        <w:rPr>
          <w:rFonts w:ascii="Times New Roman" w:hAnsi="Times New Roman" w:cs="Times New Roman"/>
          <w:sz w:val="24"/>
          <w:szCs w:val="24"/>
        </w:rPr>
        <w:t xml:space="preserve"> las menos alteradoras posibles;</w:t>
      </w:r>
      <w:r w:rsidRPr="00CF04BF">
        <w:rPr>
          <w:rFonts w:ascii="Times New Roman" w:hAnsi="Times New Roman" w:cs="Times New Roman"/>
          <w:sz w:val="24"/>
          <w:szCs w:val="24"/>
        </w:rPr>
        <w:t xml:space="preserve"> en el presente caso consistían en fármacos de tipo psiquiátrico, que debido a sus efectos no le fueron suministrados a </w:t>
      </w:r>
      <w:r w:rsidR="00131F4B" w:rsidRPr="00CF04BF">
        <w:rPr>
          <w:rFonts w:ascii="Times New Roman" w:hAnsi="Times New Roman" w:cs="Times New Roman"/>
          <w:sz w:val="24"/>
          <w:szCs w:val="24"/>
        </w:rPr>
        <w:t>C</w:t>
      </w:r>
      <w:r w:rsidRPr="00CF04BF">
        <w:rPr>
          <w:rFonts w:ascii="Times New Roman" w:hAnsi="Times New Roman" w:cs="Times New Roman"/>
          <w:sz w:val="24"/>
          <w:szCs w:val="24"/>
        </w:rPr>
        <w:t xml:space="preserve"> sino hasta </w:t>
      </w:r>
      <w:r w:rsidRPr="00CF04BF">
        <w:rPr>
          <w:rFonts w:ascii="Times New Roman" w:hAnsi="Times New Roman" w:cs="Times New Roman"/>
          <w:sz w:val="24"/>
          <w:szCs w:val="24"/>
        </w:rPr>
        <w:lastRenderedPageBreak/>
        <w:t>que su estado de salud los requirió; d) Los dolores o incomodidades posibles y los riesgos y sec</w:t>
      </w:r>
      <w:r w:rsidR="005424E7">
        <w:rPr>
          <w:rFonts w:ascii="Times New Roman" w:hAnsi="Times New Roman" w:cs="Times New Roman"/>
          <w:sz w:val="24"/>
          <w:szCs w:val="24"/>
        </w:rPr>
        <w:t>uelas del tratamiento propuesto;</w:t>
      </w:r>
      <w:r w:rsidRPr="00CF04BF">
        <w:rPr>
          <w:rFonts w:ascii="Times New Roman" w:hAnsi="Times New Roman" w:cs="Times New Roman"/>
          <w:sz w:val="24"/>
          <w:szCs w:val="24"/>
        </w:rPr>
        <w:t xml:space="preserve"> lo anterior se llevó a cabo a través de las consultas médicas de </w:t>
      </w:r>
      <w:r w:rsidR="00131F4B" w:rsidRPr="00CF04BF">
        <w:rPr>
          <w:rFonts w:ascii="Times New Roman" w:hAnsi="Times New Roman" w:cs="Times New Roman"/>
          <w:sz w:val="24"/>
          <w:szCs w:val="24"/>
        </w:rPr>
        <w:t>C</w:t>
      </w:r>
      <w:r w:rsidRPr="00CF04BF">
        <w:rPr>
          <w:rFonts w:ascii="Times New Roman" w:hAnsi="Times New Roman" w:cs="Times New Roman"/>
          <w:sz w:val="24"/>
          <w:szCs w:val="24"/>
        </w:rPr>
        <w:t xml:space="preserve"> donde le eran confirmados y tratados las reacciones derivadas de su tratamiento e incluso el doctor de planta estuvo siempre disponible ante cualquier contingencia que pudiera sucederle a </w:t>
      </w:r>
      <w:r w:rsidR="00131F4B" w:rsidRPr="00CF04BF">
        <w:rPr>
          <w:rFonts w:ascii="Times New Roman" w:hAnsi="Times New Roman" w:cs="Times New Roman"/>
          <w:sz w:val="24"/>
          <w:szCs w:val="24"/>
        </w:rPr>
        <w:t>C</w:t>
      </w:r>
      <w:r w:rsidRPr="00CF04BF">
        <w:rPr>
          <w:rStyle w:val="FootnoteReference"/>
          <w:rFonts w:ascii="Times New Roman" w:hAnsi="Times New Roman" w:cs="Times New Roman"/>
          <w:sz w:val="24"/>
          <w:szCs w:val="24"/>
        </w:rPr>
        <w:footnoteReference w:id="61"/>
      </w:r>
      <w:r w:rsidR="00852D2A" w:rsidRPr="00CF04BF">
        <w:rPr>
          <w:rFonts w:ascii="Times New Roman" w:hAnsi="Times New Roman" w:cs="Times New Roman"/>
          <w:sz w:val="24"/>
          <w:szCs w:val="24"/>
        </w:rPr>
        <w:t>.</w:t>
      </w:r>
      <w:r w:rsidRPr="00CF04BF">
        <w:rPr>
          <w:rFonts w:ascii="Times New Roman" w:hAnsi="Times New Roman" w:cs="Times New Roman"/>
          <w:sz w:val="24"/>
          <w:szCs w:val="24"/>
        </w:rPr>
        <w:t xml:space="preserve">Siguiendo este orden de ideas, es claro que </w:t>
      </w:r>
      <w:r w:rsidR="00131F4B" w:rsidRPr="00CF04BF">
        <w:rPr>
          <w:rFonts w:ascii="Times New Roman" w:hAnsi="Times New Roman" w:cs="Times New Roman"/>
          <w:sz w:val="24"/>
          <w:szCs w:val="24"/>
        </w:rPr>
        <w:t>C</w:t>
      </w:r>
      <w:r w:rsidRPr="00CF04BF">
        <w:rPr>
          <w:rFonts w:ascii="Times New Roman" w:hAnsi="Times New Roman" w:cs="Times New Roman"/>
          <w:sz w:val="24"/>
          <w:szCs w:val="24"/>
        </w:rPr>
        <w:t xml:space="preserve"> dio su consentimiento informado para recibir el tratamiento médico a base de fármacos antidepresivos.</w:t>
      </w:r>
      <w:r w:rsidR="00E00698" w:rsidRPr="00CF04BF">
        <w:rPr>
          <w:rFonts w:ascii="Times New Roman" w:hAnsi="Times New Roman" w:cs="Times New Roman"/>
          <w:sz w:val="24"/>
          <w:szCs w:val="24"/>
        </w:rPr>
        <w:t xml:space="preserve"> E</w:t>
      </w:r>
      <w:r w:rsidRPr="00CF04BF">
        <w:rPr>
          <w:rFonts w:ascii="Times New Roman" w:hAnsi="Times New Roman" w:cs="Times New Roman"/>
          <w:sz w:val="24"/>
          <w:szCs w:val="24"/>
        </w:rPr>
        <w:t xml:space="preserve">n lo que respecta al suceso acontecido el 6 de abril de 2014, ante un arrebato emocional que pudo poner la integridad física de </w:t>
      </w:r>
      <w:r w:rsidR="00131F4B" w:rsidRPr="00CF04BF">
        <w:rPr>
          <w:rFonts w:ascii="Times New Roman" w:hAnsi="Times New Roman" w:cs="Times New Roman"/>
          <w:sz w:val="24"/>
          <w:szCs w:val="24"/>
        </w:rPr>
        <w:t>C</w:t>
      </w:r>
      <w:r w:rsidRPr="00CF04BF">
        <w:rPr>
          <w:rFonts w:ascii="Times New Roman" w:hAnsi="Times New Roman" w:cs="Times New Roman"/>
          <w:sz w:val="24"/>
          <w:szCs w:val="24"/>
        </w:rPr>
        <w:t xml:space="preserve"> y la de los demás habitantes de "La Casita" en riesgo, las autoridades del albergue tomaron la decisión de resguardar a </w:t>
      </w:r>
      <w:r w:rsidR="00131F4B" w:rsidRPr="00CF04BF">
        <w:rPr>
          <w:rFonts w:ascii="Times New Roman" w:hAnsi="Times New Roman" w:cs="Times New Roman"/>
          <w:sz w:val="24"/>
          <w:szCs w:val="24"/>
        </w:rPr>
        <w:t>C</w:t>
      </w:r>
      <w:r w:rsidRPr="00CF04BF">
        <w:rPr>
          <w:rFonts w:ascii="Times New Roman" w:hAnsi="Times New Roman" w:cs="Times New Roman"/>
          <w:sz w:val="24"/>
          <w:szCs w:val="24"/>
        </w:rPr>
        <w:t xml:space="preserve"> en un cuarto de aislamiento. El TEDH ha establecido que el aislamiento por razones de seguridad, disciplina o protección no es en sí mismo un trato</w:t>
      </w:r>
      <w:r w:rsidR="00852D2A" w:rsidRPr="00CF04BF">
        <w:rPr>
          <w:rFonts w:ascii="Times New Roman" w:hAnsi="Times New Roman" w:cs="Times New Roman"/>
          <w:sz w:val="24"/>
          <w:szCs w:val="24"/>
        </w:rPr>
        <w:t xml:space="preserve"> inhumano o una pena degradante</w:t>
      </w:r>
      <w:r w:rsidRPr="00CF04BF">
        <w:rPr>
          <w:rStyle w:val="FootnoteReference"/>
          <w:rFonts w:ascii="Times New Roman" w:hAnsi="Times New Roman" w:cs="Times New Roman"/>
          <w:sz w:val="24"/>
          <w:szCs w:val="24"/>
        </w:rPr>
        <w:footnoteReference w:id="62"/>
      </w:r>
      <w:r w:rsidR="00852D2A" w:rsidRPr="00CF04BF">
        <w:rPr>
          <w:rFonts w:ascii="Times New Roman" w:hAnsi="Times New Roman" w:cs="Times New Roman"/>
          <w:sz w:val="24"/>
          <w:szCs w:val="24"/>
        </w:rPr>
        <w:t>,</w:t>
      </w:r>
      <w:r w:rsidR="009D3D84" w:rsidRPr="00CF04BF">
        <w:rPr>
          <w:rFonts w:ascii="Times New Roman" w:hAnsi="Times New Roman" w:cs="Times New Roman"/>
          <w:sz w:val="24"/>
          <w:szCs w:val="24"/>
        </w:rPr>
        <w:t xml:space="preserve"> por otra parte esta Corte </w:t>
      </w:r>
      <w:r w:rsidRPr="00CF04BF">
        <w:rPr>
          <w:rFonts w:ascii="Times New Roman" w:hAnsi="Times New Roman" w:cs="Times New Roman"/>
          <w:sz w:val="24"/>
          <w:szCs w:val="24"/>
        </w:rPr>
        <w:t>considera que las celdas de aislamiento o castigo sólo deben usarse como medidas disciplinarias o para la protección de las personas por el tiempo estrictamente necesario y en estricta aplicación de los criterios de racionalidad, n</w:t>
      </w:r>
      <w:r w:rsidR="00852D2A" w:rsidRPr="00CF04BF">
        <w:rPr>
          <w:rFonts w:ascii="Times New Roman" w:hAnsi="Times New Roman" w:cs="Times New Roman"/>
          <w:sz w:val="24"/>
          <w:szCs w:val="24"/>
        </w:rPr>
        <w:t>ecesidad y legalidad</w:t>
      </w:r>
      <w:r w:rsidRPr="00CF04BF">
        <w:rPr>
          <w:rStyle w:val="FootnoteReference"/>
          <w:rFonts w:ascii="Times New Roman" w:hAnsi="Times New Roman" w:cs="Times New Roman"/>
          <w:sz w:val="24"/>
          <w:szCs w:val="24"/>
        </w:rPr>
        <w:footnoteReference w:id="63"/>
      </w:r>
      <w:r w:rsidR="00852D2A" w:rsidRPr="00CF04BF">
        <w:rPr>
          <w:rFonts w:ascii="Times New Roman" w:hAnsi="Times New Roman" w:cs="Times New Roman"/>
          <w:sz w:val="24"/>
          <w:szCs w:val="24"/>
        </w:rPr>
        <w:t>.A</w:t>
      </w:r>
      <w:r w:rsidRPr="00CF04BF">
        <w:rPr>
          <w:rFonts w:ascii="Times New Roman" w:hAnsi="Times New Roman" w:cs="Times New Roman"/>
          <w:sz w:val="24"/>
          <w:szCs w:val="24"/>
        </w:rPr>
        <w:t xml:space="preserve">nalizando los criterios anteriormente mencionados podemos destacar en primer lugar que el aislamiento fue empleado por motivos de protección de la seguridad e integridad física de </w:t>
      </w:r>
      <w:r w:rsidR="00131F4B" w:rsidRPr="00CF04BF">
        <w:rPr>
          <w:rFonts w:ascii="Times New Roman" w:hAnsi="Times New Roman" w:cs="Times New Roman"/>
          <w:sz w:val="24"/>
          <w:szCs w:val="24"/>
        </w:rPr>
        <w:t>C</w:t>
      </w:r>
      <w:r w:rsidRPr="00CF04BF">
        <w:rPr>
          <w:rFonts w:ascii="Times New Roman" w:hAnsi="Times New Roman" w:cs="Times New Roman"/>
          <w:sz w:val="24"/>
          <w:szCs w:val="24"/>
        </w:rPr>
        <w:t xml:space="preserve">, de los habitantes de "La Casita", así como de su personal; en segundo lugar </w:t>
      </w:r>
      <w:r w:rsidR="00131F4B" w:rsidRPr="00CF04BF">
        <w:rPr>
          <w:rFonts w:ascii="Times New Roman" w:hAnsi="Times New Roman" w:cs="Times New Roman"/>
          <w:sz w:val="24"/>
          <w:szCs w:val="24"/>
        </w:rPr>
        <w:t>C</w:t>
      </w:r>
      <w:r w:rsidRPr="00CF04BF">
        <w:rPr>
          <w:rFonts w:ascii="Times New Roman" w:hAnsi="Times New Roman" w:cs="Times New Roman"/>
          <w:sz w:val="24"/>
          <w:szCs w:val="24"/>
        </w:rPr>
        <w:t xml:space="preserve"> fue resguardada por un plazo de cuatro horas el cual dista mucho del plazo de 22 a 24 horas requerido para que un ais</w:t>
      </w:r>
      <w:r w:rsidR="005424E7">
        <w:rPr>
          <w:rFonts w:ascii="Times New Roman" w:hAnsi="Times New Roman" w:cs="Times New Roman"/>
          <w:sz w:val="24"/>
          <w:szCs w:val="24"/>
        </w:rPr>
        <w:t xml:space="preserve">lamiento sea considerado como </w:t>
      </w:r>
      <w:r w:rsidRPr="00CF04BF">
        <w:rPr>
          <w:rFonts w:ascii="Times New Roman" w:hAnsi="Times New Roman" w:cs="Times New Roman"/>
          <w:sz w:val="24"/>
          <w:szCs w:val="24"/>
        </w:rPr>
        <w:t>tortura</w:t>
      </w:r>
      <w:r w:rsidRPr="00CF04BF">
        <w:rPr>
          <w:rStyle w:val="FootnoteReference"/>
          <w:rFonts w:ascii="Times New Roman" w:hAnsi="Times New Roman" w:cs="Times New Roman"/>
          <w:sz w:val="24"/>
          <w:szCs w:val="24"/>
        </w:rPr>
        <w:footnoteReference w:id="64"/>
      </w:r>
      <w:r w:rsidRPr="00CF04BF">
        <w:rPr>
          <w:rFonts w:ascii="Times New Roman" w:hAnsi="Times New Roman" w:cs="Times New Roman"/>
          <w:sz w:val="24"/>
          <w:szCs w:val="24"/>
        </w:rPr>
        <w:t xml:space="preserve"> y se encuentra aún más alejado del plazo de 40 días de aislamiento por el cual la CIDH encontró culpable al Estado de Ecuador por tratos crueles, inhumanos o </w:t>
      </w:r>
      <w:r w:rsidRPr="00CF04BF">
        <w:rPr>
          <w:rFonts w:ascii="Times New Roman" w:hAnsi="Times New Roman" w:cs="Times New Roman"/>
          <w:sz w:val="24"/>
          <w:szCs w:val="24"/>
        </w:rPr>
        <w:lastRenderedPageBreak/>
        <w:t>degradant</w:t>
      </w:r>
      <w:r w:rsidR="00852D2A" w:rsidRPr="00CF04BF">
        <w:rPr>
          <w:rFonts w:ascii="Times New Roman" w:hAnsi="Times New Roman" w:cs="Times New Roman"/>
          <w:sz w:val="24"/>
          <w:szCs w:val="24"/>
        </w:rPr>
        <w:t>es con motivo de un aislamiento</w:t>
      </w:r>
      <w:r w:rsidRPr="00CF04BF">
        <w:rPr>
          <w:rStyle w:val="FootnoteReference"/>
          <w:rFonts w:ascii="Times New Roman" w:hAnsi="Times New Roman" w:cs="Times New Roman"/>
          <w:sz w:val="24"/>
          <w:szCs w:val="24"/>
        </w:rPr>
        <w:footnoteReference w:id="65"/>
      </w:r>
      <w:r w:rsidR="00852D2A" w:rsidRPr="00CF04BF">
        <w:rPr>
          <w:rFonts w:ascii="Times New Roman" w:hAnsi="Times New Roman" w:cs="Times New Roman"/>
          <w:sz w:val="24"/>
          <w:szCs w:val="24"/>
        </w:rPr>
        <w:t>.</w:t>
      </w:r>
      <w:r w:rsidRPr="00CF04BF">
        <w:rPr>
          <w:rFonts w:ascii="Times New Roman" w:hAnsi="Times New Roman" w:cs="Times New Roman"/>
          <w:sz w:val="24"/>
          <w:szCs w:val="24"/>
        </w:rPr>
        <w:t>Siguiendo el análisis, el Comité contra la Tortura de Naciones Unidas señaló que celdas de aislamiento de 60 por 80 centímetros, en las que no hay luz ni ventilación y sól</w:t>
      </w:r>
      <w:r w:rsidR="009D3D84" w:rsidRPr="00CF04BF">
        <w:rPr>
          <w:rFonts w:ascii="Times New Roman" w:hAnsi="Times New Roman" w:cs="Times New Roman"/>
          <w:sz w:val="24"/>
          <w:szCs w:val="24"/>
        </w:rPr>
        <w:t>o se puede estar en ellas de pie</w:t>
      </w:r>
      <w:r w:rsidRPr="00CF04BF">
        <w:rPr>
          <w:rFonts w:ascii="Times New Roman" w:hAnsi="Times New Roman" w:cs="Times New Roman"/>
          <w:sz w:val="24"/>
          <w:szCs w:val="24"/>
        </w:rPr>
        <w:t xml:space="preserve"> o agachado constituyen en sí mismas una </w:t>
      </w:r>
      <w:r w:rsidR="00852D2A" w:rsidRPr="00CF04BF">
        <w:rPr>
          <w:rFonts w:ascii="Times New Roman" w:hAnsi="Times New Roman" w:cs="Times New Roman"/>
          <w:sz w:val="24"/>
          <w:szCs w:val="24"/>
        </w:rPr>
        <w:t>forma de instrumento de tortura</w:t>
      </w:r>
      <w:r w:rsidRPr="00CF04BF">
        <w:rPr>
          <w:rStyle w:val="FootnoteReference"/>
          <w:rFonts w:ascii="Times New Roman" w:hAnsi="Times New Roman" w:cs="Times New Roman"/>
          <w:sz w:val="24"/>
          <w:szCs w:val="24"/>
        </w:rPr>
        <w:footnoteReference w:id="66"/>
      </w:r>
      <w:r w:rsidR="00852D2A" w:rsidRPr="00CF04BF">
        <w:rPr>
          <w:rFonts w:ascii="Times New Roman" w:hAnsi="Times New Roman" w:cs="Times New Roman"/>
          <w:sz w:val="24"/>
          <w:szCs w:val="24"/>
        </w:rPr>
        <w:t>.</w:t>
      </w:r>
      <w:r w:rsidRPr="00CF04BF">
        <w:rPr>
          <w:rFonts w:ascii="Times New Roman" w:hAnsi="Times New Roman" w:cs="Times New Roman"/>
          <w:sz w:val="24"/>
          <w:szCs w:val="24"/>
        </w:rPr>
        <w:t xml:space="preserve">En "La Casita" las medidas del cuarto de aislamiento eran de 2 por 2 metros y contaban con condiciones de iluminación y ventilación razonables para el corto lapso de tiempo que duraría el aislamiento; asimismo, el aislamiento fue vigilado por personal calificado por lo que nunca se comprometió la integridad de </w:t>
      </w:r>
      <w:r w:rsidR="00131F4B" w:rsidRPr="00CF04BF">
        <w:rPr>
          <w:rFonts w:ascii="Times New Roman" w:hAnsi="Times New Roman" w:cs="Times New Roman"/>
          <w:sz w:val="24"/>
          <w:szCs w:val="24"/>
        </w:rPr>
        <w:t>C</w:t>
      </w:r>
      <w:r w:rsidRPr="00CF04BF">
        <w:rPr>
          <w:rFonts w:ascii="Times New Roman" w:hAnsi="Times New Roman" w:cs="Times New Roman"/>
          <w:sz w:val="24"/>
          <w:szCs w:val="24"/>
        </w:rPr>
        <w:t xml:space="preserve">, y es así que </w:t>
      </w:r>
      <w:r w:rsidR="00131F4B" w:rsidRPr="00CF04BF">
        <w:rPr>
          <w:rFonts w:ascii="Times New Roman" w:hAnsi="Times New Roman" w:cs="Times New Roman"/>
          <w:sz w:val="24"/>
          <w:szCs w:val="24"/>
        </w:rPr>
        <w:t>E</w:t>
      </w:r>
      <w:r w:rsidRPr="00CF04BF">
        <w:rPr>
          <w:rFonts w:ascii="Times New Roman" w:hAnsi="Times New Roman" w:cs="Times New Roman"/>
          <w:sz w:val="24"/>
          <w:szCs w:val="24"/>
        </w:rPr>
        <w:t xml:space="preserve"> cumplió los criterios de racionalidad, necesidad y legalidad que ya han sido mencionados, por lo que en consecuencia no se le brindo a </w:t>
      </w:r>
      <w:r w:rsidR="00131F4B" w:rsidRPr="00CF04BF">
        <w:rPr>
          <w:rFonts w:ascii="Times New Roman" w:hAnsi="Times New Roman" w:cs="Times New Roman"/>
          <w:sz w:val="24"/>
          <w:szCs w:val="24"/>
        </w:rPr>
        <w:t>C</w:t>
      </w:r>
      <w:r w:rsidRPr="00CF04BF">
        <w:rPr>
          <w:rFonts w:ascii="Times New Roman" w:hAnsi="Times New Roman" w:cs="Times New Roman"/>
          <w:sz w:val="24"/>
          <w:szCs w:val="24"/>
        </w:rPr>
        <w:t xml:space="preserve"> un trato que pudiera ser considerado como cruel, inhumano, degradante o tortura.</w:t>
      </w:r>
    </w:p>
    <w:p w:rsidR="00A108A3" w:rsidRPr="00CF04BF" w:rsidRDefault="00A108A3" w:rsidP="009972EA">
      <w:pPr>
        <w:spacing w:after="0" w:line="480" w:lineRule="auto"/>
        <w:jc w:val="both"/>
        <w:rPr>
          <w:rFonts w:ascii="Times New Roman" w:hAnsi="Times New Roman" w:cs="Times New Roman"/>
          <w:sz w:val="24"/>
          <w:szCs w:val="24"/>
        </w:rPr>
      </w:pPr>
      <w:r w:rsidRPr="00CF04BF">
        <w:rPr>
          <w:rFonts w:ascii="Times New Roman" w:hAnsi="Times New Roman" w:cs="Times New Roman"/>
          <w:sz w:val="24"/>
          <w:szCs w:val="24"/>
        </w:rPr>
        <w:t>De conformidad con es</w:t>
      </w:r>
      <w:r w:rsidR="005424E7">
        <w:rPr>
          <w:rFonts w:ascii="Times New Roman" w:hAnsi="Times New Roman" w:cs="Times New Roman"/>
          <w:sz w:val="24"/>
          <w:szCs w:val="24"/>
        </w:rPr>
        <w:t xml:space="preserve">ta Corte IDH en el caso Ximenes </w:t>
      </w:r>
      <w:r w:rsidRPr="00CF04BF">
        <w:rPr>
          <w:rFonts w:ascii="Times New Roman" w:hAnsi="Times New Roman" w:cs="Times New Roman"/>
          <w:sz w:val="24"/>
          <w:szCs w:val="24"/>
        </w:rPr>
        <w:t xml:space="preserve">Lopes, el deber de regular se cumple a través de la realización de una investigación la cual debe ser asumida como una obligación por parte del Estado y no como una formalidad condenada a ser infructuosa, además debe </w:t>
      </w:r>
      <w:r w:rsidR="00852D2A" w:rsidRPr="00CF04BF">
        <w:rPr>
          <w:rFonts w:ascii="Times New Roman" w:hAnsi="Times New Roman" w:cs="Times New Roman"/>
          <w:sz w:val="24"/>
          <w:szCs w:val="24"/>
        </w:rPr>
        <w:t>ser seria, imparcial y efectiva</w:t>
      </w:r>
      <w:r w:rsidRPr="00CF04BF">
        <w:rPr>
          <w:rStyle w:val="FootnoteReference"/>
          <w:rFonts w:ascii="Times New Roman" w:hAnsi="Times New Roman" w:cs="Times New Roman"/>
          <w:sz w:val="24"/>
          <w:szCs w:val="24"/>
        </w:rPr>
        <w:footnoteReference w:id="67"/>
      </w:r>
      <w:r w:rsidR="00852D2A" w:rsidRPr="00CF04BF">
        <w:rPr>
          <w:rFonts w:ascii="Times New Roman" w:hAnsi="Times New Roman" w:cs="Times New Roman"/>
          <w:sz w:val="24"/>
          <w:szCs w:val="24"/>
        </w:rPr>
        <w:t>.</w:t>
      </w:r>
      <w:r w:rsidR="00131F4B" w:rsidRPr="00CF04BF">
        <w:rPr>
          <w:rFonts w:ascii="Times New Roman" w:hAnsi="Times New Roman" w:cs="Times New Roman"/>
          <w:sz w:val="24"/>
          <w:szCs w:val="24"/>
        </w:rPr>
        <w:t>E</w:t>
      </w:r>
      <w:r w:rsidRPr="00CF04BF">
        <w:rPr>
          <w:rFonts w:ascii="Times New Roman" w:hAnsi="Times New Roman" w:cs="Times New Roman"/>
          <w:sz w:val="24"/>
          <w:szCs w:val="24"/>
        </w:rPr>
        <w:t xml:space="preserve"> ha realizado diversas investigaciones procurando que en sus centros de cuidado se cumpla con el respeto a los derechos humanos de sus habitantes, por lo que respecta a “La Casita”, </w:t>
      </w:r>
      <w:r w:rsidR="00131F4B" w:rsidRPr="00CF04BF">
        <w:rPr>
          <w:rFonts w:ascii="Times New Roman" w:hAnsi="Times New Roman" w:cs="Times New Roman"/>
          <w:sz w:val="24"/>
          <w:szCs w:val="24"/>
        </w:rPr>
        <w:t>E</w:t>
      </w:r>
      <w:r w:rsidRPr="00CF04BF">
        <w:rPr>
          <w:rFonts w:ascii="Times New Roman" w:hAnsi="Times New Roman" w:cs="Times New Roman"/>
          <w:sz w:val="24"/>
          <w:szCs w:val="24"/>
        </w:rPr>
        <w:t xml:space="preserve"> ha prestado especial atención en las investigaciones realizadas dentro del albergue e incluso después de realizarlas, el Estado destinó $200,000 dólares a mejorar las condiciones del albergue</w:t>
      </w:r>
      <w:r w:rsidRPr="00CF04BF">
        <w:rPr>
          <w:rStyle w:val="FootnoteReference"/>
          <w:rFonts w:ascii="Times New Roman" w:hAnsi="Times New Roman" w:cs="Times New Roman"/>
          <w:sz w:val="24"/>
          <w:szCs w:val="24"/>
        </w:rPr>
        <w:footnoteReference w:id="68"/>
      </w:r>
      <w:r w:rsidR="00D27194">
        <w:rPr>
          <w:rFonts w:ascii="Times New Roman" w:hAnsi="Times New Roman" w:cs="Times New Roman"/>
          <w:sz w:val="24"/>
          <w:szCs w:val="24"/>
        </w:rPr>
        <w:t>.</w:t>
      </w:r>
      <w:r w:rsidRPr="00CF04BF">
        <w:rPr>
          <w:rFonts w:ascii="Times New Roman" w:hAnsi="Times New Roman" w:cs="Times New Roman"/>
          <w:sz w:val="24"/>
          <w:szCs w:val="24"/>
        </w:rPr>
        <w:t xml:space="preserve">En conclusión, </w:t>
      </w:r>
      <w:r w:rsidR="00131F4B" w:rsidRPr="00CF04BF">
        <w:rPr>
          <w:rFonts w:ascii="Times New Roman" w:hAnsi="Times New Roman" w:cs="Times New Roman"/>
          <w:sz w:val="24"/>
          <w:szCs w:val="24"/>
        </w:rPr>
        <w:t>E</w:t>
      </w:r>
      <w:r w:rsidRPr="00CF04BF">
        <w:rPr>
          <w:rFonts w:ascii="Times New Roman" w:hAnsi="Times New Roman" w:cs="Times New Roman"/>
          <w:sz w:val="24"/>
          <w:szCs w:val="24"/>
        </w:rPr>
        <w:t xml:space="preserve"> ha vigilado que todas las conductas que se realizan dentro de "La Casita" se alejen de cualquier tipo de discriminación o violencia, y velen por el respeto a la dignidad y autonomía de </w:t>
      </w:r>
      <w:r w:rsidR="00131F4B" w:rsidRPr="00CF04BF">
        <w:rPr>
          <w:rFonts w:ascii="Times New Roman" w:hAnsi="Times New Roman" w:cs="Times New Roman"/>
          <w:sz w:val="24"/>
          <w:szCs w:val="24"/>
        </w:rPr>
        <w:t>C</w:t>
      </w:r>
      <w:r w:rsidRPr="00CF04BF">
        <w:rPr>
          <w:rFonts w:ascii="Times New Roman" w:hAnsi="Times New Roman" w:cs="Times New Roman"/>
          <w:sz w:val="24"/>
          <w:szCs w:val="24"/>
        </w:rPr>
        <w:t xml:space="preserve"> y de todos los habitantes de "La Casita".</w:t>
      </w:r>
      <w:r w:rsidR="0070199D" w:rsidRPr="00CF04BF">
        <w:rPr>
          <w:rFonts w:ascii="Times New Roman" w:hAnsi="Times New Roman" w:cs="Times New Roman"/>
          <w:sz w:val="24"/>
          <w:szCs w:val="24"/>
        </w:rPr>
        <w:t xml:space="preserve"> En consecuencia </w:t>
      </w:r>
      <w:r w:rsidR="00131F4B" w:rsidRPr="00CF04BF">
        <w:rPr>
          <w:rFonts w:ascii="Times New Roman" w:hAnsi="Times New Roman" w:cs="Times New Roman"/>
          <w:sz w:val="24"/>
          <w:szCs w:val="24"/>
        </w:rPr>
        <w:t>E</w:t>
      </w:r>
      <w:r w:rsidR="0070199D" w:rsidRPr="00CF04BF">
        <w:rPr>
          <w:rFonts w:ascii="Times New Roman" w:hAnsi="Times New Roman" w:cs="Times New Roman"/>
          <w:sz w:val="24"/>
          <w:szCs w:val="24"/>
        </w:rPr>
        <w:t xml:space="preserve"> ha </w:t>
      </w:r>
      <w:r w:rsidR="0070199D" w:rsidRPr="00CF04BF">
        <w:rPr>
          <w:rFonts w:ascii="Times New Roman" w:hAnsi="Times New Roman" w:cs="Times New Roman"/>
          <w:sz w:val="24"/>
          <w:szCs w:val="24"/>
        </w:rPr>
        <w:lastRenderedPageBreak/>
        <w:t>procurado que la</w:t>
      </w:r>
      <w:r w:rsidRPr="00CF04BF">
        <w:rPr>
          <w:rFonts w:ascii="Times New Roman" w:hAnsi="Times New Roman" w:cs="Times New Roman"/>
          <w:sz w:val="24"/>
          <w:szCs w:val="24"/>
        </w:rPr>
        <w:t xml:space="preserve"> calidad de vida </w:t>
      </w:r>
      <w:r w:rsidR="0070199D" w:rsidRPr="00CF04BF">
        <w:rPr>
          <w:rFonts w:ascii="Times New Roman" w:hAnsi="Times New Roman" w:cs="Times New Roman"/>
          <w:sz w:val="24"/>
          <w:szCs w:val="24"/>
        </w:rPr>
        <w:t xml:space="preserve">de </w:t>
      </w:r>
      <w:r w:rsidR="00131F4B" w:rsidRPr="00CF04BF">
        <w:rPr>
          <w:rFonts w:ascii="Times New Roman" w:hAnsi="Times New Roman" w:cs="Times New Roman"/>
          <w:sz w:val="24"/>
          <w:szCs w:val="24"/>
        </w:rPr>
        <w:t>C</w:t>
      </w:r>
      <w:r w:rsidR="005424E7">
        <w:rPr>
          <w:rFonts w:ascii="Times New Roman" w:hAnsi="Times New Roman" w:cs="Times New Roman"/>
          <w:sz w:val="24"/>
          <w:szCs w:val="24"/>
        </w:rPr>
        <w:t xml:space="preserve"> m</w:t>
      </w:r>
      <w:r w:rsidRPr="00CF04BF">
        <w:rPr>
          <w:rFonts w:ascii="Times New Roman" w:hAnsi="Times New Roman" w:cs="Times New Roman"/>
          <w:sz w:val="24"/>
          <w:szCs w:val="24"/>
        </w:rPr>
        <w:t>ejore dentro de su estancia en la institución, lo cual le ha garantizado el respeto a su integridad personal.</w:t>
      </w:r>
    </w:p>
    <w:p w:rsidR="00A108A3" w:rsidRPr="00CF04BF" w:rsidRDefault="00A108A3" w:rsidP="009972EA">
      <w:pPr>
        <w:spacing w:after="0" w:line="480" w:lineRule="auto"/>
        <w:jc w:val="both"/>
        <w:rPr>
          <w:rFonts w:ascii="Times New Roman" w:hAnsi="Times New Roman" w:cs="Times New Roman"/>
          <w:b/>
          <w:sz w:val="24"/>
          <w:szCs w:val="24"/>
        </w:rPr>
      </w:pPr>
      <w:r w:rsidRPr="00CF04BF">
        <w:rPr>
          <w:rFonts w:ascii="Times New Roman" w:hAnsi="Times New Roman" w:cs="Times New Roman"/>
          <w:b/>
          <w:sz w:val="24"/>
          <w:szCs w:val="24"/>
        </w:rPr>
        <w:t>2.</w:t>
      </w:r>
      <w:r w:rsidR="00F75298" w:rsidRPr="00CF04BF">
        <w:rPr>
          <w:rFonts w:ascii="Times New Roman" w:hAnsi="Times New Roman" w:cs="Times New Roman"/>
          <w:b/>
          <w:sz w:val="24"/>
          <w:szCs w:val="24"/>
        </w:rPr>
        <w:t>3</w:t>
      </w:r>
      <w:r w:rsidRPr="00CF04BF">
        <w:rPr>
          <w:rFonts w:ascii="Times New Roman" w:hAnsi="Times New Roman" w:cs="Times New Roman"/>
          <w:b/>
          <w:sz w:val="24"/>
          <w:szCs w:val="24"/>
        </w:rPr>
        <w:t xml:space="preserve">.4. </w:t>
      </w:r>
      <w:r w:rsidR="00852D2A" w:rsidRPr="00CF04BF">
        <w:rPr>
          <w:rFonts w:ascii="Times New Roman" w:hAnsi="Times New Roman" w:cs="Times New Roman"/>
          <w:b/>
          <w:sz w:val="24"/>
          <w:szCs w:val="24"/>
        </w:rPr>
        <w:t>Exclutia</w:t>
      </w:r>
      <w:r w:rsidRPr="00CF04BF">
        <w:rPr>
          <w:rFonts w:ascii="Times New Roman" w:hAnsi="Times New Roman" w:cs="Times New Roman"/>
          <w:b/>
          <w:sz w:val="24"/>
          <w:szCs w:val="24"/>
        </w:rPr>
        <w:t xml:space="preserve"> respetó el Art. 11 en relación con los Arts. 1.1 y 2 de la CADH.</w:t>
      </w:r>
    </w:p>
    <w:p w:rsidR="00A108A3" w:rsidRPr="00CF04BF" w:rsidRDefault="00A108A3" w:rsidP="009972EA">
      <w:pPr>
        <w:spacing w:after="0" w:line="480" w:lineRule="auto"/>
        <w:jc w:val="both"/>
        <w:rPr>
          <w:rFonts w:ascii="Times New Roman" w:hAnsi="Times New Roman" w:cs="Times New Roman"/>
          <w:sz w:val="24"/>
          <w:szCs w:val="24"/>
        </w:rPr>
      </w:pPr>
      <w:r w:rsidRPr="00CF04BF">
        <w:rPr>
          <w:rFonts w:ascii="Times New Roman" w:hAnsi="Times New Roman" w:cs="Times New Roman"/>
          <w:sz w:val="24"/>
          <w:szCs w:val="24"/>
        </w:rPr>
        <w:t xml:space="preserve">El Art. 11 de la CADH protege la honra y la dignidad, al prohibir todo ataque ilegal contra la honra </w:t>
      </w:r>
      <w:r w:rsidR="00852D2A" w:rsidRPr="00CF04BF">
        <w:rPr>
          <w:rFonts w:ascii="Times New Roman" w:hAnsi="Times New Roman" w:cs="Times New Roman"/>
          <w:sz w:val="24"/>
          <w:szCs w:val="24"/>
        </w:rPr>
        <w:t>y la reputación de las personas</w:t>
      </w:r>
      <w:r w:rsidRPr="00CF04BF">
        <w:rPr>
          <w:rStyle w:val="FootnoteReference"/>
          <w:rFonts w:ascii="Times New Roman" w:hAnsi="Times New Roman" w:cs="Times New Roman"/>
          <w:sz w:val="24"/>
          <w:szCs w:val="24"/>
        </w:rPr>
        <w:footnoteReference w:id="69"/>
      </w:r>
      <w:r w:rsidR="00852D2A" w:rsidRPr="00CF04BF">
        <w:rPr>
          <w:rFonts w:ascii="Times New Roman" w:hAnsi="Times New Roman" w:cs="Times New Roman"/>
          <w:sz w:val="24"/>
          <w:szCs w:val="24"/>
        </w:rPr>
        <w:t>.</w:t>
      </w:r>
      <w:r w:rsidRPr="00CF04BF">
        <w:rPr>
          <w:rFonts w:ascii="Times New Roman" w:hAnsi="Times New Roman" w:cs="Times New Roman"/>
          <w:sz w:val="24"/>
          <w:szCs w:val="24"/>
        </w:rPr>
        <w:t>De este Art. se desprenden dos obligaciones para el Estado, primero el respeto de la honra y el reconocimiento de la dignidad de los individuos, contemplado en el numeral primero y segundo, el respeto del derecho a la vida privada, que incluye la prohibición de realizar injerencias arbitrarias o abusivas en la vida privada de las personas, y la posibilidad de que todas las personas puedan</w:t>
      </w:r>
      <w:r w:rsidR="00852D2A" w:rsidRPr="00CF04BF">
        <w:rPr>
          <w:rFonts w:ascii="Times New Roman" w:hAnsi="Times New Roman" w:cs="Times New Roman"/>
          <w:sz w:val="24"/>
          <w:szCs w:val="24"/>
        </w:rPr>
        <w:t xml:space="preserve"> desarrollarse como individuos. </w:t>
      </w:r>
      <w:r w:rsidRPr="00CF04BF">
        <w:rPr>
          <w:rFonts w:ascii="Times New Roman" w:hAnsi="Times New Roman" w:cs="Times New Roman"/>
          <w:sz w:val="24"/>
          <w:szCs w:val="24"/>
        </w:rPr>
        <w:t>En lo concerniente</w:t>
      </w:r>
      <w:r w:rsidR="005424E7">
        <w:rPr>
          <w:rFonts w:ascii="Times New Roman" w:hAnsi="Times New Roman" w:cs="Times New Roman"/>
          <w:sz w:val="24"/>
          <w:szCs w:val="24"/>
        </w:rPr>
        <w:t xml:space="preserve"> a</w:t>
      </w:r>
      <w:r w:rsidRPr="00CF04BF">
        <w:rPr>
          <w:rFonts w:ascii="Times New Roman" w:hAnsi="Times New Roman" w:cs="Times New Roman"/>
          <w:sz w:val="24"/>
          <w:szCs w:val="24"/>
        </w:rPr>
        <w:t xml:space="preserve"> la segunda obligaci</w:t>
      </w:r>
      <w:r w:rsidR="00852D2A" w:rsidRPr="00CF04BF">
        <w:rPr>
          <w:rFonts w:ascii="Times New Roman" w:hAnsi="Times New Roman" w:cs="Times New Roman"/>
          <w:sz w:val="24"/>
          <w:szCs w:val="24"/>
        </w:rPr>
        <w:t>ón de respeto a la vida privada</w:t>
      </w:r>
      <w:r w:rsidRPr="00CF04BF">
        <w:rPr>
          <w:rStyle w:val="FootnoteReference"/>
          <w:rFonts w:ascii="Times New Roman" w:hAnsi="Times New Roman" w:cs="Times New Roman"/>
          <w:sz w:val="24"/>
          <w:szCs w:val="24"/>
        </w:rPr>
        <w:footnoteReference w:id="70"/>
      </w:r>
      <w:r w:rsidR="00852D2A" w:rsidRPr="00CF04BF">
        <w:rPr>
          <w:rFonts w:ascii="Times New Roman" w:hAnsi="Times New Roman" w:cs="Times New Roman"/>
          <w:sz w:val="24"/>
          <w:szCs w:val="24"/>
        </w:rPr>
        <w:t>,</w:t>
      </w:r>
      <w:r w:rsidRPr="00CF04BF">
        <w:rPr>
          <w:rFonts w:ascii="Times New Roman" w:hAnsi="Times New Roman" w:cs="Times New Roman"/>
          <w:sz w:val="24"/>
          <w:szCs w:val="24"/>
        </w:rPr>
        <w:t xml:space="preserve"> la cual incluye la prohibición de realizar injerencias arbitrarias o abusivas frente al domicilio, correspondencia </w:t>
      </w:r>
      <w:r w:rsidR="00852D2A" w:rsidRPr="00CF04BF">
        <w:rPr>
          <w:rFonts w:ascii="Times New Roman" w:hAnsi="Times New Roman" w:cs="Times New Roman"/>
          <w:sz w:val="24"/>
          <w:szCs w:val="24"/>
        </w:rPr>
        <w:t>y vida familiar de las personas</w:t>
      </w:r>
      <w:r w:rsidRPr="00CF04BF">
        <w:rPr>
          <w:rStyle w:val="FootnoteReference"/>
          <w:rFonts w:ascii="Times New Roman" w:hAnsi="Times New Roman" w:cs="Times New Roman"/>
          <w:sz w:val="24"/>
          <w:szCs w:val="24"/>
        </w:rPr>
        <w:footnoteReference w:id="71"/>
      </w:r>
      <w:r w:rsidR="00852D2A" w:rsidRPr="00CF04BF">
        <w:rPr>
          <w:rFonts w:ascii="Times New Roman" w:hAnsi="Times New Roman" w:cs="Times New Roman"/>
          <w:sz w:val="24"/>
          <w:szCs w:val="24"/>
        </w:rPr>
        <w:t>,</w:t>
      </w:r>
      <w:r w:rsidRPr="00CF04BF">
        <w:rPr>
          <w:rFonts w:ascii="Times New Roman" w:hAnsi="Times New Roman" w:cs="Times New Roman"/>
          <w:sz w:val="24"/>
          <w:szCs w:val="24"/>
        </w:rPr>
        <w:t xml:space="preserve"> los agentes del Estado se pusieron en contacto con los familiares de </w:t>
      </w:r>
      <w:r w:rsidR="00131F4B" w:rsidRPr="00CF04BF">
        <w:rPr>
          <w:rFonts w:ascii="Times New Roman" w:hAnsi="Times New Roman" w:cs="Times New Roman"/>
          <w:sz w:val="24"/>
          <w:szCs w:val="24"/>
        </w:rPr>
        <w:t>C</w:t>
      </w:r>
      <w:r w:rsidRPr="00CF04BF">
        <w:rPr>
          <w:rFonts w:ascii="Times New Roman" w:hAnsi="Times New Roman" w:cs="Times New Roman"/>
          <w:sz w:val="24"/>
          <w:szCs w:val="24"/>
        </w:rPr>
        <w:t>, los cuales al no poder hacerse cargo de ella</w:t>
      </w:r>
      <w:r w:rsidRPr="00CF04BF">
        <w:rPr>
          <w:rStyle w:val="FootnoteReference"/>
          <w:rFonts w:ascii="Times New Roman" w:hAnsi="Times New Roman" w:cs="Times New Roman"/>
          <w:sz w:val="24"/>
          <w:szCs w:val="24"/>
        </w:rPr>
        <w:footnoteReference w:id="72"/>
      </w:r>
      <w:r w:rsidRPr="00CF04BF">
        <w:rPr>
          <w:rFonts w:ascii="Times New Roman" w:hAnsi="Times New Roman" w:cs="Times New Roman"/>
          <w:sz w:val="24"/>
          <w:szCs w:val="24"/>
        </w:rPr>
        <w:t xml:space="preserve">orillaron al Estado a tomar la decisión de acoger a </w:t>
      </w:r>
      <w:r w:rsidR="00131F4B" w:rsidRPr="00CF04BF">
        <w:rPr>
          <w:rFonts w:ascii="Times New Roman" w:hAnsi="Times New Roman" w:cs="Times New Roman"/>
          <w:sz w:val="24"/>
          <w:szCs w:val="24"/>
        </w:rPr>
        <w:t>C</w:t>
      </w:r>
      <w:r w:rsidRPr="00CF04BF">
        <w:rPr>
          <w:rFonts w:ascii="Times New Roman" w:hAnsi="Times New Roman" w:cs="Times New Roman"/>
          <w:sz w:val="24"/>
          <w:szCs w:val="24"/>
        </w:rPr>
        <w:t xml:space="preserve"> en "La Casita" y dotarla de una tutora que velará siempre por sus derechos, la cual ante la situación de </w:t>
      </w:r>
      <w:r w:rsidR="00131F4B" w:rsidRPr="00CF04BF">
        <w:rPr>
          <w:rFonts w:ascii="Times New Roman" w:hAnsi="Times New Roman" w:cs="Times New Roman"/>
          <w:sz w:val="24"/>
          <w:szCs w:val="24"/>
        </w:rPr>
        <w:t>C</w:t>
      </w:r>
      <w:r w:rsidRPr="00CF04BF">
        <w:rPr>
          <w:rFonts w:ascii="Times New Roman" w:hAnsi="Times New Roman" w:cs="Times New Roman"/>
          <w:sz w:val="24"/>
          <w:szCs w:val="24"/>
        </w:rPr>
        <w:t xml:space="preserve"> no es una in</w:t>
      </w:r>
      <w:r w:rsidR="00E00698" w:rsidRPr="00CF04BF">
        <w:rPr>
          <w:rFonts w:ascii="Times New Roman" w:hAnsi="Times New Roman" w:cs="Times New Roman"/>
          <w:sz w:val="24"/>
          <w:szCs w:val="24"/>
        </w:rPr>
        <w:t xml:space="preserve">jerencia arbitraria del Estado. </w:t>
      </w:r>
      <w:r w:rsidRPr="00CF04BF">
        <w:rPr>
          <w:rFonts w:ascii="Times New Roman" w:hAnsi="Times New Roman" w:cs="Times New Roman"/>
          <w:sz w:val="24"/>
          <w:szCs w:val="24"/>
        </w:rPr>
        <w:t>Frente al derecho a la vida privada en relación a la capacidad para desarrollar la propia personalidad y aspiraciones, determinar su propia identidad y definir su</w:t>
      </w:r>
      <w:r w:rsidR="00852D2A" w:rsidRPr="00CF04BF">
        <w:rPr>
          <w:rFonts w:ascii="Times New Roman" w:hAnsi="Times New Roman" w:cs="Times New Roman"/>
          <w:sz w:val="24"/>
          <w:szCs w:val="24"/>
        </w:rPr>
        <w:t>s propias relaciones personales</w:t>
      </w:r>
      <w:r w:rsidRPr="00CF04BF">
        <w:rPr>
          <w:rStyle w:val="FootnoteReference"/>
          <w:rFonts w:ascii="Times New Roman" w:hAnsi="Times New Roman" w:cs="Times New Roman"/>
          <w:sz w:val="24"/>
          <w:szCs w:val="24"/>
        </w:rPr>
        <w:footnoteReference w:id="73"/>
      </w:r>
      <w:r w:rsidR="00852D2A" w:rsidRPr="00CF04BF">
        <w:rPr>
          <w:rFonts w:ascii="Times New Roman" w:hAnsi="Times New Roman" w:cs="Times New Roman"/>
          <w:sz w:val="24"/>
          <w:szCs w:val="24"/>
        </w:rPr>
        <w:t xml:space="preserve">, </w:t>
      </w:r>
      <w:r w:rsidRPr="00CF04BF">
        <w:rPr>
          <w:rFonts w:ascii="Times New Roman" w:hAnsi="Times New Roman" w:cs="Times New Roman"/>
          <w:sz w:val="24"/>
          <w:szCs w:val="24"/>
        </w:rPr>
        <w:t xml:space="preserve">este es cumplido por </w:t>
      </w:r>
      <w:r w:rsidR="00131F4B" w:rsidRPr="00CF04BF">
        <w:rPr>
          <w:rFonts w:ascii="Times New Roman" w:hAnsi="Times New Roman" w:cs="Times New Roman"/>
          <w:sz w:val="24"/>
          <w:szCs w:val="24"/>
        </w:rPr>
        <w:t>E</w:t>
      </w:r>
      <w:r w:rsidRPr="00CF04BF">
        <w:rPr>
          <w:rFonts w:ascii="Times New Roman" w:hAnsi="Times New Roman" w:cs="Times New Roman"/>
          <w:sz w:val="24"/>
          <w:szCs w:val="24"/>
        </w:rPr>
        <w:t xml:space="preserve"> quien ha puesto en operación políticas públicas que brinden una garantía a las personas con discapacidad que les pe</w:t>
      </w:r>
      <w:r w:rsidR="00852D2A" w:rsidRPr="00CF04BF">
        <w:rPr>
          <w:rFonts w:ascii="Times New Roman" w:hAnsi="Times New Roman" w:cs="Times New Roman"/>
          <w:sz w:val="24"/>
          <w:szCs w:val="24"/>
        </w:rPr>
        <w:t xml:space="preserve">rmitan desarrollar su </w:t>
      </w:r>
      <w:r w:rsidR="00852D2A" w:rsidRPr="00CF04BF">
        <w:rPr>
          <w:rFonts w:ascii="Times New Roman" w:hAnsi="Times New Roman" w:cs="Times New Roman"/>
          <w:sz w:val="24"/>
          <w:szCs w:val="24"/>
        </w:rPr>
        <w:lastRenderedPageBreak/>
        <w:t>identidad</w:t>
      </w:r>
      <w:r w:rsidRPr="00CF04BF">
        <w:rPr>
          <w:rStyle w:val="FootnoteReference"/>
          <w:rFonts w:ascii="Times New Roman" w:hAnsi="Times New Roman" w:cs="Times New Roman"/>
          <w:sz w:val="24"/>
          <w:szCs w:val="24"/>
        </w:rPr>
        <w:footnoteReference w:id="74"/>
      </w:r>
      <w:r w:rsidR="00852D2A" w:rsidRPr="00CF04BF">
        <w:rPr>
          <w:rFonts w:ascii="Times New Roman" w:hAnsi="Times New Roman" w:cs="Times New Roman"/>
          <w:sz w:val="24"/>
          <w:szCs w:val="24"/>
        </w:rPr>
        <w:t>.</w:t>
      </w:r>
      <w:r w:rsidR="00131F4B" w:rsidRPr="00CF04BF">
        <w:rPr>
          <w:rFonts w:ascii="Times New Roman" w:hAnsi="Times New Roman" w:cs="Times New Roman"/>
          <w:sz w:val="24"/>
          <w:szCs w:val="24"/>
        </w:rPr>
        <w:t>E</w:t>
      </w:r>
      <w:r w:rsidRPr="00CF04BF">
        <w:rPr>
          <w:rFonts w:ascii="Times New Roman" w:hAnsi="Times New Roman" w:cs="Times New Roman"/>
          <w:sz w:val="24"/>
          <w:szCs w:val="24"/>
        </w:rPr>
        <w:t xml:space="preserve"> ha reconocido la honra y dignidad de </w:t>
      </w:r>
      <w:r w:rsidR="00131F4B" w:rsidRPr="00CF04BF">
        <w:rPr>
          <w:rFonts w:ascii="Times New Roman" w:hAnsi="Times New Roman" w:cs="Times New Roman"/>
          <w:sz w:val="24"/>
          <w:szCs w:val="24"/>
        </w:rPr>
        <w:t>C</w:t>
      </w:r>
      <w:r w:rsidRPr="00CF04BF">
        <w:rPr>
          <w:rFonts w:ascii="Times New Roman" w:hAnsi="Times New Roman" w:cs="Times New Roman"/>
          <w:sz w:val="24"/>
          <w:szCs w:val="24"/>
        </w:rPr>
        <w:t xml:space="preserve"> y como se ha demostrado ha garantizado el respeto a su vida privada, cumpliendo de esta manera con lo dispuesto por el Art. 11 de la CADH.</w:t>
      </w:r>
    </w:p>
    <w:p w:rsidR="00B83414" w:rsidRPr="00CF04BF" w:rsidRDefault="00F75298" w:rsidP="009972EA">
      <w:pPr>
        <w:spacing w:after="0" w:line="480" w:lineRule="auto"/>
        <w:jc w:val="both"/>
        <w:rPr>
          <w:rFonts w:ascii="Times New Roman" w:hAnsi="Times New Roman" w:cs="Times New Roman"/>
          <w:b/>
          <w:sz w:val="24"/>
          <w:szCs w:val="24"/>
        </w:rPr>
      </w:pPr>
      <w:r w:rsidRPr="00CF04BF">
        <w:rPr>
          <w:rFonts w:ascii="Times New Roman" w:hAnsi="Times New Roman" w:cs="Times New Roman"/>
          <w:b/>
          <w:sz w:val="24"/>
          <w:szCs w:val="24"/>
        </w:rPr>
        <w:t>2.3</w:t>
      </w:r>
      <w:r w:rsidR="00790713" w:rsidRPr="00CF04BF">
        <w:rPr>
          <w:rFonts w:ascii="Times New Roman" w:hAnsi="Times New Roman" w:cs="Times New Roman"/>
          <w:b/>
          <w:sz w:val="24"/>
          <w:szCs w:val="24"/>
        </w:rPr>
        <w:t xml:space="preserve">.5. </w:t>
      </w:r>
      <w:r w:rsidR="00131F4B" w:rsidRPr="00CF04BF">
        <w:rPr>
          <w:rFonts w:ascii="Times New Roman" w:hAnsi="Times New Roman" w:cs="Times New Roman"/>
          <w:b/>
          <w:sz w:val="24"/>
          <w:szCs w:val="24"/>
        </w:rPr>
        <w:t>E</w:t>
      </w:r>
      <w:r w:rsidR="00852D2A" w:rsidRPr="00CF04BF">
        <w:rPr>
          <w:rFonts w:ascii="Times New Roman" w:hAnsi="Times New Roman" w:cs="Times New Roman"/>
          <w:b/>
          <w:sz w:val="24"/>
          <w:szCs w:val="24"/>
        </w:rPr>
        <w:t>xclutia</w:t>
      </w:r>
      <w:r w:rsidR="00B83414" w:rsidRPr="00CF04BF">
        <w:rPr>
          <w:rFonts w:ascii="Times New Roman" w:hAnsi="Times New Roman" w:cs="Times New Roman"/>
          <w:b/>
          <w:sz w:val="24"/>
          <w:szCs w:val="24"/>
        </w:rPr>
        <w:t xml:space="preserve"> respetó el Art. 8.1 y 25 en relación con los Arts. 1.1. y 2 de la CADH.</w:t>
      </w:r>
    </w:p>
    <w:p w:rsidR="00B83414" w:rsidRPr="00CF04BF" w:rsidRDefault="00B83414" w:rsidP="009972EA">
      <w:pPr>
        <w:spacing w:after="0" w:line="480" w:lineRule="auto"/>
        <w:jc w:val="both"/>
        <w:rPr>
          <w:rFonts w:ascii="Times New Roman" w:hAnsi="Times New Roman" w:cs="Times New Roman"/>
          <w:sz w:val="24"/>
          <w:szCs w:val="24"/>
        </w:rPr>
      </w:pPr>
      <w:r w:rsidRPr="00CF04BF">
        <w:rPr>
          <w:rFonts w:ascii="Times New Roman" w:hAnsi="Times New Roman" w:cs="Times New Roman"/>
          <w:sz w:val="24"/>
          <w:szCs w:val="24"/>
        </w:rPr>
        <w:t>Esta Corte ha establecido que el Art. 8.1 de la CADH es aquel que consagra los lineamientos generales del debido proceso, en el sentido de que ninguna actuación judicial o administrativa debe darse sin los presupues</w:t>
      </w:r>
      <w:r w:rsidR="00852D2A" w:rsidRPr="00CF04BF">
        <w:rPr>
          <w:rFonts w:ascii="Times New Roman" w:hAnsi="Times New Roman" w:cs="Times New Roman"/>
          <w:sz w:val="24"/>
          <w:szCs w:val="24"/>
        </w:rPr>
        <w:t>tos mínimos de esta institución</w:t>
      </w:r>
      <w:r w:rsidRPr="00CF04BF">
        <w:rPr>
          <w:rStyle w:val="FootnoteReference"/>
          <w:rFonts w:ascii="Times New Roman" w:hAnsi="Times New Roman" w:cs="Times New Roman"/>
          <w:sz w:val="24"/>
          <w:szCs w:val="24"/>
        </w:rPr>
        <w:footnoteReference w:id="75"/>
      </w:r>
      <w:r w:rsidR="00852D2A" w:rsidRPr="00CF04BF">
        <w:rPr>
          <w:rFonts w:ascii="Times New Roman" w:hAnsi="Times New Roman" w:cs="Times New Roman"/>
          <w:sz w:val="24"/>
          <w:szCs w:val="24"/>
        </w:rPr>
        <w:t>.</w:t>
      </w:r>
      <w:r w:rsidRPr="00CF04BF">
        <w:rPr>
          <w:rFonts w:ascii="Times New Roman" w:hAnsi="Times New Roman" w:cs="Times New Roman"/>
          <w:sz w:val="24"/>
          <w:szCs w:val="24"/>
        </w:rPr>
        <w:t>Entonces, las garantías judiciales del Art. 8 de la CADH sirven para proteger</w:t>
      </w:r>
      <w:r w:rsidRPr="00CF04BF">
        <w:rPr>
          <w:rStyle w:val="FootnoteReference"/>
          <w:rFonts w:ascii="Times New Roman" w:hAnsi="Times New Roman" w:cs="Times New Roman"/>
          <w:sz w:val="24"/>
          <w:szCs w:val="24"/>
        </w:rPr>
        <w:footnoteReference w:id="76"/>
      </w:r>
      <w:r w:rsidRPr="00CF04BF">
        <w:rPr>
          <w:rFonts w:ascii="Times New Roman" w:hAnsi="Times New Roman" w:cs="Times New Roman"/>
          <w:sz w:val="24"/>
          <w:szCs w:val="24"/>
        </w:rPr>
        <w:t xml:space="preserve">los derechos de los individuos a ser oídos con las debidas garantías, dentro de un plazo razonable, y por un juez o tribunal competente, independiente e imparcial, y que se </w:t>
      </w:r>
      <w:r w:rsidR="00852D2A" w:rsidRPr="00CF04BF">
        <w:rPr>
          <w:rFonts w:ascii="Times New Roman" w:hAnsi="Times New Roman" w:cs="Times New Roman"/>
          <w:sz w:val="24"/>
          <w:szCs w:val="24"/>
        </w:rPr>
        <w:t>encuentre establecido en la ley</w:t>
      </w:r>
      <w:r w:rsidRPr="00CF04BF">
        <w:rPr>
          <w:rStyle w:val="FootnoteReference"/>
          <w:rFonts w:ascii="Times New Roman" w:hAnsi="Times New Roman" w:cs="Times New Roman"/>
          <w:sz w:val="24"/>
          <w:szCs w:val="24"/>
        </w:rPr>
        <w:footnoteReference w:id="77"/>
      </w:r>
      <w:r w:rsidR="00852D2A" w:rsidRPr="00CF04BF">
        <w:rPr>
          <w:rFonts w:ascii="Times New Roman" w:hAnsi="Times New Roman" w:cs="Times New Roman"/>
          <w:sz w:val="24"/>
          <w:szCs w:val="24"/>
        </w:rPr>
        <w:t>.</w:t>
      </w:r>
      <w:r w:rsidRPr="00CF04BF">
        <w:rPr>
          <w:rFonts w:ascii="Times New Roman" w:hAnsi="Times New Roman" w:cs="Times New Roman"/>
          <w:sz w:val="24"/>
          <w:szCs w:val="24"/>
        </w:rPr>
        <w:t xml:space="preserve">Lo anterior es indispensable para generar un proceso enfocado a brindar la debida protección y respeto de las garantías que todo individuo posee al momento de hacer valer sus derechos frente a un tribunal, ello no pasó desapercibido en </w:t>
      </w:r>
      <w:r w:rsidR="00131F4B" w:rsidRPr="00CF04BF">
        <w:rPr>
          <w:rFonts w:ascii="Times New Roman" w:hAnsi="Times New Roman" w:cs="Times New Roman"/>
          <w:sz w:val="24"/>
          <w:szCs w:val="24"/>
        </w:rPr>
        <w:t>E</w:t>
      </w:r>
      <w:r w:rsidRPr="00CF04BF">
        <w:rPr>
          <w:rFonts w:ascii="Times New Roman" w:hAnsi="Times New Roman" w:cs="Times New Roman"/>
          <w:sz w:val="24"/>
          <w:szCs w:val="24"/>
        </w:rPr>
        <w:t xml:space="preserve"> donde se le ha brindado a </w:t>
      </w:r>
      <w:r w:rsidR="00131F4B" w:rsidRPr="00CF04BF">
        <w:rPr>
          <w:rFonts w:ascii="Times New Roman" w:hAnsi="Times New Roman" w:cs="Times New Roman"/>
          <w:sz w:val="24"/>
          <w:szCs w:val="24"/>
        </w:rPr>
        <w:t>C</w:t>
      </w:r>
      <w:r w:rsidR="00E00698" w:rsidRPr="00CF04BF">
        <w:rPr>
          <w:rFonts w:ascii="Times New Roman" w:hAnsi="Times New Roman" w:cs="Times New Roman"/>
          <w:sz w:val="24"/>
          <w:szCs w:val="24"/>
        </w:rPr>
        <w:t xml:space="preserve"> el respeto a dichas garantías. </w:t>
      </w:r>
      <w:r w:rsidRPr="00CF04BF">
        <w:rPr>
          <w:rFonts w:ascii="Times New Roman" w:hAnsi="Times New Roman" w:cs="Times New Roman"/>
          <w:sz w:val="24"/>
          <w:szCs w:val="24"/>
        </w:rPr>
        <w:t>La competencia, tal como lo ha sostenido esta Corte IDH, hace referencia al derecho que tienen las personas de ser juzgadas por tribunales de justicia ordinarios con arreglo a procedi</w:t>
      </w:r>
      <w:r w:rsidR="00852D2A" w:rsidRPr="00CF04BF">
        <w:rPr>
          <w:rFonts w:ascii="Times New Roman" w:hAnsi="Times New Roman" w:cs="Times New Roman"/>
          <w:sz w:val="24"/>
          <w:szCs w:val="24"/>
        </w:rPr>
        <w:t>mientos legalmente establecidos</w:t>
      </w:r>
      <w:r w:rsidRPr="00CF04BF">
        <w:rPr>
          <w:rStyle w:val="FootnoteReference"/>
          <w:rFonts w:ascii="Times New Roman" w:hAnsi="Times New Roman" w:cs="Times New Roman"/>
          <w:sz w:val="24"/>
          <w:szCs w:val="24"/>
        </w:rPr>
        <w:footnoteReference w:id="78"/>
      </w:r>
      <w:r w:rsidR="00852D2A" w:rsidRPr="00CF04BF">
        <w:rPr>
          <w:rFonts w:ascii="Times New Roman" w:hAnsi="Times New Roman" w:cs="Times New Roman"/>
          <w:sz w:val="24"/>
          <w:szCs w:val="24"/>
        </w:rPr>
        <w:t>.</w:t>
      </w:r>
      <w:r w:rsidRPr="00CF04BF">
        <w:rPr>
          <w:rFonts w:ascii="Times New Roman" w:hAnsi="Times New Roman" w:cs="Times New Roman"/>
          <w:sz w:val="24"/>
          <w:szCs w:val="24"/>
        </w:rPr>
        <w:t xml:space="preserve">En el presente caso al momento de presentar su impugnación la ODNEI nunca hizo alusión a la incompetencia del juez para conocer del asunto, por lo tanto en el presente caso no existió incompetencia de las autoridades judiciales de </w:t>
      </w:r>
      <w:r w:rsidR="00131F4B" w:rsidRPr="00CF04BF">
        <w:rPr>
          <w:rFonts w:ascii="Times New Roman" w:hAnsi="Times New Roman" w:cs="Times New Roman"/>
          <w:sz w:val="24"/>
          <w:szCs w:val="24"/>
        </w:rPr>
        <w:t>E</w:t>
      </w:r>
      <w:r w:rsidR="00E00698" w:rsidRPr="00CF04BF">
        <w:rPr>
          <w:rFonts w:ascii="Times New Roman" w:hAnsi="Times New Roman" w:cs="Times New Roman"/>
          <w:sz w:val="24"/>
          <w:szCs w:val="24"/>
        </w:rPr>
        <w:t xml:space="preserve">. </w:t>
      </w:r>
      <w:r w:rsidRPr="00CF04BF">
        <w:rPr>
          <w:rFonts w:ascii="Times New Roman" w:hAnsi="Times New Roman" w:cs="Times New Roman"/>
          <w:sz w:val="24"/>
          <w:szCs w:val="24"/>
        </w:rPr>
        <w:t xml:space="preserve">El requisito de independencia judicial supone que el funcionario </w:t>
      </w:r>
      <w:r w:rsidRPr="00CF04BF">
        <w:rPr>
          <w:rFonts w:ascii="Times New Roman" w:hAnsi="Times New Roman" w:cs="Times New Roman"/>
          <w:sz w:val="24"/>
          <w:szCs w:val="24"/>
        </w:rPr>
        <w:lastRenderedPageBreak/>
        <w:t>motive su actuación conforme y m</w:t>
      </w:r>
      <w:r w:rsidR="00852D2A" w:rsidRPr="00CF04BF">
        <w:rPr>
          <w:rFonts w:ascii="Times New Roman" w:hAnsi="Times New Roman" w:cs="Times New Roman"/>
          <w:sz w:val="24"/>
          <w:szCs w:val="24"/>
        </w:rPr>
        <w:t>ovida únicamente por el derecho</w:t>
      </w:r>
      <w:r w:rsidRPr="00CF04BF">
        <w:rPr>
          <w:rStyle w:val="FootnoteReference"/>
          <w:rFonts w:ascii="Times New Roman" w:hAnsi="Times New Roman" w:cs="Times New Roman"/>
          <w:sz w:val="24"/>
          <w:szCs w:val="24"/>
        </w:rPr>
        <w:footnoteReference w:id="79"/>
      </w:r>
      <w:r w:rsidR="00852D2A" w:rsidRPr="00CF04BF">
        <w:rPr>
          <w:rFonts w:ascii="Times New Roman" w:hAnsi="Times New Roman" w:cs="Times New Roman"/>
          <w:sz w:val="24"/>
          <w:szCs w:val="24"/>
        </w:rPr>
        <w:t>.</w:t>
      </w:r>
      <w:r w:rsidRPr="00CF04BF">
        <w:rPr>
          <w:rFonts w:ascii="Times New Roman" w:hAnsi="Times New Roman" w:cs="Times New Roman"/>
          <w:sz w:val="24"/>
          <w:szCs w:val="24"/>
        </w:rPr>
        <w:t>En tal virtud el procedimiento del juicio de interdicción encuentra su fundamento en el Art. 41 del Código C</w:t>
      </w:r>
      <w:r w:rsidR="00CB11FB" w:rsidRPr="00CF04BF">
        <w:rPr>
          <w:rFonts w:ascii="Times New Roman" w:hAnsi="Times New Roman" w:cs="Times New Roman"/>
          <w:sz w:val="24"/>
          <w:szCs w:val="24"/>
        </w:rPr>
        <w:t>ivil</w:t>
      </w:r>
      <w:r w:rsidRPr="00CF04BF">
        <w:rPr>
          <w:rFonts w:ascii="Times New Roman" w:hAnsi="Times New Roman" w:cs="Times New Roman"/>
          <w:sz w:val="24"/>
          <w:szCs w:val="24"/>
        </w:rPr>
        <w:t xml:space="preserve"> que brinda la suficiente motivación para facultar al juez a emitir una resolución sobre el procedimiento. Ahora bien, en lo que respecta a la declaración de inadmisibilidad del recurso promovido por la ODNEI</w:t>
      </w:r>
      <w:r w:rsidRPr="00CF04BF">
        <w:rPr>
          <w:rStyle w:val="FootnoteReference"/>
          <w:rFonts w:ascii="Times New Roman" w:hAnsi="Times New Roman" w:cs="Times New Roman"/>
          <w:sz w:val="24"/>
          <w:szCs w:val="24"/>
        </w:rPr>
        <w:footnoteReference w:id="80"/>
      </w:r>
      <w:r w:rsidRPr="00CF04BF">
        <w:rPr>
          <w:rFonts w:ascii="Times New Roman" w:hAnsi="Times New Roman" w:cs="Times New Roman"/>
          <w:sz w:val="24"/>
          <w:szCs w:val="24"/>
        </w:rPr>
        <w:t>la actuación del juez se encuentra sustentada en el referido Art. 41 del Código C</w:t>
      </w:r>
      <w:r w:rsidR="00CB11FB" w:rsidRPr="00CF04BF">
        <w:rPr>
          <w:rFonts w:ascii="Times New Roman" w:hAnsi="Times New Roman" w:cs="Times New Roman"/>
          <w:sz w:val="24"/>
          <w:szCs w:val="24"/>
        </w:rPr>
        <w:t>ivil</w:t>
      </w:r>
      <w:r w:rsidR="005424E7">
        <w:rPr>
          <w:rFonts w:ascii="Times New Roman" w:hAnsi="Times New Roman" w:cs="Times New Roman"/>
          <w:sz w:val="24"/>
          <w:szCs w:val="24"/>
        </w:rPr>
        <w:t xml:space="preserve"> el cual establece que</w:t>
      </w:r>
      <w:r w:rsidRPr="00CF04BF">
        <w:rPr>
          <w:rFonts w:ascii="Times New Roman" w:hAnsi="Times New Roman" w:cs="Times New Roman"/>
          <w:sz w:val="24"/>
          <w:szCs w:val="24"/>
        </w:rPr>
        <w:t xml:space="preserve"> los únicos facultados para promover la revisión y/o revocación de la interdicción son el Ministerio Público o el tutor o tutora, y al no encontrarse la ODNEI dentro del supuesto establecido, el juez determinó que había una falta de legitimidad, es decir no existe un interés legítimo, puesto que dicho interés está ligado a la protección de un derecho difuso que aproveche a un amplio sector de poblaci</w:t>
      </w:r>
      <w:r w:rsidR="00852D2A" w:rsidRPr="00CF04BF">
        <w:rPr>
          <w:rFonts w:ascii="Times New Roman" w:hAnsi="Times New Roman" w:cs="Times New Roman"/>
          <w:sz w:val="24"/>
          <w:szCs w:val="24"/>
        </w:rPr>
        <w:t>ón, es decir a una colectividad</w:t>
      </w:r>
      <w:r w:rsidRPr="00CF04BF">
        <w:rPr>
          <w:rStyle w:val="FootnoteReference"/>
          <w:rFonts w:ascii="Times New Roman" w:hAnsi="Times New Roman" w:cs="Times New Roman"/>
          <w:sz w:val="24"/>
          <w:szCs w:val="24"/>
        </w:rPr>
        <w:footnoteReference w:id="81"/>
      </w:r>
      <w:r w:rsidR="00852D2A" w:rsidRPr="00CF04BF">
        <w:rPr>
          <w:rFonts w:ascii="Times New Roman" w:hAnsi="Times New Roman" w:cs="Times New Roman"/>
          <w:sz w:val="24"/>
          <w:szCs w:val="24"/>
        </w:rPr>
        <w:t>.</w:t>
      </w:r>
      <w:r w:rsidRPr="00CF04BF">
        <w:rPr>
          <w:rFonts w:ascii="Times New Roman" w:hAnsi="Times New Roman" w:cs="Times New Roman"/>
          <w:sz w:val="24"/>
          <w:szCs w:val="24"/>
        </w:rPr>
        <w:t xml:space="preserve">Partiendo de lo anterior podemos resaltar que la impugnación de la ODNEI carecía de los elementos del interés legítimo, en primer lugar no existe ningún derecho difuso, porque el juicio de interdicción tuvo como finalidad que </w:t>
      </w:r>
      <w:r w:rsidR="00131F4B" w:rsidRPr="00CF04BF">
        <w:rPr>
          <w:rFonts w:ascii="Times New Roman" w:hAnsi="Times New Roman" w:cs="Times New Roman"/>
          <w:sz w:val="24"/>
          <w:szCs w:val="24"/>
        </w:rPr>
        <w:t>C</w:t>
      </w:r>
      <w:r w:rsidRPr="00CF04BF">
        <w:rPr>
          <w:rFonts w:ascii="Times New Roman" w:hAnsi="Times New Roman" w:cs="Times New Roman"/>
          <w:sz w:val="24"/>
          <w:szCs w:val="24"/>
        </w:rPr>
        <w:t xml:space="preserve"> pudiera ejercer su derecho a la personalidad jurídica mediante un tutor legal que la asistiera en </w:t>
      </w:r>
      <w:r w:rsidR="005424E7">
        <w:rPr>
          <w:rFonts w:ascii="Times New Roman" w:hAnsi="Times New Roman" w:cs="Times New Roman"/>
          <w:sz w:val="24"/>
          <w:szCs w:val="24"/>
        </w:rPr>
        <w:t xml:space="preserve">el </w:t>
      </w:r>
      <w:r w:rsidRPr="00CF04BF">
        <w:rPr>
          <w:rFonts w:ascii="Times New Roman" w:hAnsi="Times New Roman" w:cs="Times New Roman"/>
          <w:sz w:val="24"/>
          <w:szCs w:val="24"/>
        </w:rPr>
        <w:t xml:space="preserve">ejercicio de sus derechos, entonces al ser la personalidad jurídica un derecho que solo aprovecha en favor de </w:t>
      </w:r>
      <w:r w:rsidR="00131F4B" w:rsidRPr="00CF04BF">
        <w:rPr>
          <w:rFonts w:ascii="Times New Roman" w:hAnsi="Times New Roman" w:cs="Times New Roman"/>
          <w:sz w:val="24"/>
          <w:szCs w:val="24"/>
        </w:rPr>
        <w:t>C</w:t>
      </w:r>
      <w:r w:rsidRPr="00CF04BF">
        <w:rPr>
          <w:rFonts w:ascii="Times New Roman" w:hAnsi="Times New Roman" w:cs="Times New Roman"/>
          <w:sz w:val="24"/>
          <w:szCs w:val="24"/>
        </w:rPr>
        <w:t>, no pertenece a la gama de derechos difusos, en segundo lugar carece del elemento de colectividad, dado que como se ha hecho mención el derecho a la personalidad jurídica es un derecho individual. Concluyendo con el análisis al existir un fundamento legal que establece quienes poseen la legitimidad para impugnar el recurso y al no poder demostrar la ODNEI su interés legítimo podemos aseverar que el</w:t>
      </w:r>
      <w:r w:rsidR="00E00698" w:rsidRPr="00CF04BF">
        <w:rPr>
          <w:rFonts w:ascii="Times New Roman" w:hAnsi="Times New Roman" w:cs="Times New Roman"/>
          <w:sz w:val="24"/>
          <w:szCs w:val="24"/>
        </w:rPr>
        <w:t xml:space="preserve"> juez actuó conforme a derecho. </w:t>
      </w:r>
      <w:r w:rsidRPr="00CF04BF">
        <w:rPr>
          <w:rFonts w:ascii="Times New Roman" w:hAnsi="Times New Roman" w:cs="Times New Roman"/>
          <w:sz w:val="24"/>
          <w:szCs w:val="24"/>
        </w:rPr>
        <w:t xml:space="preserve">En cuanto a la imparcialidad, el TEDH se ha pronunciado explicando que la imparcialidad personal o subjetiva </w:t>
      </w:r>
      <w:r w:rsidRPr="00CF04BF">
        <w:rPr>
          <w:rFonts w:ascii="Times New Roman" w:hAnsi="Times New Roman" w:cs="Times New Roman"/>
          <w:sz w:val="24"/>
          <w:szCs w:val="24"/>
        </w:rPr>
        <w:lastRenderedPageBreak/>
        <w:t>se presume a menos</w:t>
      </w:r>
      <w:r w:rsidR="00852D2A" w:rsidRPr="00CF04BF">
        <w:rPr>
          <w:rFonts w:ascii="Times New Roman" w:hAnsi="Times New Roman" w:cs="Times New Roman"/>
          <w:sz w:val="24"/>
          <w:szCs w:val="24"/>
        </w:rPr>
        <w:t xml:space="preserve"> que exista prueba en contrario</w:t>
      </w:r>
      <w:r w:rsidRPr="00CF04BF">
        <w:rPr>
          <w:rStyle w:val="FootnoteReference"/>
          <w:rFonts w:ascii="Times New Roman" w:hAnsi="Times New Roman" w:cs="Times New Roman"/>
          <w:sz w:val="24"/>
          <w:szCs w:val="24"/>
        </w:rPr>
        <w:footnoteReference w:id="82"/>
      </w:r>
      <w:r w:rsidR="00852D2A" w:rsidRPr="00CF04BF">
        <w:rPr>
          <w:rFonts w:ascii="Times New Roman" w:hAnsi="Times New Roman" w:cs="Times New Roman"/>
          <w:sz w:val="24"/>
          <w:szCs w:val="24"/>
        </w:rPr>
        <w:t>,</w:t>
      </w:r>
      <w:r w:rsidRPr="00CF04BF">
        <w:rPr>
          <w:rFonts w:ascii="Times New Roman" w:hAnsi="Times New Roman" w:cs="Times New Roman"/>
          <w:sz w:val="24"/>
          <w:szCs w:val="24"/>
        </w:rPr>
        <w:t xml:space="preserve"> durante la impugnación del juicio de interdicción por parte de la ODNEI, así como durante la apelación de la denegación de la impugnación las partes no presentaron ninguna prueba de que existiera parcialidad por parte de las autoridades judiciales de </w:t>
      </w:r>
      <w:r w:rsidR="00131F4B" w:rsidRPr="00CF04BF">
        <w:rPr>
          <w:rFonts w:ascii="Times New Roman" w:hAnsi="Times New Roman" w:cs="Times New Roman"/>
          <w:sz w:val="24"/>
          <w:szCs w:val="24"/>
        </w:rPr>
        <w:t>E</w:t>
      </w:r>
      <w:r w:rsidRPr="00CF04BF">
        <w:rPr>
          <w:rFonts w:ascii="Times New Roman" w:hAnsi="Times New Roman" w:cs="Times New Roman"/>
          <w:sz w:val="24"/>
          <w:szCs w:val="24"/>
        </w:rPr>
        <w:t>. Por lo tanto la imparcialidad siempre prevaleció en el proceso legal.</w:t>
      </w:r>
      <w:r w:rsidR="005424E7">
        <w:rPr>
          <w:rFonts w:ascii="Times New Roman" w:hAnsi="Times New Roman" w:cs="Times New Roman"/>
          <w:sz w:val="24"/>
          <w:szCs w:val="24"/>
        </w:rPr>
        <w:t xml:space="preserve"> </w:t>
      </w:r>
      <w:r w:rsidRPr="00CF04BF">
        <w:rPr>
          <w:rFonts w:ascii="Times New Roman" w:hAnsi="Times New Roman" w:cs="Times New Roman"/>
          <w:sz w:val="24"/>
          <w:szCs w:val="24"/>
        </w:rPr>
        <w:t>Por otra parte esta Corte IDH ha establecido que el proceso debe ser llevado a cabo en un tiempo razonable</w:t>
      </w:r>
      <w:r w:rsidRPr="00CF04BF">
        <w:rPr>
          <w:rStyle w:val="FootnoteReference"/>
          <w:rFonts w:ascii="Times New Roman" w:hAnsi="Times New Roman" w:cs="Times New Roman"/>
          <w:sz w:val="24"/>
          <w:szCs w:val="24"/>
        </w:rPr>
        <w:footnoteReference w:id="83"/>
      </w:r>
      <w:r w:rsidRPr="00CF04BF">
        <w:rPr>
          <w:rFonts w:ascii="Times New Roman" w:hAnsi="Times New Roman" w:cs="Times New Roman"/>
          <w:sz w:val="24"/>
          <w:szCs w:val="24"/>
        </w:rPr>
        <w:t>para poder determinar si un plazo fue razonable debemos atender a los criterios fijados por esta Corte los cuales son : a) La complejidad del asunto, b) La actividad procesal del interesado y c) La conducta de las autoridades judiciales</w:t>
      </w:r>
      <w:r w:rsidRPr="00CF04BF">
        <w:rPr>
          <w:rStyle w:val="FootnoteReference"/>
          <w:rFonts w:ascii="Times New Roman" w:hAnsi="Times New Roman" w:cs="Times New Roman"/>
          <w:sz w:val="24"/>
          <w:szCs w:val="24"/>
        </w:rPr>
        <w:footnoteReference w:id="84"/>
      </w:r>
      <w:r w:rsidRPr="00CF04BF">
        <w:rPr>
          <w:rFonts w:ascii="Times New Roman" w:hAnsi="Times New Roman" w:cs="Times New Roman"/>
          <w:sz w:val="24"/>
          <w:szCs w:val="24"/>
        </w:rPr>
        <w:t>y además existe un cuarto elemento considerado por esta Corte que es d) La afectación a la situación jurídica de la persona</w:t>
      </w:r>
      <w:r w:rsidR="00852D2A" w:rsidRPr="00CF04BF">
        <w:rPr>
          <w:rFonts w:ascii="Times New Roman" w:hAnsi="Times New Roman" w:cs="Times New Roman"/>
          <w:sz w:val="24"/>
          <w:szCs w:val="24"/>
        </w:rPr>
        <w:t xml:space="preserve"> involucrada durante el proceso</w:t>
      </w:r>
      <w:r w:rsidRPr="00CF04BF">
        <w:rPr>
          <w:rStyle w:val="FootnoteReference"/>
          <w:rFonts w:ascii="Times New Roman" w:hAnsi="Times New Roman" w:cs="Times New Roman"/>
          <w:sz w:val="24"/>
          <w:szCs w:val="24"/>
        </w:rPr>
        <w:footnoteReference w:id="85"/>
      </w:r>
      <w:r w:rsidR="00852D2A" w:rsidRPr="00CF04BF">
        <w:rPr>
          <w:rFonts w:ascii="Times New Roman" w:hAnsi="Times New Roman" w:cs="Times New Roman"/>
          <w:sz w:val="24"/>
          <w:szCs w:val="24"/>
        </w:rPr>
        <w:t>.</w:t>
      </w:r>
      <w:r w:rsidRPr="00CF04BF">
        <w:rPr>
          <w:rFonts w:ascii="Times New Roman" w:hAnsi="Times New Roman" w:cs="Times New Roman"/>
          <w:sz w:val="24"/>
          <w:szCs w:val="24"/>
        </w:rPr>
        <w:t>Basándonos en lo anterior: respecto a 1) La complejidad del asunto</w:t>
      </w:r>
      <w:r w:rsidR="005424E7">
        <w:rPr>
          <w:rFonts w:ascii="Times New Roman" w:hAnsi="Times New Roman" w:cs="Times New Roman"/>
          <w:sz w:val="24"/>
          <w:szCs w:val="24"/>
        </w:rPr>
        <w:t>;</w:t>
      </w:r>
      <w:r w:rsidRPr="00CF04BF">
        <w:rPr>
          <w:rFonts w:ascii="Times New Roman" w:hAnsi="Times New Roman" w:cs="Times New Roman"/>
          <w:sz w:val="24"/>
          <w:szCs w:val="24"/>
        </w:rPr>
        <w:t xml:space="preserve"> la impugnación de la interdicción, así como en la apelación de la inadmisibilidad de la impugnación el objetivo de la ODNEI era revertir la tutela y devolver la personalidad jurídica a </w:t>
      </w:r>
      <w:r w:rsidR="00131F4B" w:rsidRPr="00CF04BF">
        <w:rPr>
          <w:rFonts w:ascii="Times New Roman" w:hAnsi="Times New Roman" w:cs="Times New Roman"/>
          <w:sz w:val="24"/>
          <w:szCs w:val="24"/>
        </w:rPr>
        <w:t>C</w:t>
      </w:r>
      <w:r w:rsidRPr="00CF04BF">
        <w:rPr>
          <w:rFonts w:ascii="Times New Roman" w:hAnsi="Times New Roman" w:cs="Times New Roman"/>
          <w:sz w:val="24"/>
          <w:szCs w:val="24"/>
        </w:rPr>
        <w:t xml:space="preserve"> quien en estos momentos se encuentra bajo la tutela de la Dra. Lira. Por otra parte en lo que se refiere al amparo promovido por la ODNEI el objetivo era dotar a los habitantes de “La Casita” de mejores condiciones de vida. Respecto a 2) La actuación del interesado</w:t>
      </w:r>
      <w:r w:rsidR="005424E7">
        <w:rPr>
          <w:rFonts w:ascii="Times New Roman" w:hAnsi="Times New Roman" w:cs="Times New Roman"/>
          <w:sz w:val="24"/>
          <w:szCs w:val="24"/>
        </w:rPr>
        <w:t>;</w:t>
      </w:r>
      <w:r w:rsidRPr="00CF04BF">
        <w:rPr>
          <w:rFonts w:ascii="Times New Roman" w:hAnsi="Times New Roman" w:cs="Times New Roman"/>
          <w:sz w:val="24"/>
          <w:szCs w:val="24"/>
        </w:rPr>
        <w:t xml:space="preserve"> como se ha mencionado la ODNEI ha promovido la impugnación del juicio de interdicción, la apelación de la inadmisibilidad de la impugnación y un recurso de amparo a favor de los habitantes de "La Casita". En lo que respecta a 3) La actuación de la autoridad judicial como se ha demostrado siempre se ha ajustado a derecho. Por último en lo que resta a 4) La afectación de la esfe</w:t>
      </w:r>
      <w:r w:rsidR="00DD62CB">
        <w:rPr>
          <w:rFonts w:ascii="Times New Roman" w:hAnsi="Times New Roman" w:cs="Times New Roman"/>
          <w:sz w:val="24"/>
          <w:szCs w:val="24"/>
        </w:rPr>
        <w:t>ra jurídica de los involucrados;</w:t>
      </w:r>
      <w:r w:rsidRPr="00CF04BF">
        <w:rPr>
          <w:rFonts w:ascii="Times New Roman" w:hAnsi="Times New Roman" w:cs="Times New Roman"/>
          <w:sz w:val="24"/>
          <w:szCs w:val="24"/>
        </w:rPr>
        <w:t xml:space="preserve"> durante la tramitación de la </w:t>
      </w:r>
      <w:r w:rsidRPr="00CF04BF">
        <w:rPr>
          <w:rFonts w:ascii="Times New Roman" w:hAnsi="Times New Roman" w:cs="Times New Roman"/>
          <w:sz w:val="24"/>
          <w:szCs w:val="24"/>
        </w:rPr>
        <w:lastRenderedPageBreak/>
        <w:t xml:space="preserve">impugnación del juicio de interdicción, así como de la apelación de la inadmisibilidad de la impugnación, </w:t>
      </w:r>
      <w:r w:rsidR="00131F4B" w:rsidRPr="00CF04BF">
        <w:rPr>
          <w:rFonts w:ascii="Times New Roman" w:hAnsi="Times New Roman" w:cs="Times New Roman"/>
          <w:sz w:val="24"/>
          <w:szCs w:val="24"/>
        </w:rPr>
        <w:t>C</w:t>
      </w:r>
      <w:r w:rsidRPr="00CF04BF">
        <w:rPr>
          <w:rFonts w:ascii="Times New Roman" w:hAnsi="Times New Roman" w:cs="Times New Roman"/>
          <w:sz w:val="24"/>
          <w:szCs w:val="24"/>
        </w:rPr>
        <w:t xml:space="preserve"> se ha encontrado bajo la tutela de la Dra. Lira contra quien la ODNEI no pudo probar ningún abuso durante su tutela tal y como resolvió el T.A.I.</w:t>
      </w:r>
      <w:r w:rsidRPr="00CF04BF">
        <w:rPr>
          <w:rStyle w:val="FootnoteReference"/>
          <w:rFonts w:ascii="Times New Roman" w:hAnsi="Times New Roman" w:cs="Times New Roman"/>
          <w:sz w:val="24"/>
          <w:szCs w:val="24"/>
        </w:rPr>
        <w:footnoteReference w:id="86"/>
      </w:r>
      <w:r w:rsidRPr="00CF04BF">
        <w:rPr>
          <w:rFonts w:ascii="Times New Roman" w:hAnsi="Times New Roman" w:cs="Times New Roman"/>
          <w:sz w:val="24"/>
          <w:szCs w:val="24"/>
        </w:rPr>
        <w:t xml:space="preserve">por lo que durante el desarrollo de esos procesos </w:t>
      </w:r>
      <w:r w:rsidR="00131F4B" w:rsidRPr="00CF04BF">
        <w:rPr>
          <w:rFonts w:ascii="Times New Roman" w:hAnsi="Times New Roman" w:cs="Times New Roman"/>
          <w:sz w:val="24"/>
          <w:szCs w:val="24"/>
        </w:rPr>
        <w:t>C</w:t>
      </w:r>
      <w:r w:rsidRPr="00CF04BF">
        <w:rPr>
          <w:rFonts w:ascii="Times New Roman" w:hAnsi="Times New Roman" w:cs="Times New Roman"/>
          <w:sz w:val="24"/>
          <w:szCs w:val="24"/>
        </w:rPr>
        <w:t xml:space="preserve"> se ha encontrado protegida de cualquier a</w:t>
      </w:r>
      <w:r w:rsidR="00DD62CB">
        <w:rPr>
          <w:rFonts w:ascii="Times New Roman" w:hAnsi="Times New Roman" w:cs="Times New Roman"/>
          <w:sz w:val="24"/>
          <w:szCs w:val="24"/>
        </w:rPr>
        <w:t>fectación a sus derechos. Ahora</w:t>
      </w:r>
      <w:r w:rsidRPr="00CF04BF">
        <w:rPr>
          <w:rFonts w:ascii="Times New Roman" w:hAnsi="Times New Roman" w:cs="Times New Roman"/>
          <w:sz w:val="24"/>
          <w:szCs w:val="24"/>
        </w:rPr>
        <w:t xml:space="preserve"> bien</w:t>
      </w:r>
      <w:r w:rsidR="00DD62CB">
        <w:rPr>
          <w:rFonts w:ascii="Times New Roman" w:hAnsi="Times New Roman" w:cs="Times New Roman"/>
          <w:sz w:val="24"/>
          <w:szCs w:val="24"/>
        </w:rPr>
        <w:t>,</w:t>
      </w:r>
      <w:r w:rsidRPr="00CF04BF">
        <w:rPr>
          <w:rFonts w:ascii="Times New Roman" w:hAnsi="Times New Roman" w:cs="Times New Roman"/>
          <w:sz w:val="24"/>
          <w:szCs w:val="24"/>
        </w:rPr>
        <w:t xml:space="preserve"> en cuanto al amparo existía una amenaza de que las condiciones de "La Casita" pudieran afectar los derechos de sus habitantes. Teniendo en cuenta todo lo anterior los tribunales de Exclutía resolvieron en 6 meses 27 días la impugnación del juicio de interdicción, en 6 meses 17 días la apelación de la inadmisibilidad de la impugnación y en tan sólo 2 meses el amparo, los cuales se alejan del plazo de 5 años considerado como irracional</w:t>
      </w:r>
      <w:r w:rsidRPr="00CF04BF">
        <w:rPr>
          <w:rStyle w:val="FootnoteReference"/>
          <w:rFonts w:ascii="Times New Roman" w:hAnsi="Times New Roman" w:cs="Times New Roman"/>
          <w:sz w:val="24"/>
          <w:szCs w:val="24"/>
        </w:rPr>
        <w:footnoteReference w:id="87"/>
      </w:r>
      <w:r w:rsidRPr="00CF04BF">
        <w:rPr>
          <w:rFonts w:ascii="Times New Roman" w:hAnsi="Times New Roman" w:cs="Times New Roman"/>
          <w:sz w:val="24"/>
          <w:szCs w:val="24"/>
        </w:rPr>
        <w:t xml:space="preserve">por esta Corte IDH. </w:t>
      </w:r>
    </w:p>
    <w:p w:rsidR="006E0A51" w:rsidRPr="00CF04BF" w:rsidRDefault="006E0A51" w:rsidP="009972EA">
      <w:pPr>
        <w:spacing w:after="0" w:line="480" w:lineRule="auto"/>
        <w:jc w:val="both"/>
        <w:rPr>
          <w:rFonts w:ascii="Times New Roman" w:hAnsi="Times New Roman" w:cs="Times New Roman"/>
          <w:sz w:val="24"/>
          <w:szCs w:val="24"/>
        </w:rPr>
      </w:pPr>
      <w:r w:rsidRPr="00CF04BF">
        <w:rPr>
          <w:rFonts w:ascii="Times New Roman" w:hAnsi="Times New Roman" w:cs="Times New Roman"/>
          <w:sz w:val="24"/>
          <w:szCs w:val="24"/>
        </w:rPr>
        <w:t>En cuanto al Art. 25</w:t>
      </w:r>
      <w:r w:rsidR="00EC2993" w:rsidRPr="00CF04BF">
        <w:rPr>
          <w:rFonts w:ascii="Times New Roman" w:hAnsi="Times New Roman" w:cs="Times New Roman"/>
          <w:sz w:val="24"/>
          <w:szCs w:val="24"/>
        </w:rPr>
        <w:t xml:space="preserve">.1 </w:t>
      </w:r>
      <w:r w:rsidRPr="00CF04BF">
        <w:rPr>
          <w:rFonts w:ascii="Times New Roman" w:hAnsi="Times New Roman" w:cs="Times New Roman"/>
          <w:sz w:val="24"/>
          <w:szCs w:val="24"/>
        </w:rPr>
        <w:t xml:space="preserve">que hace referencia al recurso efectivo, esta Corte ha dictado que para que el Estado cumpla </w:t>
      </w:r>
      <w:r w:rsidR="00EC2993" w:rsidRPr="00CF04BF">
        <w:rPr>
          <w:rFonts w:ascii="Times New Roman" w:hAnsi="Times New Roman" w:cs="Times New Roman"/>
          <w:sz w:val="24"/>
          <w:szCs w:val="24"/>
        </w:rPr>
        <w:t xml:space="preserve">con dicho Art. </w:t>
      </w:r>
      <w:r w:rsidRPr="00CF04BF">
        <w:rPr>
          <w:rFonts w:ascii="Times New Roman" w:hAnsi="Times New Roman" w:cs="Times New Roman"/>
          <w:sz w:val="24"/>
          <w:szCs w:val="24"/>
        </w:rPr>
        <w:t>no basta con que los recursos existan formalmente, sino es preciso que sean efectivos, es decir, se debe brindar a la persona la posibilidad real de interponer un recurso sencillo y rápido que permita alcanzar, en su caso, l</w:t>
      </w:r>
      <w:r w:rsidR="00852D2A" w:rsidRPr="00CF04BF">
        <w:rPr>
          <w:rFonts w:ascii="Times New Roman" w:hAnsi="Times New Roman" w:cs="Times New Roman"/>
          <w:sz w:val="24"/>
          <w:szCs w:val="24"/>
        </w:rPr>
        <w:t>a protección judicial requerida</w:t>
      </w:r>
      <w:r w:rsidRPr="00CF04BF">
        <w:rPr>
          <w:rStyle w:val="FootnoteReference"/>
          <w:rFonts w:ascii="Times New Roman" w:hAnsi="Times New Roman" w:cs="Times New Roman"/>
          <w:sz w:val="24"/>
          <w:szCs w:val="24"/>
        </w:rPr>
        <w:footnoteReference w:id="88"/>
      </w:r>
      <w:r w:rsidR="00852D2A" w:rsidRPr="00CF04BF">
        <w:rPr>
          <w:rFonts w:ascii="Times New Roman" w:hAnsi="Times New Roman" w:cs="Times New Roman"/>
          <w:sz w:val="24"/>
          <w:szCs w:val="24"/>
        </w:rPr>
        <w:t>.</w:t>
      </w:r>
      <w:r w:rsidRPr="00CF04BF">
        <w:rPr>
          <w:rFonts w:ascii="Times New Roman" w:hAnsi="Times New Roman" w:cs="Times New Roman"/>
          <w:sz w:val="24"/>
          <w:szCs w:val="24"/>
        </w:rPr>
        <w:t xml:space="preserve">En el presente caso, al resolver sobre la apelación de la inadmisibilidad de la impugnación del juicio de interdicción el T.A.I. en su resolución señaló la acción de inconstitucionalidad </w:t>
      </w:r>
      <w:r w:rsidR="0070199D" w:rsidRPr="00CF04BF">
        <w:rPr>
          <w:rFonts w:ascii="Times New Roman" w:hAnsi="Times New Roman" w:cs="Times New Roman"/>
          <w:sz w:val="24"/>
          <w:szCs w:val="24"/>
        </w:rPr>
        <w:t xml:space="preserve">(en adelante “AI”) </w:t>
      </w:r>
      <w:r w:rsidRPr="00CF04BF">
        <w:rPr>
          <w:rFonts w:ascii="Times New Roman" w:hAnsi="Times New Roman" w:cs="Times New Roman"/>
          <w:sz w:val="24"/>
          <w:szCs w:val="24"/>
        </w:rPr>
        <w:t>es el recurso adecua</w:t>
      </w:r>
      <w:r w:rsidR="00EC2993" w:rsidRPr="00CF04BF">
        <w:rPr>
          <w:rFonts w:ascii="Times New Roman" w:hAnsi="Times New Roman" w:cs="Times New Roman"/>
          <w:sz w:val="24"/>
          <w:szCs w:val="24"/>
        </w:rPr>
        <w:t xml:space="preserve">do y efectivo </w:t>
      </w:r>
      <w:r w:rsidRPr="00CF04BF">
        <w:rPr>
          <w:rFonts w:ascii="Times New Roman" w:hAnsi="Times New Roman" w:cs="Times New Roman"/>
          <w:sz w:val="24"/>
          <w:szCs w:val="24"/>
        </w:rPr>
        <w:t>para cuestionar la figura de la interdicción</w:t>
      </w:r>
      <w:r w:rsidRPr="00CF04BF">
        <w:rPr>
          <w:rStyle w:val="FootnoteReference"/>
          <w:rFonts w:ascii="Times New Roman" w:hAnsi="Times New Roman" w:cs="Times New Roman"/>
          <w:sz w:val="24"/>
          <w:szCs w:val="24"/>
        </w:rPr>
        <w:footnoteReference w:id="89"/>
      </w:r>
      <w:r w:rsidR="00EC2993" w:rsidRPr="00CF04BF">
        <w:rPr>
          <w:rFonts w:ascii="Times New Roman" w:hAnsi="Times New Roman" w:cs="Times New Roman"/>
          <w:sz w:val="24"/>
          <w:szCs w:val="24"/>
        </w:rPr>
        <w:t>.</w:t>
      </w:r>
      <w:r w:rsidRPr="00CF04BF">
        <w:rPr>
          <w:rFonts w:ascii="Times New Roman" w:hAnsi="Times New Roman" w:cs="Times New Roman"/>
          <w:sz w:val="24"/>
          <w:szCs w:val="24"/>
        </w:rPr>
        <w:t xml:space="preserve">La </w:t>
      </w:r>
      <w:r w:rsidR="0070199D" w:rsidRPr="00CF04BF">
        <w:rPr>
          <w:rFonts w:ascii="Times New Roman" w:hAnsi="Times New Roman" w:cs="Times New Roman"/>
          <w:sz w:val="24"/>
          <w:szCs w:val="24"/>
        </w:rPr>
        <w:t>AI</w:t>
      </w:r>
      <w:r w:rsidRPr="00CF04BF">
        <w:rPr>
          <w:rFonts w:ascii="Times New Roman" w:hAnsi="Times New Roman" w:cs="Times New Roman"/>
          <w:sz w:val="24"/>
          <w:szCs w:val="24"/>
        </w:rPr>
        <w:t xml:space="preserve"> es un recurs</w:t>
      </w:r>
      <w:r w:rsidR="00EC2993" w:rsidRPr="00CF04BF">
        <w:rPr>
          <w:rFonts w:ascii="Times New Roman" w:hAnsi="Times New Roman" w:cs="Times New Roman"/>
          <w:sz w:val="24"/>
          <w:szCs w:val="24"/>
        </w:rPr>
        <w:t xml:space="preserve">o efectivo, ya que como esta </w:t>
      </w:r>
      <w:r w:rsidRPr="00CF04BF">
        <w:rPr>
          <w:rFonts w:ascii="Times New Roman" w:hAnsi="Times New Roman" w:cs="Times New Roman"/>
          <w:sz w:val="24"/>
          <w:szCs w:val="24"/>
        </w:rPr>
        <w:t>Corte ha determinado, para que un recurso sea efectivo debe ser capaz de producir el resultado para el cual ha si</w:t>
      </w:r>
      <w:r w:rsidR="00852D2A" w:rsidRPr="00CF04BF">
        <w:rPr>
          <w:rFonts w:ascii="Times New Roman" w:hAnsi="Times New Roman" w:cs="Times New Roman"/>
          <w:sz w:val="24"/>
          <w:szCs w:val="24"/>
        </w:rPr>
        <w:t>do concebido</w:t>
      </w:r>
      <w:r w:rsidRPr="00CF04BF">
        <w:rPr>
          <w:rStyle w:val="FootnoteReference"/>
          <w:rFonts w:ascii="Times New Roman" w:hAnsi="Times New Roman" w:cs="Times New Roman"/>
          <w:sz w:val="24"/>
          <w:szCs w:val="24"/>
        </w:rPr>
        <w:footnoteReference w:id="90"/>
      </w:r>
      <w:r w:rsidR="00852D2A" w:rsidRPr="00CF04BF">
        <w:rPr>
          <w:rFonts w:ascii="Times New Roman" w:hAnsi="Times New Roman" w:cs="Times New Roman"/>
          <w:sz w:val="24"/>
          <w:szCs w:val="24"/>
        </w:rPr>
        <w:t>.</w:t>
      </w:r>
      <w:r w:rsidR="00E13C3B" w:rsidRPr="00CF04BF">
        <w:rPr>
          <w:rFonts w:ascii="Times New Roman" w:hAnsi="Times New Roman" w:cs="Times New Roman"/>
          <w:sz w:val="24"/>
          <w:szCs w:val="24"/>
        </w:rPr>
        <w:t>L</w:t>
      </w:r>
      <w:r w:rsidRPr="00CF04BF">
        <w:rPr>
          <w:rFonts w:ascii="Times New Roman" w:hAnsi="Times New Roman" w:cs="Times New Roman"/>
          <w:sz w:val="24"/>
          <w:szCs w:val="24"/>
        </w:rPr>
        <w:t xml:space="preserve">a </w:t>
      </w:r>
      <w:r w:rsidR="0070199D" w:rsidRPr="00CF04BF">
        <w:rPr>
          <w:rFonts w:ascii="Times New Roman" w:hAnsi="Times New Roman" w:cs="Times New Roman"/>
          <w:sz w:val="24"/>
          <w:szCs w:val="24"/>
        </w:rPr>
        <w:t>AI</w:t>
      </w:r>
      <w:r w:rsidRPr="00CF04BF">
        <w:rPr>
          <w:rFonts w:ascii="Times New Roman" w:hAnsi="Times New Roman" w:cs="Times New Roman"/>
          <w:sz w:val="24"/>
          <w:szCs w:val="24"/>
        </w:rPr>
        <w:t xml:space="preserve"> cumple con lo anterior, puesto que </w:t>
      </w:r>
      <w:r w:rsidRPr="00CF04BF">
        <w:rPr>
          <w:rFonts w:ascii="Times New Roman" w:hAnsi="Times New Roman" w:cs="Times New Roman"/>
          <w:sz w:val="24"/>
          <w:szCs w:val="24"/>
        </w:rPr>
        <w:lastRenderedPageBreak/>
        <w:t>el resultado para el cual ha sido concebido consiste en armonizar las leyes internas que infrinjan algún precepto de carácter Constitucional, por lo tanto es un recurso que concede la posibilidad a cualquier persona con un interés legítimo</w:t>
      </w:r>
      <w:r w:rsidRPr="00CF04BF">
        <w:rPr>
          <w:rStyle w:val="FootnoteReference"/>
          <w:rFonts w:ascii="Times New Roman" w:hAnsi="Times New Roman" w:cs="Times New Roman"/>
          <w:sz w:val="24"/>
          <w:szCs w:val="24"/>
        </w:rPr>
        <w:footnoteReference w:id="91"/>
      </w:r>
      <w:r w:rsidRPr="00CF04BF">
        <w:rPr>
          <w:rFonts w:ascii="Times New Roman" w:hAnsi="Times New Roman" w:cs="Times New Roman"/>
          <w:sz w:val="24"/>
          <w:szCs w:val="24"/>
        </w:rPr>
        <w:t xml:space="preserve">de cuestionar la presunción de constitucionalidad de la que gozan las leyes </w:t>
      </w:r>
      <w:r w:rsidR="00852D2A" w:rsidRPr="00CF04BF">
        <w:rPr>
          <w:rFonts w:ascii="Times New Roman" w:hAnsi="Times New Roman" w:cs="Times New Roman"/>
          <w:sz w:val="24"/>
          <w:szCs w:val="24"/>
        </w:rPr>
        <w:t>internas</w:t>
      </w:r>
      <w:r w:rsidRPr="00CF04BF">
        <w:rPr>
          <w:rStyle w:val="FootnoteReference"/>
          <w:rFonts w:ascii="Times New Roman" w:hAnsi="Times New Roman" w:cs="Times New Roman"/>
          <w:sz w:val="24"/>
          <w:szCs w:val="24"/>
        </w:rPr>
        <w:footnoteReference w:id="92"/>
      </w:r>
      <w:r w:rsidR="00852D2A" w:rsidRPr="00CF04BF">
        <w:rPr>
          <w:rFonts w:ascii="Times New Roman" w:hAnsi="Times New Roman" w:cs="Times New Roman"/>
          <w:sz w:val="24"/>
          <w:szCs w:val="24"/>
        </w:rPr>
        <w:t>.</w:t>
      </w:r>
      <w:r w:rsidR="004B30E6" w:rsidRPr="00CF04BF">
        <w:rPr>
          <w:rFonts w:ascii="Times New Roman" w:hAnsi="Times New Roman" w:cs="Times New Roman"/>
          <w:sz w:val="24"/>
          <w:szCs w:val="24"/>
        </w:rPr>
        <w:t>E</w:t>
      </w:r>
      <w:r w:rsidRPr="00CF04BF">
        <w:rPr>
          <w:rFonts w:ascii="Times New Roman" w:hAnsi="Times New Roman" w:cs="Times New Roman"/>
          <w:sz w:val="24"/>
          <w:szCs w:val="24"/>
        </w:rPr>
        <w:t>n el caso de qu</w:t>
      </w:r>
      <w:r w:rsidR="00E13C3B" w:rsidRPr="00CF04BF">
        <w:rPr>
          <w:rFonts w:ascii="Times New Roman" w:hAnsi="Times New Roman" w:cs="Times New Roman"/>
          <w:sz w:val="24"/>
          <w:szCs w:val="24"/>
        </w:rPr>
        <w:t>e ODNEI hubiese interpuesto la</w:t>
      </w:r>
      <w:r w:rsidR="000D443C">
        <w:rPr>
          <w:rFonts w:ascii="Times New Roman" w:hAnsi="Times New Roman" w:cs="Times New Roman"/>
          <w:sz w:val="24"/>
          <w:szCs w:val="24"/>
        </w:rPr>
        <w:t xml:space="preserve"> </w:t>
      </w:r>
      <w:r w:rsidR="0070199D" w:rsidRPr="00CF04BF">
        <w:rPr>
          <w:rFonts w:ascii="Times New Roman" w:hAnsi="Times New Roman" w:cs="Times New Roman"/>
          <w:sz w:val="24"/>
          <w:szCs w:val="24"/>
        </w:rPr>
        <w:t>AI</w:t>
      </w:r>
      <w:r w:rsidR="004B30E6" w:rsidRPr="00CF04BF">
        <w:rPr>
          <w:rFonts w:ascii="Times New Roman" w:hAnsi="Times New Roman" w:cs="Times New Roman"/>
          <w:sz w:val="24"/>
          <w:szCs w:val="24"/>
        </w:rPr>
        <w:t xml:space="preserve">, habría tenido </w:t>
      </w:r>
      <w:r w:rsidRPr="00CF04BF">
        <w:rPr>
          <w:rFonts w:ascii="Times New Roman" w:hAnsi="Times New Roman" w:cs="Times New Roman"/>
          <w:sz w:val="24"/>
          <w:szCs w:val="24"/>
        </w:rPr>
        <w:t>como resultado la posible declaratoria de inconstitucionalidad del Art. 41 del Código C</w:t>
      </w:r>
      <w:r w:rsidR="00CB11FB" w:rsidRPr="00CF04BF">
        <w:rPr>
          <w:rFonts w:ascii="Times New Roman" w:hAnsi="Times New Roman" w:cs="Times New Roman"/>
          <w:sz w:val="24"/>
          <w:szCs w:val="24"/>
        </w:rPr>
        <w:t>ivil</w:t>
      </w:r>
      <w:r w:rsidRPr="00CF04BF">
        <w:rPr>
          <w:rFonts w:ascii="Times New Roman" w:hAnsi="Times New Roman" w:cs="Times New Roman"/>
          <w:sz w:val="24"/>
          <w:szCs w:val="24"/>
        </w:rPr>
        <w:t xml:space="preserve"> siempre y cuando la Corte Constitucional de </w:t>
      </w:r>
      <w:r w:rsidR="00131F4B" w:rsidRPr="00CF04BF">
        <w:rPr>
          <w:rFonts w:ascii="Times New Roman" w:hAnsi="Times New Roman" w:cs="Times New Roman"/>
          <w:sz w:val="24"/>
          <w:szCs w:val="24"/>
        </w:rPr>
        <w:t>E</w:t>
      </w:r>
      <w:r w:rsidRPr="00CF04BF">
        <w:rPr>
          <w:rFonts w:ascii="Times New Roman" w:hAnsi="Times New Roman" w:cs="Times New Roman"/>
          <w:sz w:val="24"/>
          <w:szCs w:val="24"/>
        </w:rPr>
        <w:t xml:space="preserve"> hubiere encontrado que tal norma es contraria a la Constitución Política de </w:t>
      </w:r>
      <w:r w:rsidR="00131F4B" w:rsidRPr="00CF04BF">
        <w:rPr>
          <w:rFonts w:ascii="Times New Roman" w:hAnsi="Times New Roman" w:cs="Times New Roman"/>
          <w:sz w:val="24"/>
          <w:szCs w:val="24"/>
        </w:rPr>
        <w:t>E</w:t>
      </w:r>
      <w:r w:rsidRPr="00CF04BF">
        <w:rPr>
          <w:rFonts w:ascii="Times New Roman" w:hAnsi="Times New Roman" w:cs="Times New Roman"/>
          <w:sz w:val="24"/>
          <w:szCs w:val="24"/>
        </w:rPr>
        <w:t>. Adicionalmente, si e</w:t>
      </w:r>
      <w:r w:rsidR="004B30E6" w:rsidRPr="00CF04BF">
        <w:rPr>
          <w:rFonts w:ascii="Times New Roman" w:hAnsi="Times New Roman" w:cs="Times New Roman"/>
          <w:sz w:val="24"/>
          <w:szCs w:val="24"/>
        </w:rPr>
        <w:t xml:space="preserve">ste hubiera sido el resultado, </w:t>
      </w:r>
      <w:r w:rsidRPr="00CF04BF">
        <w:rPr>
          <w:rFonts w:ascii="Times New Roman" w:hAnsi="Times New Roman" w:cs="Times New Roman"/>
          <w:sz w:val="24"/>
          <w:szCs w:val="24"/>
        </w:rPr>
        <w:t xml:space="preserve">habría conducido a que </w:t>
      </w:r>
      <w:r w:rsidR="00131F4B" w:rsidRPr="00CF04BF">
        <w:rPr>
          <w:rFonts w:ascii="Times New Roman" w:hAnsi="Times New Roman" w:cs="Times New Roman"/>
          <w:sz w:val="24"/>
          <w:szCs w:val="24"/>
        </w:rPr>
        <w:t>C</w:t>
      </w:r>
      <w:r w:rsidRPr="00CF04BF">
        <w:rPr>
          <w:rFonts w:ascii="Times New Roman" w:hAnsi="Times New Roman" w:cs="Times New Roman"/>
          <w:sz w:val="24"/>
          <w:szCs w:val="24"/>
        </w:rPr>
        <w:t xml:space="preserve"> ya no estuviera bajo el estado de interdicción, pu</w:t>
      </w:r>
      <w:r w:rsidR="00E00698" w:rsidRPr="00CF04BF">
        <w:rPr>
          <w:rFonts w:ascii="Times New Roman" w:hAnsi="Times New Roman" w:cs="Times New Roman"/>
          <w:sz w:val="24"/>
          <w:szCs w:val="24"/>
        </w:rPr>
        <w:t xml:space="preserve">es tal figura ya no existiría. </w:t>
      </w:r>
      <w:r w:rsidRPr="00CF04BF">
        <w:rPr>
          <w:rFonts w:ascii="Times New Roman" w:hAnsi="Times New Roman" w:cs="Times New Roman"/>
          <w:sz w:val="24"/>
          <w:szCs w:val="24"/>
        </w:rPr>
        <w:t>Por otra parte, el requisito de adecuación consiste en establecer si, frente a la situación concreta, el recurso en cuestión permite determinar si se incurrió en una violación a los derechos humanos, y además prov</w:t>
      </w:r>
      <w:r w:rsidR="00852D2A" w:rsidRPr="00CF04BF">
        <w:rPr>
          <w:rFonts w:ascii="Times New Roman" w:hAnsi="Times New Roman" w:cs="Times New Roman"/>
          <w:sz w:val="24"/>
          <w:szCs w:val="24"/>
        </w:rPr>
        <w:t>ee lo necesario para remediarla</w:t>
      </w:r>
      <w:r w:rsidRPr="00CF04BF">
        <w:rPr>
          <w:rStyle w:val="FootnoteReference"/>
          <w:rFonts w:ascii="Times New Roman" w:hAnsi="Times New Roman" w:cs="Times New Roman"/>
          <w:sz w:val="24"/>
          <w:szCs w:val="24"/>
        </w:rPr>
        <w:footnoteReference w:id="93"/>
      </w:r>
      <w:r w:rsidR="00852D2A" w:rsidRPr="00CF04BF">
        <w:rPr>
          <w:rFonts w:ascii="Times New Roman" w:hAnsi="Times New Roman" w:cs="Times New Roman"/>
          <w:sz w:val="24"/>
          <w:szCs w:val="24"/>
        </w:rPr>
        <w:t>.</w:t>
      </w:r>
      <w:r w:rsidRPr="00CF04BF">
        <w:rPr>
          <w:rFonts w:ascii="Times New Roman" w:hAnsi="Times New Roman" w:cs="Times New Roman"/>
          <w:sz w:val="24"/>
          <w:szCs w:val="24"/>
        </w:rPr>
        <w:t xml:space="preserve">La </w:t>
      </w:r>
      <w:r w:rsidR="0070199D" w:rsidRPr="00CF04BF">
        <w:rPr>
          <w:rFonts w:ascii="Times New Roman" w:hAnsi="Times New Roman" w:cs="Times New Roman"/>
          <w:sz w:val="24"/>
          <w:szCs w:val="24"/>
        </w:rPr>
        <w:t>AI</w:t>
      </w:r>
      <w:r w:rsidRPr="00CF04BF">
        <w:rPr>
          <w:rFonts w:ascii="Times New Roman" w:hAnsi="Times New Roman" w:cs="Times New Roman"/>
          <w:sz w:val="24"/>
          <w:szCs w:val="24"/>
        </w:rPr>
        <w:t xml:space="preserve"> cumple con este requisito, pues los efectos de la declaración de inconstitucionalidad, en el supuesto que el Art. 41 del Código C</w:t>
      </w:r>
      <w:r w:rsidR="00CB11FB" w:rsidRPr="00CF04BF">
        <w:rPr>
          <w:rFonts w:ascii="Times New Roman" w:hAnsi="Times New Roman" w:cs="Times New Roman"/>
          <w:sz w:val="24"/>
          <w:szCs w:val="24"/>
        </w:rPr>
        <w:t>ivil</w:t>
      </w:r>
      <w:r w:rsidRPr="00CF04BF">
        <w:rPr>
          <w:rFonts w:ascii="Times New Roman" w:hAnsi="Times New Roman" w:cs="Times New Roman"/>
          <w:sz w:val="24"/>
          <w:szCs w:val="24"/>
        </w:rPr>
        <w:t xml:space="preserve"> fuese contraria a la Constitución Política de </w:t>
      </w:r>
      <w:r w:rsidR="00131F4B" w:rsidRPr="00CF04BF">
        <w:rPr>
          <w:rFonts w:ascii="Times New Roman" w:hAnsi="Times New Roman" w:cs="Times New Roman"/>
          <w:sz w:val="24"/>
          <w:szCs w:val="24"/>
        </w:rPr>
        <w:t>E</w:t>
      </w:r>
      <w:r w:rsidRPr="00CF04BF">
        <w:rPr>
          <w:rFonts w:ascii="Times New Roman" w:hAnsi="Times New Roman" w:cs="Times New Roman"/>
          <w:sz w:val="24"/>
          <w:szCs w:val="24"/>
        </w:rPr>
        <w:t xml:space="preserve">, llevaría a la inexistencia de la figura de interdicción, por lo que </w:t>
      </w:r>
      <w:r w:rsidR="00131F4B" w:rsidRPr="00CF04BF">
        <w:rPr>
          <w:rFonts w:ascii="Times New Roman" w:hAnsi="Times New Roman" w:cs="Times New Roman"/>
          <w:sz w:val="24"/>
          <w:szCs w:val="24"/>
        </w:rPr>
        <w:t>C</w:t>
      </w:r>
      <w:r w:rsidRPr="00CF04BF">
        <w:rPr>
          <w:rFonts w:ascii="Times New Roman" w:hAnsi="Times New Roman" w:cs="Times New Roman"/>
          <w:sz w:val="24"/>
          <w:szCs w:val="24"/>
        </w:rPr>
        <w:t xml:space="preserve"> ya no estaría b</w:t>
      </w:r>
      <w:r w:rsidR="004B30E6" w:rsidRPr="00CF04BF">
        <w:rPr>
          <w:rFonts w:ascii="Times New Roman" w:hAnsi="Times New Roman" w:cs="Times New Roman"/>
          <w:sz w:val="24"/>
          <w:szCs w:val="24"/>
        </w:rPr>
        <w:t xml:space="preserve">ajo tutela. En este sentido, la AI </w:t>
      </w:r>
      <w:r w:rsidRPr="00CF04BF">
        <w:rPr>
          <w:rFonts w:ascii="Times New Roman" w:hAnsi="Times New Roman" w:cs="Times New Roman"/>
          <w:sz w:val="24"/>
          <w:szCs w:val="24"/>
        </w:rPr>
        <w:t>habría sido capaz de tutelar la situación jurídica objeto de las pretensiones de la ODNEI que consistía primordialmente en decretar la inconstitucionalidad del Art. 41 del Código C</w:t>
      </w:r>
      <w:r w:rsidR="00CB11FB" w:rsidRPr="00CF04BF">
        <w:rPr>
          <w:rFonts w:ascii="Times New Roman" w:hAnsi="Times New Roman" w:cs="Times New Roman"/>
          <w:sz w:val="24"/>
          <w:szCs w:val="24"/>
        </w:rPr>
        <w:t>ivil</w:t>
      </w:r>
      <w:r w:rsidRPr="00CF04BF">
        <w:rPr>
          <w:rFonts w:ascii="Times New Roman" w:hAnsi="Times New Roman" w:cs="Times New Roman"/>
          <w:sz w:val="24"/>
          <w:szCs w:val="24"/>
        </w:rPr>
        <w:t xml:space="preserve"> para que </w:t>
      </w:r>
      <w:r w:rsidR="00131F4B" w:rsidRPr="00CF04BF">
        <w:rPr>
          <w:rFonts w:ascii="Times New Roman" w:hAnsi="Times New Roman" w:cs="Times New Roman"/>
          <w:sz w:val="24"/>
          <w:szCs w:val="24"/>
        </w:rPr>
        <w:t>C</w:t>
      </w:r>
      <w:r w:rsidRPr="00CF04BF">
        <w:rPr>
          <w:rFonts w:ascii="Times New Roman" w:hAnsi="Times New Roman" w:cs="Times New Roman"/>
          <w:sz w:val="24"/>
          <w:szCs w:val="24"/>
        </w:rPr>
        <w:t xml:space="preserve"> ya no estuviera bajo tutela por interdic</w:t>
      </w:r>
      <w:r w:rsidR="006F3ED2" w:rsidRPr="00CF04BF">
        <w:rPr>
          <w:rFonts w:ascii="Times New Roman" w:hAnsi="Times New Roman" w:cs="Times New Roman"/>
          <w:sz w:val="24"/>
          <w:szCs w:val="24"/>
        </w:rPr>
        <w:t>ción</w:t>
      </w:r>
      <w:r w:rsidRPr="00CF04BF">
        <w:rPr>
          <w:rStyle w:val="FootnoteReference"/>
          <w:rFonts w:ascii="Times New Roman" w:hAnsi="Times New Roman" w:cs="Times New Roman"/>
          <w:sz w:val="24"/>
          <w:szCs w:val="24"/>
        </w:rPr>
        <w:footnoteReference w:id="94"/>
      </w:r>
      <w:r w:rsidR="006F3ED2" w:rsidRPr="00CF04BF">
        <w:rPr>
          <w:rFonts w:ascii="Times New Roman" w:hAnsi="Times New Roman" w:cs="Times New Roman"/>
          <w:sz w:val="24"/>
          <w:szCs w:val="24"/>
        </w:rPr>
        <w:t>.</w:t>
      </w:r>
      <w:r w:rsidRPr="00CF04BF">
        <w:rPr>
          <w:rFonts w:ascii="Times New Roman" w:hAnsi="Times New Roman" w:cs="Times New Roman"/>
          <w:sz w:val="24"/>
          <w:szCs w:val="24"/>
        </w:rPr>
        <w:t xml:space="preserve">En relación </w:t>
      </w:r>
      <w:r w:rsidR="0070199D" w:rsidRPr="00CF04BF">
        <w:rPr>
          <w:rFonts w:ascii="Times New Roman" w:hAnsi="Times New Roman" w:cs="Times New Roman"/>
          <w:sz w:val="24"/>
          <w:szCs w:val="24"/>
        </w:rPr>
        <w:t>a</w:t>
      </w:r>
      <w:r w:rsidRPr="00CF04BF">
        <w:rPr>
          <w:rFonts w:ascii="Times New Roman" w:hAnsi="Times New Roman" w:cs="Times New Roman"/>
          <w:sz w:val="24"/>
          <w:szCs w:val="24"/>
        </w:rPr>
        <w:t xml:space="preserve"> lo anterior, es incomprensible para </w:t>
      </w:r>
      <w:r w:rsidR="00131F4B" w:rsidRPr="00CF04BF">
        <w:rPr>
          <w:rFonts w:ascii="Times New Roman" w:hAnsi="Times New Roman" w:cs="Times New Roman"/>
          <w:sz w:val="24"/>
          <w:szCs w:val="24"/>
        </w:rPr>
        <w:t>E</w:t>
      </w:r>
      <w:r w:rsidRPr="00CF04BF">
        <w:rPr>
          <w:rFonts w:ascii="Times New Roman" w:hAnsi="Times New Roman" w:cs="Times New Roman"/>
          <w:sz w:val="24"/>
          <w:szCs w:val="24"/>
        </w:rPr>
        <w:t xml:space="preserve"> el por qué has</w:t>
      </w:r>
      <w:r w:rsidR="000D443C">
        <w:rPr>
          <w:rFonts w:ascii="Times New Roman" w:hAnsi="Times New Roman" w:cs="Times New Roman"/>
          <w:sz w:val="24"/>
          <w:szCs w:val="24"/>
        </w:rPr>
        <w:t>ta el momento no ha sido agotada</w:t>
      </w:r>
      <w:r w:rsidRPr="00CF04BF">
        <w:rPr>
          <w:rFonts w:ascii="Times New Roman" w:hAnsi="Times New Roman" w:cs="Times New Roman"/>
          <w:sz w:val="24"/>
          <w:szCs w:val="24"/>
        </w:rPr>
        <w:t xml:space="preserve"> por la ODNEI </w:t>
      </w:r>
      <w:r w:rsidR="0070199D" w:rsidRPr="00CF04BF">
        <w:rPr>
          <w:rFonts w:ascii="Times New Roman" w:hAnsi="Times New Roman" w:cs="Times New Roman"/>
          <w:sz w:val="24"/>
          <w:szCs w:val="24"/>
        </w:rPr>
        <w:t>la AI</w:t>
      </w:r>
      <w:r w:rsidRPr="00CF04BF">
        <w:rPr>
          <w:rFonts w:ascii="Times New Roman" w:hAnsi="Times New Roman" w:cs="Times New Roman"/>
          <w:sz w:val="24"/>
          <w:szCs w:val="24"/>
        </w:rPr>
        <w:t>, siendo que este es el recurso efectivo y ad</w:t>
      </w:r>
      <w:r w:rsidR="00E00698" w:rsidRPr="00CF04BF">
        <w:rPr>
          <w:rFonts w:ascii="Times New Roman" w:hAnsi="Times New Roman" w:cs="Times New Roman"/>
          <w:sz w:val="24"/>
          <w:szCs w:val="24"/>
        </w:rPr>
        <w:t xml:space="preserve">ecuado para sus pretensiones. </w:t>
      </w:r>
      <w:r w:rsidRPr="00CF04BF">
        <w:rPr>
          <w:rFonts w:ascii="Times New Roman" w:hAnsi="Times New Roman" w:cs="Times New Roman"/>
          <w:sz w:val="24"/>
          <w:szCs w:val="24"/>
        </w:rPr>
        <w:t xml:space="preserve">Por lo tanto </w:t>
      </w:r>
      <w:r w:rsidR="00131F4B" w:rsidRPr="00CF04BF">
        <w:rPr>
          <w:rFonts w:ascii="Times New Roman" w:hAnsi="Times New Roman" w:cs="Times New Roman"/>
          <w:sz w:val="24"/>
          <w:szCs w:val="24"/>
        </w:rPr>
        <w:t>E</w:t>
      </w:r>
      <w:r w:rsidRPr="00CF04BF">
        <w:rPr>
          <w:rFonts w:ascii="Times New Roman" w:hAnsi="Times New Roman" w:cs="Times New Roman"/>
          <w:sz w:val="24"/>
          <w:szCs w:val="24"/>
        </w:rPr>
        <w:t xml:space="preserve"> a través de la adecuada competencia, independencia judicial, </w:t>
      </w:r>
      <w:r w:rsidRPr="00CF04BF">
        <w:rPr>
          <w:rFonts w:ascii="Times New Roman" w:hAnsi="Times New Roman" w:cs="Times New Roman"/>
          <w:sz w:val="24"/>
          <w:szCs w:val="24"/>
        </w:rPr>
        <w:lastRenderedPageBreak/>
        <w:t xml:space="preserve">imparcialidad y al otorgar un plazo razonable por medio de sus tribunales cumplió con lo dispuesto por el Art. 8.1 y al existir la </w:t>
      </w:r>
      <w:r w:rsidR="00F577C2" w:rsidRPr="00CF04BF">
        <w:rPr>
          <w:rFonts w:ascii="Times New Roman" w:hAnsi="Times New Roman" w:cs="Times New Roman"/>
          <w:sz w:val="24"/>
          <w:szCs w:val="24"/>
        </w:rPr>
        <w:t>AI</w:t>
      </w:r>
      <w:r w:rsidRPr="00CF04BF">
        <w:rPr>
          <w:rFonts w:ascii="Times New Roman" w:hAnsi="Times New Roman" w:cs="Times New Roman"/>
          <w:sz w:val="24"/>
          <w:szCs w:val="24"/>
        </w:rPr>
        <w:t xml:space="preserve"> como recurso efectivo y adecuado para cuestionar la figura de interdicción se aseguró de respetar el Art. 25</w:t>
      </w:r>
      <w:r w:rsidR="00EC2993" w:rsidRPr="00CF04BF">
        <w:rPr>
          <w:rFonts w:ascii="Times New Roman" w:hAnsi="Times New Roman" w:cs="Times New Roman"/>
          <w:sz w:val="24"/>
          <w:szCs w:val="24"/>
        </w:rPr>
        <w:t>.1</w:t>
      </w:r>
      <w:r w:rsidRPr="00CF04BF">
        <w:rPr>
          <w:rFonts w:ascii="Times New Roman" w:hAnsi="Times New Roman" w:cs="Times New Roman"/>
          <w:sz w:val="24"/>
          <w:szCs w:val="24"/>
        </w:rPr>
        <w:t xml:space="preserve"> de la CADH.</w:t>
      </w:r>
    </w:p>
    <w:p w:rsidR="006E0A51" w:rsidRPr="00CF04BF" w:rsidRDefault="00790713" w:rsidP="009972EA">
      <w:pPr>
        <w:spacing w:after="0" w:line="480" w:lineRule="auto"/>
        <w:jc w:val="both"/>
        <w:rPr>
          <w:rFonts w:ascii="Times New Roman" w:hAnsi="Times New Roman" w:cs="Times New Roman"/>
          <w:b/>
          <w:sz w:val="24"/>
          <w:szCs w:val="24"/>
        </w:rPr>
      </w:pPr>
      <w:r w:rsidRPr="00CF04BF">
        <w:rPr>
          <w:rFonts w:ascii="Times New Roman" w:hAnsi="Times New Roman" w:cs="Times New Roman"/>
          <w:b/>
          <w:sz w:val="24"/>
          <w:szCs w:val="24"/>
        </w:rPr>
        <w:t xml:space="preserve">2.4. </w:t>
      </w:r>
      <w:r w:rsidR="006E0A51" w:rsidRPr="00CF04BF">
        <w:rPr>
          <w:rFonts w:ascii="Times New Roman" w:hAnsi="Times New Roman" w:cs="Times New Roman"/>
          <w:b/>
          <w:sz w:val="24"/>
          <w:szCs w:val="24"/>
        </w:rPr>
        <w:t>PETITORIO</w:t>
      </w:r>
      <w:r w:rsidRPr="00CF04BF">
        <w:rPr>
          <w:rFonts w:ascii="Times New Roman" w:hAnsi="Times New Roman" w:cs="Times New Roman"/>
          <w:b/>
          <w:sz w:val="24"/>
          <w:szCs w:val="24"/>
        </w:rPr>
        <w:t>.</w:t>
      </w:r>
    </w:p>
    <w:p w:rsidR="006E0A51" w:rsidRPr="00CF04BF" w:rsidRDefault="004B30E6" w:rsidP="009972EA">
      <w:pPr>
        <w:spacing w:after="0" w:line="480" w:lineRule="auto"/>
        <w:jc w:val="both"/>
        <w:rPr>
          <w:rFonts w:ascii="Times New Roman" w:hAnsi="Times New Roman" w:cs="Times New Roman"/>
          <w:sz w:val="24"/>
          <w:szCs w:val="24"/>
        </w:rPr>
      </w:pPr>
      <w:r w:rsidRPr="00CF04BF">
        <w:rPr>
          <w:rFonts w:ascii="Times New Roman" w:hAnsi="Times New Roman" w:cs="Times New Roman"/>
          <w:sz w:val="24"/>
          <w:szCs w:val="24"/>
        </w:rPr>
        <w:t>Por todo lo expuesto</w:t>
      </w:r>
      <w:r w:rsidR="006E0A51" w:rsidRPr="00CF04BF">
        <w:rPr>
          <w:rFonts w:ascii="Times New Roman" w:hAnsi="Times New Roman" w:cs="Times New Roman"/>
          <w:sz w:val="24"/>
          <w:szCs w:val="24"/>
        </w:rPr>
        <w:t xml:space="preserve">, el Estado de </w:t>
      </w:r>
      <w:r w:rsidR="00131F4B" w:rsidRPr="00CF04BF">
        <w:rPr>
          <w:rFonts w:ascii="Times New Roman" w:hAnsi="Times New Roman" w:cs="Times New Roman"/>
          <w:sz w:val="24"/>
          <w:szCs w:val="24"/>
        </w:rPr>
        <w:t>E</w:t>
      </w:r>
      <w:r w:rsidR="00AE7FD7">
        <w:rPr>
          <w:rFonts w:ascii="Times New Roman" w:hAnsi="Times New Roman" w:cs="Times New Roman"/>
          <w:sz w:val="24"/>
          <w:szCs w:val="24"/>
        </w:rPr>
        <w:t>xclutia</w:t>
      </w:r>
      <w:r w:rsidR="006E0A51" w:rsidRPr="00CF04BF">
        <w:rPr>
          <w:rFonts w:ascii="Times New Roman" w:hAnsi="Times New Roman" w:cs="Times New Roman"/>
          <w:sz w:val="24"/>
          <w:szCs w:val="24"/>
        </w:rPr>
        <w:t xml:space="preserve"> solicita a esta H. Corte IDH que concluya y declare la procedencia de las excepc</w:t>
      </w:r>
      <w:r w:rsidRPr="00CF04BF">
        <w:rPr>
          <w:rFonts w:ascii="Times New Roman" w:hAnsi="Times New Roman" w:cs="Times New Roman"/>
          <w:sz w:val="24"/>
          <w:szCs w:val="24"/>
        </w:rPr>
        <w:t xml:space="preserve">iones preliminares interpuestas </w:t>
      </w:r>
      <w:r w:rsidR="006E0A51" w:rsidRPr="00CF04BF">
        <w:rPr>
          <w:rFonts w:ascii="Times New Roman" w:hAnsi="Times New Roman" w:cs="Times New Roman"/>
          <w:sz w:val="24"/>
          <w:szCs w:val="24"/>
        </w:rPr>
        <w:t>y, consecuentement</w:t>
      </w:r>
      <w:r w:rsidR="00CB11FB" w:rsidRPr="00CF04BF">
        <w:rPr>
          <w:rFonts w:ascii="Times New Roman" w:hAnsi="Times New Roman" w:cs="Times New Roman"/>
          <w:sz w:val="24"/>
          <w:szCs w:val="24"/>
        </w:rPr>
        <w:t xml:space="preserve">e, la inadmisibilidad del caso. </w:t>
      </w:r>
      <w:r w:rsidR="006E0A51" w:rsidRPr="00CF04BF">
        <w:rPr>
          <w:rFonts w:ascii="Times New Roman" w:hAnsi="Times New Roman" w:cs="Times New Roman"/>
          <w:sz w:val="24"/>
          <w:szCs w:val="24"/>
        </w:rPr>
        <w:t>Asimismo, en caso de no ser admitidas las excepcione</w:t>
      </w:r>
      <w:r w:rsidR="00EC2993" w:rsidRPr="00CF04BF">
        <w:rPr>
          <w:rFonts w:ascii="Times New Roman" w:hAnsi="Times New Roman" w:cs="Times New Roman"/>
          <w:sz w:val="24"/>
          <w:szCs w:val="24"/>
        </w:rPr>
        <w:t xml:space="preserve">s preliminares, declaré </w:t>
      </w:r>
      <w:r w:rsidR="00AE7FD7">
        <w:rPr>
          <w:rFonts w:ascii="Times New Roman" w:hAnsi="Times New Roman" w:cs="Times New Roman"/>
          <w:sz w:val="24"/>
          <w:szCs w:val="24"/>
        </w:rPr>
        <w:t>la improcedencia de las medidas provisionales</w:t>
      </w:r>
      <w:r w:rsidR="00AE7FD7" w:rsidRPr="00CF04BF">
        <w:rPr>
          <w:rFonts w:ascii="Times New Roman" w:hAnsi="Times New Roman" w:cs="Times New Roman"/>
          <w:sz w:val="24"/>
          <w:szCs w:val="24"/>
        </w:rPr>
        <w:t xml:space="preserve"> </w:t>
      </w:r>
      <w:r w:rsidR="00AE7FD7">
        <w:rPr>
          <w:rFonts w:ascii="Times New Roman" w:hAnsi="Times New Roman" w:cs="Times New Roman"/>
          <w:sz w:val="24"/>
          <w:szCs w:val="24"/>
        </w:rPr>
        <w:t xml:space="preserve">y </w:t>
      </w:r>
      <w:r w:rsidR="006E0A51" w:rsidRPr="00CF04BF">
        <w:rPr>
          <w:rFonts w:ascii="Times New Roman" w:hAnsi="Times New Roman" w:cs="Times New Roman"/>
          <w:sz w:val="24"/>
          <w:szCs w:val="24"/>
        </w:rPr>
        <w:t xml:space="preserve">que </w:t>
      </w:r>
      <w:r w:rsidR="00131F4B" w:rsidRPr="00CF04BF">
        <w:rPr>
          <w:rFonts w:ascii="Times New Roman" w:hAnsi="Times New Roman" w:cs="Times New Roman"/>
          <w:sz w:val="24"/>
          <w:szCs w:val="24"/>
        </w:rPr>
        <w:t>E</w:t>
      </w:r>
      <w:r w:rsidR="00AE7FD7">
        <w:rPr>
          <w:rFonts w:ascii="Times New Roman" w:hAnsi="Times New Roman" w:cs="Times New Roman"/>
          <w:sz w:val="24"/>
          <w:szCs w:val="24"/>
        </w:rPr>
        <w:t>xclutia</w:t>
      </w:r>
      <w:r w:rsidR="006E0A51" w:rsidRPr="00CF04BF">
        <w:rPr>
          <w:rFonts w:ascii="Times New Roman" w:hAnsi="Times New Roman" w:cs="Times New Roman"/>
          <w:sz w:val="24"/>
          <w:szCs w:val="24"/>
        </w:rPr>
        <w:t xml:space="preserve"> no es responsable internacionalmente por la violación de los Arts. 3, 5, 7, 8, 11 y 24 de la CADH, todos ellos en  relación con los Arts. 1.1 y 2 del mismo instrumento internacional en perjuicio de </w:t>
      </w:r>
      <w:r w:rsidR="00131F4B" w:rsidRPr="00CF04BF">
        <w:rPr>
          <w:rFonts w:ascii="Times New Roman" w:hAnsi="Times New Roman" w:cs="Times New Roman"/>
          <w:sz w:val="24"/>
          <w:szCs w:val="24"/>
        </w:rPr>
        <w:t>C</w:t>
      </w:r>
      <w:r w:rsidR="00AE7FD7">
        <w:rPr>
          <w:rFonts w:ascii="Times New Roman" w:hAnsi="Times New Roman" w:cs="Times New Roman"/>
          <w:sz w:val="24"/>
          <w:szCs w:val="24"/>
        </w:rPr>
        <w:t>ristal Tovar</w:t>
      </w:r>
      <w:r w:rsidR="006E0A51" w:rsidRPr="00CF04BF">
        <w:rPr>
          <w:rFonts w:ascii="Times New Roman" w:hAnsi="Times New Roman" w:cs="Times New Roman"/>
          <w:sz w:val="24"/>
          <w:szCs w:val="24"/>
        </w:rPr>
        <w:t>. Por último, de conformidad con el Art. 63.1 de la CADH, se determine la no procedencia de reparaciones y no se condene en gastos y costas al Estado.</w:t>
      </w:r>
    </w:p>
    <w:sectPr w:rsidR="006E0A51" w:rsidRPr="00CF04BF" w:rsidSect="009972EA">
      <w:headerReference w:type="default" r:id="rId7"/>
      <w:footerReference w:type="default" r:id="rId8"/>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20EB" w:rsidRDefault="00D720EB" w:rsidP="00A44DDD">
      <w:pPr>
        <w:spacing w:after="0" w:line="240" w:lineRule="auto"/>
      </w:pPr>
      <w:r>
        <w:separator/>
      </w:r>
    </w:p>
  </w:endnote>
  <w:endnote w:type="continuationSeparator" w:id="0">
    <w:p w:rsidR="00D720EB" w:rsidRDefault="00D720EB" w:rsidP="00A44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LFCOK+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1301989"/>
      <w:docPartObj>
        <w:docPartGallery w:val="Page Numbers (Bottom of Page)"/>
        <w:docPartUnique/>
      </w:docPartObj>
    </w:sdtPr>
    <w:sdtEndPr/>
    <w:sdtContent>
      <w:p w:rsidR="00A73747" w:rsidRDefault="00A73747">
        <w:pPr>
          <w:pStyle w:val="Footer"/>
          <w:jc w:val="right"/>
        </w:pPr>
        <w:r w:rsidRPr="00A73747">
          <w:rPr>
            <w:rFonts w:ascii="Times New Roman" w:hAnsi="Times New Roman" w:cs="Times New Roman"/>
          </w:rPr>
          <w:fldChar w:fldCharType="begin"/>
        </w:r>
        <w:r w:rsidRPr="00A73747">
          <w:rPr>
            <w:rFonts w:ascii="Times New Roman" w:hAnsi="Times New Roman" w:cs="Times New Roman"/>
          </w:rPr>
          <w:instrText>PAGE   \* MERGEFORMAT</w:instrText>
        </w:r>
        <w:r w:rsidRPr="00A73747">
          <w:rPr>
            <w:rFonts w:ascii="Times New Roman" w:hAnsi="Times New Roman" w:cs="Times New Roman"/>
          </w:rPr>
          <w:fldChar w:fldCharType="separate"/>
        </w:r>
        <w:r w:rsidR="00E1343E" w:rsidRPr="00E1343E">
          <w:rPr>
            <w:rFonts w:ascii="Times New Roman" w:hAnsi="Times New Roman" w:cs="Times New Roman"/>
            <w:noProof/>
            <w:lang w:val="es-ES"/>
          </w:rPr>
          <w:t>1</w:t>
        </w:r>
        <w:r w:rsidRPr="00A73747">
          <w:rPr>
            <w:rFonts w:ascii="Times New Roman" w:hAnsi="Times New Roman" w:cs="Times New Roman"/>
          </w:rPr>
          <w:fldChar w:fldCharType="end"/>
        </w:r>
      </w:p>
    </w:sdtContent>
  </w:sdt>
  <w:p w:rsidR="00A73747" w:rsidRDefault="00A737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20EB" w:rsidRDefault="00D720EB" w:rsidP="00A44DDD">
      <w:pPr>
        <w:spacing w:after="0" w:line="240" w:lineRule="auto"/>
      </w:pPr>
      <w:r>
        <w:separator/>
      </w:r>
    </w:p>
  </w:footnote>
  <w:footnote w:type="continuationSeparator" w:id="0">
    <w:p w:rsidR="00D720EB" w:rsidRDefault="00D720EB" w:rsidP="00A44DDD">
      <w:pPr>
        <w:spacing w:after="0" w:line="240" w:lineRule="auto"/>
      </w:pPr>
      <w:r>
        <w:continuationSeparator/>
      </w:r>
    </w:p>
  </w:footnote>
  <w:footnote w:id="1">
    <w:p w:rsidR="00131F4B" w:rsidRPr="00E701A0" w:rsidRDefault="00131F4B" w:rsidP="00E701A0">
      <w:pPr>
        <w:pStyle w:val="FootnoteText"/>
        <w:jc w:val="both"/>
        <w:rPr>
          <w:rFonts w:ascii="Times New Roman" w:hAnsi="Times New Roman" w:cs="Times New Roman"/>
        </w:rPr>
      </w:pPr>
      <w:r w:rsidRPr="00E701A0">
        <w:rPr>
          <w:rStyle w:val="FootnoteReference"/>
          <w:rFonts w:ascii="Times New Roman" w:hAnsi="Times New Roman" w:cs="Times New Roman"/>
        </w:rPr>
        <w:footnoteRef/>
      </w:r>
      <w:r w:rsidRPr="00E701A0">
        <w:rPr>
          <w:rFonts w:ascii="Times New Roman" w:hAnsi="Times New Roman" w:cs="Times New Roman"/>
        </w:rPr>
        <w:t xml:space="preserve"> CIDH, Informe 60/12, Petición 513-04, Inadmisibilidad, José Carlos Ramírez Ramos, México, 18 de marzo de 2012, párr. 32.</w:t>
      </w:r>
    </w:p>
  </w:footnote>
  <w:footnote w:id="2">
    <w:p w:rsidR="00131F4B" w:rsidRPr="00E701A0" w:rsidRDefault="00131F4B" w:rsidP="00E701A0">
      <w:pPr>
        <w:pStyle w:val="FootnoteText"/>
        <w:jc w:val="both"/>
        <w:rPr>
          <w:rFonts w:ascii="Times New Roman" w:hAnsi="Times New Roman" w:cs="Times New Roman"/>
        </w:rPr>
      </w:pPr>
      <w:r w:rsidRPr="00E701A0">
        <w:rPr>
          <w:rStyle w:val="FootnoteReference"/>
          <w:rFonts w:ascii="Times New Roman" w:hAnsi="Times New Roman" w:cs="Times New Roman"/>
        </w:rPr>
        <w:footnoteRef/>
      </w:r>
      <w:r w:rsidRPr="00E701A0">
        <w:rPr>
          <w:rFonts w:ascii="Times New Roman" w:hAnsi="Times New Roman" w:cs="Times New Roman"/>
        </w:rPr>
        <w:t xml:space="preserve"> CIDH, Informe 17/03, Petición 11.825, Inadmisibilidad, María Estela Acosta Hernández y Otros (Explosiones en el sector Reforma de Guadalajara), México, 20 de febrero de 2003, párr. 32.</w:t>
      </w:r>
    </w:p>
  </w:footnote>
  <w:footnote w:id="3">
    <w:p w:rsidR="00131F4B" w:rsidRPr="00E701A0" w:rsidRDefault="00131F4B" w:rsidP="00E701A0">
      <w:pPr>
        <w:pStyle w:val="FootnoteText"/>
        <w:jc w:val="both"/>
        <w:rPr>
          <w:rFonts w:ascii="Times New Roman" w:hAnsi="Times New Roman" w:cs="Times New Roman"/>
        </w:rPr>
      </w:pPr>
      <w:r w:rsidRPr="00E701A0">
        <w:rPr>
          <w:rStyle w:val="FootnoteReference"/>
          <w:rFonts w:ascii="Times New Roman" w:hAnsi="Times New Roman" w:cs="Times New Roman"/>
        </w:rPr>
        <w:footnoteRef/>
      </w:r>
      <w:r w:rsidRPr="00E701A0">
        <w:rPr>
          <w:rFonts w:ascii="Times New Roman" w:hAnsi="Times New Roman" w:cs="Times New Roman"/>
        </w:rPr>
        <w:t xml:space="preserve"> Respuesta Aclaratoria No. 19.</w:t>
      </w:r>
    </w:p>
  </w:footnote>
  <w:footnote w:id="4">
    <w:p w:rsidR="006F3ED2" w:rsidRPr="00E701A0" w:rsidRDefault="006F3ED2" w:rsidP="00E701A0">
      <w:pPr>
        <w:spacing w:after="0" w:line="240" w:lineRule="auto"/>
        <w:jc w:val="both"/>
        <w:rPr>
          <w:rFonts w:ascii="Times New Roman" w:hAnsi="Times New Roman" w:cs="Times New Roman"/>
          <w:sz w:val="20"/>
          <w:szCs w:val="20"/>
        </w:rPr>
      </w:pPr>
      <w:r w:rsidRPr="00E701A0">
        <w:rPr>
          <w:rStyle w:val="FootnoteReference"/>
          <w:rFonts w:ascii="Times New Roman" w:hAnsi="Times New Roman" w:cs="Times New Roman"/>
          <w:sz w:val="20"/>
          <w:szCs w:val="20"/>
        </w:rPr>
        <w:footnoteRef/>
      </w:r>
      <w:r w:rsidRPr="00E701A0">
        <w:rPr>
          <w:rFonts w:ascii="Times New Roman" w:hAnsi="Times New Roman" w:cs="Times New Roman"/>
          <w:sz w:val="20"/>
          <w:szCs w:val="20"/>
        </w:rPr>
        <w:t xml:space="preserve"> Faúndez Ledesma, Héctor. “El Sistema Interamericano de Protección de los Derechos Humanos: aspectos institucionales y procesales”. Instituto Interamericano de Derechos Humanos. 3° Ed., San José. 2004. pág. 537.</w:t>
      </w:r>
    </w:p>
  </w:footnote>
  <w:footnote w:id="5">
    <w:p w:rsidR="006F3ED2" w:rsidRPr="00E701A0" w:rsidRDefault="006F3ED2" w:rsidP="00E701A0">
      <w:pPr>
        <w:spacing w:after="0" w:line="240" w:lineRule="auto"/>
        <w:jc w:val="both"/>
        <w:rPr>
          <w:rFonts w:ascii="Times New Roman" w:hAnsi="Times New Roman" w:cs="Times New Roman"/>
          <w:sz w:val="20"/>
          <w:szCs w:val="20"/>
        </w:rPr>
      </w:pPr>
      <w:r w:rsidRPr="00E701A0">
        <w:rPr>
          <w:rStyle w:val="FootnoteReference"/>
          <w:rFonts w:ascii="Times New Roman" w:hAnsi="Times New Roman" w:cs="Times New Roman"/>
          <w:sz w:val="20"/>
          <w:szCs w:val="20"/>
        </w:rPr>
        <w:footnoteRef/>
      </w:r>
      <w:r w:rsidRPr="00E701A0">
        <w:rPr>
          <w:rFonts w:ascii="Times New Roman" w:hAnsi="Times New Roman" w:cs="Times New Roman"/>
          <w:sz w:val="20"/>
          <w:szCs w:val="20"/>
        </w:rPr>
        <w:t xml:space="preserve"> Corte IDH. Caso Carpio Nicolle Vs. Guatemala. Medidas Provisionales. Resolución de 6 de julio de 2009, Considerando No. 14; Asunto Haitianos y Dominicanos de origen Haitiano en la República Dominicana. Medidas</w:t>
      </w:r>
      <w:r w:rsidRPr="00E701A0">
        <w:rPr>
          <w:rFonts w:ascii="Times New Roman" w:hAnsi="Times New Roman" w:cs="Times New Roman"/>
          <w:color w:val="222222"/>
          <w:sz w:val="20"/>
          <w:szCs w:val="20"/>
          <w:lang w:val="es-ES"/>
        </w:rPr>
        <w:t xml:space="preserve"> Provisionales </w:t>
      </w:r>
      <w:r w:rsidRPr="00E701A0">
        <w:rPr>
          <w:rFonts w:ascii="Times New Roman" w:hAnsi="Times New Roman" w:cs="Times New Roman"/>
          <w:sz w:val="20"/>
          <w:szCs w:val="20"/>
        </w:rPr>
        <w:t>respecto de República Dominicana</w:t>
      </w:r>
      <w:r w:rsidRPr="00E701A0">
        <w:rPr>
          <w:rFonts w:ascii="Times New Roman" w:hAnsi="Times New Roman" w:cs="Times New Roman"/>
          <w:color w:val="222222"/>
          <w:sz w:val="20"/>
          <w:szCs w:val="20"/>
          <w:lang w:val="es-ES"/>
        </w:rPr>
        <w:t>. Resolución de 29 de febrero del 2012, Considerando No. 6 y</w:t>
      </w:r>
      <w:r w:rsidRPr="00E701A0">
        <w:rPr>
          <w:rFonts w:ascii="Times New Roman" w:hAnsi="Times New Roman" w:cs="Times New Roman"/>
          <w:sz w:val="20"/>
          <w:szCs w:val="20"/>
        </w:rPr>
        <w:t xml:space="preserve"> Asunto José Luís Galdámez Álvarez y otros. Medidas Provisionales respecto de Honduras. Resolución de 24 de octubre de 2012, Considerando No. 4.</w:t>
      </w:r>
    </w:p>
  </w:footnote>
  <w:footnote w:id="6">
    <w:p w:rsidR="006F3ED2" w:rsidRPr="00E701A0" w:rsidRDefault="006F3ED2" w:rsidP="00E701A0">
      <w:pPr>
        <w:spacing w:after="0" w:line="240" w:lineRule="auto"/>
        <w:jc w:val="both"/>
        <w:rPr>
          <w:rFonts w:ascii="Times New Roman" w:hAnsi="Times New Roman" w:cs="Times New Roman"/>
          <w:sz w:val="20"/>
          <w:szCs w:val="20"/>
        </w:rPr>
      </w:pPr>
      <w:r w:rsidRPr="00E701A0">
        <w:rPr>
          <w:rStyle w:val="FootnoteReference"/>
          <w:rFonts w:ascii="Times New Roman" w:hAnsi="Times New Roman" w:cs="Times New Roman"/>
          <w:sz w:val="20"/>
          <w:szCs w:val="20"/>
        </w:rPr>
        <w:footnoteRef/>
      </w:r>
      <w:r w:rsidRPr="00E701A0">
        <w:rPr>
          <w:rFonts w:ascii="Times New Roman" w:hAnsi="Times New Roman" w:cs="Times New Roman"/>
          <w:sz w:val="20"/>
          <w:szCs w:val="20"/>
        </w:rPr>
        <w:t xml:space="preserve"> Faúndez Ledesma, Héctor. “El Sistema Interamericano de Protección de los Derechos Humanos: aspectos institucionales y procesales”. Instituto Interamericano de Derechos Humanos. 3° Ed., San José. 2004. pág. 380.</w:t>
      </w:r>
    </w:p>
  </w:footnote>
  <w:footnote w:id="7">
    <w:p w:rsidR="006F3ED2" w:rsidRPr="00E701A0" w:rsidRDefault="006F3ED2" w:rsidP="00E701A0">
      <w:pPr>
        <w:spacing w:after="0" w:line="240" w:lineRule="auto"/>
        <w:jc w:val="both"/>
        <w:rPr>
          <w:rFonts w:ascii="Times New Roman" w:hAnsi="Times New Roman" w:cs="Times New Roman"/>
          <w:sz w:val="20"/>
          <w:szCs w:val="20"/>
        </w:rPr>
      </w:pPr>
      <w:r w:rsidRPr="00E701A0">
        <w:rPr>
          <w:rStyle w:val="FootnoteReference"/>
          <w:rFonts w:ascii="Times New Roman" w:hAnsi="Times New Roman" w:cs="Times New Roman"/>
          <w:sz w:val="20"/>
          <w:szCs w:val="20"/>
        </w:rPr>
        <w:footnoteRef/>
      </w:r>
      <w:r w:rsidRPr="00E701A0">
        <w:rPr>
          <w:rFonts w:ascii="Times New Roman" w:hAnsi="Times New Roman" w:cs="Times New Roman"/>
          <w:sz w:val="20"/>
          <w:szCs w:val="20"/>
        </w:rPr>
        <w:t xml:space="preserve"> Ibid., pág. 537.</w:t>
      </w:r>
    </w:p>
  </w:footnote>
  <w:footnote w:id="8">
    <w:p w:rsidR="006F3ED2" w:rsidRPr="00E701A0" w:rsidRDefault="006F3ED2" w:rsidP="00E701A0">
      <w:pPr>
        <w:pStyle w:val="FootnoteText"/>
        <w:jc w:val="both"/>
        <w:rPr>
          <w:rFonts w:ascii="Times New Roman" w:hAnsi="Times New Roman" w:cs="Times New Roman"/>
        </w:rPr>
      </w:pPr>
      <w:r w:rsidRPr="00E701A0">
        <w:rPr>
          <w:rStyle w:val="FootnoteReference"/>
          <w:rFonts w:ascii="Times New Roman" w:hAnsi="Times New Roman" w:cs="Times New Roman"/>
        </w:rPr>
        <w:footnoteRef/>
      </w:r>
      <w:r w:rsidRPr="00E701A0">
        <w:rPr>
          <w:rFonts w:ascii="Times New Roman" w:hAnsi="Times New Roman" w:cs="Times New Roman"/>
        </w:rPr>
        <w:t xml:space="preserve"> CIDH, Principios y Buenas Prácticas sobre la Protección de las Personas Privadas de su Libertad en las Américas. Principio XXII.3). Relatoría sobre los Derechos de las Personas Privadas de su Libertad. Marzo 2008.</w:t>
      </w:r>
    </w:p>
  </w:footnote>
  <w:footnote w:id="9">
    <w:p w:rsidR="006F3ED2" w:rsidRPr="00E701A0" w:rsidRDefault="006F3ED2" w:rsidP="00E701A0">
      <w:pPr>
        <w:pStyle w:val="FootnoteText"/>
        <w:jc w:val="both"/>
        <w:rPr>
          <w:rFonts w:ascii="Times New Roman" w:hAnsi="Times New Roman" w:cs="Times New Roman"/>
        </w:rPr>
      </w:pPr>
      <w:r w:rsidRPr="00E701A0">
        <w:rPr>
          <w:rStyle w:val="FootnoteReference"/>
          <w:rFonts w:ascii="Times New Roman" w:hAnsi="Times New Roman" w:cs="Times New Roman"/>
        </w:rPr>
        <w:footnoteRef/>
      </w:r>
      <w:r w:rsidRPr="00E701A0">
        <w:rPr>
          <w:rFonts w:ascii="Times New Roman" w:hAnsi="Times New Roman" w:cs="Times New Roman"/>
        </w:rPr>
        <w:t xml:space="preserve"> TEDH, Caso Messina Vs. Italia, (No. 25498/94), Sentencia de 8 de junio de 1999. párr. 103.</w:t>
      </w:r>
    </w:p>
  </w:footnote>
  <w:footnote w:id="10">
    <w:p w:rsidR="006F3ED2" w:rsidRPr="00E701A0" w:rsidRDefault="006F3ED2" w:rsidP="00E701A0">
      <w:pPr>
        <w:pStyle w:val="FootnoteText"/>
        <w:jc w:val="both"/>
        <w:rPr>
          <w:rFonts w:ascii="Times New Roman" w:hAnsi="Times New Roman" w:cs="Times New Roman"/>
        </w:rPr>
      </w:pPr>
      <w:r w:rsidRPr="00E701A0">
        <w:rPr>
          <w:rStyle w:val="FootnoteReference"/>
          <w:rFonts w:ascii="Times New Roman" w:hAnsi="Times New Roman" w:cs="Times New Roman"/>
        </w:rPr>
        <w:footnoteRef/>
      </w:r>
      <w:r w:rsidRPr="00E701A0">
        <w:rPr>
          <w:rFonts w:ascii="Times New Roman" w:hAnsi="Times New Roman" w:cs="Times New Roman"/>
        </w:rPr>
        <w:t xml:space="preserve"> Hecho del Caso No. 40.</w:t>
      </w:r>
    </w:p>
  </w:footnote>
  <w:footnote w:id="11">
    <w:p w:rsidR="006F3ED2" w:rsidRPr="00E701A0" w:rsidRDefault="006F3ED2" w:rsidP="00E701A0">
      <w:pPr>
        <w:pStyle w:val="FootnoteText"/>
        <w:jc w:val="both"/>
        <w:rPr>
          <w:rFonts w:ascii="Times New Roman" w:hAnsi="Times New Roman" w:cs="Times New Roman"/>
        </w:rPr>
      </w:pPr>
      <w:r w:rsidRPr="00E701A0">
        <w:rPr>
          <w:rStyle w:val="FootnoteReference"/>
          <w:rFonts w:ascii="Times New Roman" w:hAnsi="Times New Roman" w:cs="Times New Roman"/>
        </w:rPr>
        <w:footnoteRef/>
      </w:r>
      <w:r w:rsidRPr="00E701A0">
        <w:rPr>
          <w:rFonts w:ascii="Times New Roman" w:hAnsi="Times New Roman" w:cs="Times New Roman"/>
        </w:rPr>
        <w:t xml:space="preserve"> ONU, Informe provisional del Relator Especial sobre la cuestión de la tortura y otros tratos o penas crueles, inhumanos o degradantes. A/63/175. 28 de julio de 2008, párr. 77 y ONU, Declaración de Estambul sobre la utilización y los efectos de la reclusión en régimen de aislamiento. 9 de diciembre de 2007.</w:t>
      </w:r>
    </w:p>
  </w:footnote>
  <w:footnote w:id="12">
    <w:p w:rsidR="006F3ED2" w:rsidRPr="00E701A0" w:rsidRDefault="006F3ED2" w:rsidP="00E701A0">
      <w:pPr>
        <w:pStyle w:val="FootnoteText"/>
        <w:jc w:val="both"/>
        <w:rPr>
          <w:rFonts w:ascii="Times New Roman" w:hAnsi="Times New Roman" w:cs="Times New Roman"/>
          <w:lang w:val="es-ES"/>
        </w:rPr>
      </w:pPr>
      <w:r w:rsidRPr="00E701A0">
        <w:rPr>
          <w:rStyle w:val="FootnoteReference"/>
          <w:rFonts w:ascii="Times New Roman" w:hAnsi="Times New Roman" w:cs="Times New Roman"/>
        </w:rPr>
        <w:footnoteRef/>
      </w:r>
      <w:r w:rsidRPr="00E701A0">
        <w:rPr>
          <w:rFonts w:ascii="Times New Roman" w:hAnsi="Times New Roman" w:cs="Times New Roman"/>
        </w:rPr>
        <w:t xml:space="preserve"> Faúndez Ledesma, Héctor. “El Sistema Interamericano de Protección de los Derechos Humanos: aspectos institucionales y procesales”. Instituto Interamericano de Derechos Humanos (IIDH). 3° Edición, San José. 2004. Pág. </w:t>
      </w:r>
      <w:r w:rsidRPr="00E701A0">
        <w:rPr>
          <w:rFonts w:ascii="Times New Roman" w:hAnsi="Times New Roman" w:cs="Times New Roman"/>
          <w:color w:val="222222"/>
          <w:lang w:val="es-ES"/>
        </w:rPr>
        <w:t xml:space="preserve">541 y </w:t>
      </w:r>
      <w:r w:rsidRPr="00E701A0">
        <w:rPr>
          <w:rFonts w:ascii="Times New Roman" w:hAnsi="Times New Roman" w:cs="Times New Roman"/>
          <w:i/>
        </w:rPr>
        <w:t>Cfr.</w:t>
      </w:r>
      <w:r w:rsidRPr="00E701A0">
        <w:rPr>
          <w:rFonts w:ascii="Times New Roman" w:hAnsi="Times New Roman" w:cs="Times New Roman"/>
        </w:rPr>
        <w:t xml:space="preserve"> Corte IDH. A</w:t>
      </w:r>
      <w:r w:rsidRPr="00E701A0">
        <w:rPr>
          <w:rFonts w:ascii="Times New Roman" w:hAnsi="Times New Roman" w:cs="Times New Roman"/>
          <w:lang w:val="es-ES"/>
        </w:rPr>
        <w:t xml:space="preserve">sunto de la Unidad de Internación Socioeducativa. </w:t>
      </w:r>
      <w:r w:rsidRPr="00E701A0">
        <w:rPr>
          <w:rFonts w:ascii="Times New Roman" w:hAnsi="Times New Roman" w:cs="Times New Roman"/>
        </w:rPr>
        <w:t xml:space="preserve">Medidas Provisionales </w:t>
      </w:r>
      <w:r w:rsidRPr="00E701A0">
        <w:rPr>
          <w:rFonts w:ascii="Times New Roman" w:hAnsi="Times New Roman" w:cs="Times New Roman"/>
          <w:lang w:val="es-ES"/>
        </w:rPr>
        <w:t>respecto de Brasil. Resolución de 25 de febrero de 2011. Considerando No. 8.</w:t>
      </w:r>
    </w:p>
  </w:footnote>
  <w:footnote w:id="13">
    <w:p w:rsidR="006F3ED2" w:rsidRPr="00E701A0" w:rsidRDefault="006F3ED2" w:rsidP="00E701A0">
      <w:pPr>
        <w:pStyle w:val="FootnoteText"/>
        <w:jc w:val="both"/>
        <w:rPr>
          <w:rFonts w:ascii="Times New Roman" w:hAnsi="Times New Roman" w:cs="Times New Roman"/>
          <w:lang w:val="es-ES"/>
        </w:rPr>
      </w:pPr>
      <w:r w:rsidRPr="00E701A0">
        <w:rPr>
          <w:rStyle w:val="FootnoteReference"/>
          <w:rFonts w:ascii="Times New Roman" w:hAnsi="Times New Roman" w:cs="Times New Roman"/>
        </w:rPr>
        <w:footnoteRef/>
      </w:r>
      <w:r w:rsidRPr="00E701A0">
        <w:rPr>
          <w:rFonts w:ascii="Times New Roman" w:hAnsi="Times New Roman" w:cs="Times New Roman"/>
        </w:rPr>
        <w:t xml:space="preserve"> CIDH, Reglamento de la CIDH, Art. 25.2.b).</w:t>
      </w:r>
    </w:p>
  </w:footnote>
  <w:footnote w:id="14">
    <w:p w:rsidR="00131F4B" w:rsidRPr="00E701A0" w:rsidRDefault="00131F4B" w:rsidP="00E701A0">
      <w:pPr>
        <w:pStyle w:val="FootnoteText"/>
        <w:tabs>
          <w:tab w:val="left" w:pos="720"/>
        </w:tabs>
        <w:jc w:val="both"/>
        <w:rPr>
          <w:rFonts w:ascii="Times New Roman" w:hAnsi="Times New Roman" w:cs="Times New Roman"/>
        </w:rPr>
      </w:pPr>
      <w:r w:rsidRPr="00E701A0">
        <w:rPr>
          <w:rStyle w:val="FootnoteReference"/>
          <w:rFonts w:ascii="Times New Roman" w:hAnsi="Times New Roman" w:cs="Times New Roman"/>
        </w:rPr>
        <w:footnoteRef/>
      </w:r>
      <w:r w:rsidRPr="00E701A0">
        <w:rPr>
          <w:rFonts w:ascii="Times New Roman" w:hAnsi="Times New Roman" w:cs="Times New Roman"/>
        </w:rPr>
        <w:t xml:space="preserve"> </w:t>
      </w:r>
      <w:r w:rsidRPr="00E701A0">
        <w:rPr>
          <w:rFonts w:ascii="Times New Roman" w:hAnsi="Times New Roman" w:cs="Times New Roman"/>
          <w:i/>
          <w:iCs/>
          <w:lang w:bidi="en-US"/>
        </w:rPr>
        <w:t>Cfr</w:t>
      </w:r>
      <w:r w:rsidRPr="00E701A0">
        <w:rPr>
          <w:rFonts w:ascii="Times New Roman" w:hAnsi="Times New Roman" w:cs="Times New Roman"/>
          <w:iCs/>
          <w:lang w:bidi="en-US"/>
        </w:rPr>
        <w:t>.</w:t>
      </w:r>
      <w:r w:rsidRPr="00E701A0">
        <w:rPr>
          <w:rFonts w:ascii="Times New Roman" w:hAnsi="Times New Roman" w:cs="Times New Roman"/>
          <w:bCs/>
          <w:color w:val="000000"/>
        </w:rPr>
        <w:t xml:space="preserve"> Corte IDH, </w:t>
      </w:r>
      <w:r w:rsidRPr="00E701A0">
        <w:rPr>
          <w:rStyle w:val="apple-style-span"/>
          <w:rFonts w:ascii="Times New Roman" w:hAnsi="Times New Roman" w:cs="Times New Roman"/>
          <w:bCs/>
          <w:color w:val="000000"/>
        </w:rPr>
        <w:t>Caso Bámaca Velásquez Vs. Guatemala.</w:t>
      </w:r>
      <w:r w:rsidRPr="00E701A0">
        <w:rPr>
          <w:rStyle w:val="apple-converted-space"/>
          <w:rFonts w:ascii="Times New Roman" w:eastAsiaTheme="majorEastAsia" w:hAnsi="Times New Roman" w:cs="Times New Roman"/>
          <w:bCs/>
          <w:color w:val="000000"/>
        </w:rPr>
        <w:t xml:space="preserve"> </w:t>
      </w:r>
      <w:r w:rsidRPr="00E701A0">
        <w:rPr>
          <w:rStyle w:val="apple-style-span"/>
          <w:rFonts w:ascii="Times New Roman" w:hAnsi="Times New Roman" w:cs="Times New Roman"/>
          <w:color w:val="000000"/>
        </w:rPr>
        <w:t xml:space="preserve">Fondo. Sentencia de 25 de noviembre de 2000. Serie C No. 70, párr. </w:t>
      </w:r>
      <w:r w:rsidRPr="00E701A0">
        <w:rPr>
          <w:rFonts w:ascii="Times New Roman" w:hAnsi="Times New Roman" w:cs="Times New Roman"/>
          <w:lang w:bidi="en-US"/>
        </w:rPr>
        <w:t xml:space="preserve">179; </w:t>
      </w:r>
      <w:r w:rsidRPr="00E701A0">
        <w:rPr>
          <w:rStyle w:val="apple-style-span"/>
          <w:rFonts w:ascii="Times New Roman" w:hAnsi="Times New Roman" w:cs="Times New Roman"/>
          <w:bCs/>
          <w:color w:val="000000"/>
        </w:rPr>
        <w:t>Caso Anzualdo Castro Vs. Perú.</w:t>
      </w:r>
      <w:r w:rsidRPr="00E701A0">
        <w:rPr>
          <w:rFonts w:ascii="Times New Roman" w:hAnsi="Times New Roman" w:cs="Times New Roman"/>
        </w:rPr>
        <w:t xml:space="preserve"> Excepción Preliminar, Fondo, Reparaciones y Costas. Sentencia de 22 de septiembre de 2009. Serie C No. 202,</w:t>
      </w:r>
      <w:r w:rsidRPr="00E701A0">
        <w:rPr>
          <w:rStyle w:val="apple-style-span"/>
          <w:rFonts w:ascii="Times New Roman" w:hAnsi="Times New Roman" w:cs="Times New Roman"/>
          <w:bCs/>
          <w:color w:val="000000"/>
        </w:rPr>
        <w:t xml:space="preserve"> </w:t>
      </w:r>
      <w:r w:rsidRPr="00E701A0">
        <w:rPr>
          <w:rStyle w:val="apple-style-span"/>
          <w:rFonts w:ascii="Times New Roman" w:hAnsi="Times New Roman" w:cs="Times New Roman"/>
          <w:color w:val="000000"/>
        </w:rPr>
        <w:t>párr.</w:t>
      </w:r>
      <w:r w:rsidRPr="00E701A0">
        <w:rPr>
          <w:rFonts w:ascii="Times New Roman" w:hAnsi="Times New Roman" w:cs="Times New Roman"/>
          <w:iCs/>
          <w:lang w:bidi="en-US"/>
        </w:rPr>
        <w:t xml:space="preserve"> 87</w:t>
      </w:r>
      <w:r w:rsidRPr="00E701A0">
        <w:rPr>
          <w:rFonts w:ascii="Times New Roman" w:hAnsi="Times New Roman" w:cs="Times New Roman"/>
          <w:lang w:bidi="en-US"/>
        </w:rPr>
        <w:t xml:space="preserve"> </w:t>
      </w:r>
      <w:r w:rsidRPr="00E701A0">
        <w:rPr>
          <w:rFonts w:ascii="Times New Roman" w:hAnsi="Times New Roman" w:cs="Times New Roman"/>
        </w:rPr>
        <w:t>y ONU, Comité de Derechos Humanos, Consideración de los Informes presentados por los Estados Partes conforme al artículo 40 del Pacto, Observaciones Finales respecto de Gabón, ONU Doc. CCPR/C/31/ADD.4, 18 de noviembre de 1996, párr. 54.</w:t>
      </w:r>
    </w:p>
  </w:footnote>
  <w:footnote w:id="15">
    <w:p w:rsidR="00131F4B" w:rsidRPr="00E701A0" w:rsidRDefault="00131F4B" w:rsidP="00E701A0">
      <w:pPr>
        <w:pStyle w:val="FootnoteText"/>
        <w:jc w:val="both"/>
        <w:rPr>
          <w:rFonts w:ascii="Times New Roman" w:hAnsi="Times New Roman" w:cs="Times New Roman"/>
        </w:rPr>
      </w:pPr>
      <w:r w:rsidRPr="00E701A0">
        <w:rPr>
          <w:rStyle w:val="FootnoteReference"/>
          <w:rFonts w:ascii="Times New Roman" w:hAnsi="Times New Roman" w:cs="Times New Roman"/>
        </w:rPr>
        <w:footnoteRef/>
      </w:r>
      <w:r w:rsidRPr="00E701A0">
        <w:rPr>
          <w:rFonts w:ascii="Times New Roman" w:hAnsi="Times New Roman" w:cs="Times New Roman"/>
        </w:rPr>
        <w:t xml:space="preserve"> Corte IDH, </w:t>
      </w:r>
      <w:r w:rsidRPr="00E701A0">
        <w:rPr>
          <w:rFonts w:ascii="Times New Roman" w:hAnsi="Times New Roman" w:cs="Times New Roman"/>
          <w:bCs/>
        </w:rPr>
        <w:t xml:space="preserve">Caso Comunidad Indígena Sawhoyamaxa Vs. Paraguay. Fondo, Reparaciones y Costas. Sentencia de 29 de marzo de 2006. Serie C No. 146, </w:t>
      </w:r>
      <w:r w:rsidRPr="00E701A0">
        <w:rPr>
          <w:rFonts w:ascii="Times New Roman" w:hAnsi="Times New Roman" w:cs="Times New Roman"/>
        </w:rPr>
        <w:t>párr. 188.</w:t>
      </w:r>
    </w:p>
  </w:footnote>
  <w:footnote w:id="16">
    <w:p w:rsidR="00131F4B" w:rsidRPr="00E701A0" w:rsidRDefault="00131F4B" w:rsidP="00E701A0">
      <w:pPr>
        <w:pStyle w:val="FootnoteText"/>
        <w:jc w:val="both"/>
        <w:rPr>
          <w:rFonts w:ascii="Times New Roman" w:hAnsi="Times New Roman" w:cs="Times New Roman"/>
        </w:rPr>
      </w:pPr>
      <w:r w:rsidRPr="00E701A0">
        <w:rPr>
          <w:rStyle w:val="FootnoteReference"/>
          <w:rFonts w:ascii="Times New Roman" w:hAnsi="Times New Roman" w:cs="Times New Roman"/>
        </w:rPr>
        <w:footnoteRef/>
      </w:r>
      <w:r w:rsidRPr="00E701A0">
        <w:rPr>
          <w:rFonts w:ascii="Times New Roman" w:hAnsi="Times New Roman" w:cs="Times New Roman"/>
        </w:rPr>
        <w:t xml:space="preserve"> Hecho del Caso No. 11.</w:t>
      </w:r>
    </w:p>
  </w:footnote>
  <w:footnote w:id="17">
    <w:p w:rsidR="00131F4B" w:rsidRPr="00E701A0" w:rsidRDefault="00131F4B" w:rsidP="00E701A0">
      <w:pPr>
        <w:pStyle w:val="FootnoteText"/>
        <w:jc w:val="both"/>
        <w:rPr>
          <w:rFonts w:ascii="Times New Roman" w:hAnsi="Times New Roman" w:cs="Times New Roman"/>
        </w:rPr>
      </w:pPr>
      <w:r w:rsidRPr="00E701A0">
        <w:rPr>
          <w:rStyle w:val="FootnoteReference"/>
          <w:rFonts w:ascii="Times New Roman" w:hAnsi="Times New Roman" w:cs="Times New Roman"/>
        </w:rPr>
        <w:footnoteRef/>
      </w:r>
      <w:r w:rsidRPr="00E701A0">
        <w:rPr>
          <w:rFonts w:ascii="Times New Roman" w:hAnsi="Times New Roman" w:cs="Times New Roman"/>
        </w:rPr>
        <w:t xml:space="preserve"> Respuesta Aclaratoria No.30.</w:t>
      </w:r>
    </w:p>
  </w:footnote>
  <w:footnote w:id="18">
    <w:p w:rsidR="00131F4B" w:rsidRPr="00E701A0" w:rsidRDefault="00131F4B" w:rsidP="00E701A0">
      <w:pPr>
        <w:pStyle w:val="FootnoteText"/>
        <w:tabs>
          <w:tab w:val="left" w:pos="720"/>
        </w:tabs>
        <w:jc w:val="both"/>
        <w:rPr>
          <w:rFonts w:ascii="Times New Roman" w:hAnsi="Times New Roman" w:cs="Times New Roman"/>
          <w:bCs/>
          <w:iCs/>
        </w:rPr>
      </w:pPr>
      <w:r w:rsidRPr="00E701A0">
        <w:rPr>
          <w:rStyle w:val="FootnoteReference"/>
          <w:rFonts w:ascii="Times New Roman" w:hAnsi="Times New Roman" w:cs="Times New Roman"/>
        </w:rPr>
        <w:footnoteRef/>
      </w:r>
      <w:r w:rsidRPr="00E701A0">
        <w:rPr>
          <w:rFonts w:ascii="Times New Roman" w:hAnsi="Times New Roman" w:cs="Times New Roman"/>
        </w:rPr>
        <w:t xml:space="preserve"> </w:t>
      </w:r>
      <w:r w:rsidRPr="00E701A0">
        <w:rPr>
          <w:rFonts w:ascii="Times New Roman" w:hAnsi="Times New Roman" w:cs="Times New Roman"/>
          <w:bCs/>
          <w:i/>
          <w:iCs/>
        </w:rPr>
        <w:t>Cfr.</w:t>
      </w:r>
      <w:r w:rsidRPr="00E701A0">
        <w:rPr>
          <w:rFonts w:ascii="Times New Roman" w:hAnsi="Times New Roman" w:cs="Times New Roman"/>
          <w:bCs/>
          <w:iCs/>
        </w:rPr>
        <w:t xml:space="preserve"> Corte IDH, </w:t>
      </w:r>
      <w:r w:rsidRPr="00E701A0">
        <w:rPr>
          <w:rFonts w:ascii="Times New Roman" w:hAnsi="Times New Roman" w:cs="Times New Roman"/>
          <w:bCs/>
        </w:rPr>
        <w:t xml:space="preserve">Caso Comunidad Indígena Sawhoyamaxa Vs. Paraguay. Fondo, Reparaciones y Costas. Sentencia de 29 de marzo de 2006. Serie C No. 146, </w:t>
      </w:r>
      <w:r w:rsidRPr="00E701A0">
        <w:rPr>
          <w:rFonts w:ascii="Times New Roman" w:hAnsi="Times New Roman" w:cs="Times New Roman"/>
          <w:bCs/>
          <w:iCs/>
        </w:rPr>
        <w:t xml:space="preserve">párr. 189; </w:t>
      </w:r>
      <w:r w:rsidRPr="00E701A0">
        <w:rPr>
          <w:rFonts w:ascii="Times New Roman" w:hAnsi="Times New Roman" w:cs="Times New Roman"/>
          <w:bCs/>
        </w:rPr>
        <w:t xml:space="preserve">Caso del Pueblo Saramaka. Vs. Suriname. Excepciones Preliminares, Fondo, Reparaciones y Costas. Sentencia de 28 de noviembre de 2007. Serie C No. 172, </w:t>
      </w:r>
      <w:r w:rsidRPr="00E701A0">
        <w:rPr>
          <w:rFonts w:ascii="Times New Roman" w:hAnsi="Times New Roman" w:cs="Times New Roman"/>
          <w:bCs/>
          <w:iCs/>
        </w:rPr>
        <w:t xml:space="preserve">párr. 167, y </w:t>
      </w:r>
      <w:r w:rsidR="008B4EE2">
        <w:rPr>
          <w:rFonts w:ascii="Times New Roman" w:hAnsi="Times New Roman" w:cs="Times New Roman"/>
          <w:bCs/>
          <w:iCs/>
        </w:rPr>
        <w:t>Caso Chitay Nech y otros Vs. Guatemala. Excepciones Preliminares, Fondo, Reparaciones y Costas. Sentencia de 25 de mayo de 2010. Serie C No. 212, párr. 101.</w:t>
      </w:r>
    </w:p>
  </w:footnote>
  <w:footnote w:id="19">
    <w:p w:rsidR="00131F4B" w:rsidRPr="00E701A0" w:rsidRDefault="00131F4B" w:rsidP="00E701A0">
      <w:pPr>
        <w:spacing w:after="0" w:line="240" w:lineRule="auto"/>
        <w:jc w:val="both"/>
        <w:rPr>
          <w:rFonts w:ascii="Times New Roman" w:hAnsi="Times New Roman" w:cs="Times New Roman"/>
          <w:sz w:val="20"/>
          <w:szCs w:val="20"/>
        </w:rPr>
      </w:pPr>
      <w:r w:rsidRPr="00E701A0">
        <w:rPr>
          <w:rStyle w:val="FootnoteReference"/>
          <w:rFonts w:ascii="Times New Roman" w:hAnsi="Times New Roman" w:cs="Times New Roman"/>
          <w:sz w:val="20"/>
          <w:szCs w:val="20"/>
        </w:rPr>
        <w:footnoteRef/>
      </w:r>
      <w:r w:rsidRPr="00E701A0">
        <w:rPr>
          <w:rFonts w:ascii="Times New Roman" w:hAnsi="Times New Roman" w:cs="Times New Roman"/>
          <w:sz w:val="20"/>
          <w:szCs w:val="20"/>
        </w:rPr>
        <w:t xml:space="preserve"> </w:t>
      </w:r>
      <w:r w:rsidRPr="00E701A0">
        <w:rPr>
          <w:rFonts w:ascii="Times New Roman" w:hAnsi="Times New Roman" w:cs="Times New Roman"/>
          <w:i/>
          <w:sz w:val="20"/>
          <w:szCs w:val="20"/>
        </w:rPr>
        <w:t>Cfr.</w:t>
      </w:r>
      <w:r w:rsidRPr="00E701A0">
        <w:rPr>
          <w:rFonts w:ascii="Times New Roman" w:hAnsi="Times New Roman" w:cs="Times New Roman"/>
          <w:sz w:val="20"/>
          <w:szCs w:val="20"/>
        </w:rPr>
        <w:t xml:space="preserve"> Corte IDH, Caso Ximenes Lopes Vs. Brasil, Sentencia de 4 de julio de 2006. Serie C No. 149, párr. 103; Caso Furlan y Familiares Vs. Argentina, Excepciones preliminares, Fondo, Reparaciones y Costas. Sentencia de 31 de agosto de 2012. Serie C No. 246, párr. 134, Caso Artavia Murillo y otros (Fertilización in vitro) Vs. Costa Rica. Excepciones preliminares, Fondo, Reparaciones y Costas. Sentencia de 28 de noviembre de 2012. Serie C No. 257, párr. 292 y </w:t>
      </w:r>
      <w:r w:rsidR="00286EFD" w:rsidRPr="00E701A0">
        <w:rPr>
          <w:rFonts w:ascii="Times New Roman" w:hAnsi="Times New Roman" w:cs="Times New Roman"/>
          <w:sz w:val="20"/>
          <w:szCs w:val="20"/>
        </w:rPr>
        <w:t xml:space="preserve">ONU, </w:t>
      </w:r>
      <w:r w:rsidRPr="00E701A0">
        <w:rPr>
          <w:rFonts w:ascii="Times New Roman" w:hAnsi="Times New Roman" w:cs="Times New Roman"/>
          <w:sz w:val="20"/>
          <w:szCs w:val="20"/>
        </w:rPr>
        <w:t>Normas Uniformes sobre la igualdad de oportunidades para las personas con discapacidad</w:t>
      </w:r>
      <w:r w:rsidR="00286EFD" w:rsidRPr="00E701A0">
        <w:rPr>
          <w:rFonts w:ascii="Times New Roman" w:hAnsi="Times New Roman" w:cs="Times New Roman"/>
          <w:sz w:val="20"/>
          <w:szCs w:val="20"/>
        </w:rPr>
        <w:t>, Art 5</w:t>
      </w:r>
      <w:r w:rsidRPr="00E701A0">
        <w:rPr>
          <w:rFonts w:ascii="Times New Roman" w:hAnsi="Times New Roman" w:cs="Times New Roman"/>
          <w:sz w:val="20"/>
          <w:szCs w:val="20"/>
        </w:rPr>
        <w:t>.</w:t>
      </w:r>
    </w:p>
  </w:footnote>
  <w:footnote w:id="20">
    <w:p w:rsidR="00131F4B" w:rsidRPr="00E701A0" w:rsidRDefault="00131F4B" w:rsidP="00E701A0">
      <w:pPr>
        <w:spacing w:after="0" w:line="240" w:lineRule="auto"/>
        <w:jc w:val="both"/>
        <w:rPr>
          <w:rFonts w:ascii="Times New Roman" w:hAnsi="Times New Roman" w:cs="Times New Roman"/>
          <w:sz w:val="20"/>
          <w:szCs w:val="20"/>
          <w:lang w:val="es-CO"/>
        </w:rPr>
      </w:pPr>
      <w:r w:rsidRPr="00E701A0">
        <w:rPr>
          <w:rStyle w:val="FootnoteReference"/>
          <w:rFonts w:ascii="Times New Roman" w:hAnsi="Times New Roman" w:cs="Times New Roman"/>
          <w:sz w:val="20"/>
          <w:szCs w:val="20"/>
        </w:rPr>
        <w:footnoteRef/>
      </w:r>
      <w:r w:rsidR="00286EFD" w:rsidRPr="00E701A0">
        <w:rPr>
          <w:rFonts w:ascii="Times New Roman" w:hAnsi="Times New Roman" w:cs="Times New Roman"/>
          <w:i/>
          <w:sz w:val="20"/>
          <w:szCs w:val="20"/>
        </w:rPr>
        <w:t xml:space="preserve"> </w:t>
      </w:r>
      <w:r w:rsidRPr="00E701A0">
        <w:rPr>
          <w:rFonts w:ascii="Times New Roman" w:hAnsi="Times New Roman" w:cs="Times New Roman"/>
          <w:i/>
          <w:sz w:val="20"/>
          <w:szCs w:val="20"/>
        </w:rPr>
        <w:t xml:space="preserve">Cfr. </w:t>
      </w:r>
      <w:r w:rsidRPr="00E701A0">
        <w:rPr>
          <w:rFonts w:ascii="Times New Roman" w:hAnsi="Times New Roman" w:cs="Times New Roman"/>
          <w:sz w:val="20"/>
          <w:szCs w:val="20"/>
        </w:rPr>
        <w:t>Corte IDH,</w:t>
      </w:r>
      <w:r w:rsidRPr="00E701A0">
        <w:rPr>
          <w:rFonts w:ascii="Times New Roman" w:hAnsi="Times New Roman" w:cs="Times New Roman"/>
          <w:i/>
          <w:sz w:val="20"/>
          <w:szCs w:val="20"/>
        </w:rPr>
        <w:t xml:space="preserve"> </w:t>
      </w:r>
      <w:r w:rsidRPr="00E701A0">
        <w:rPr>
          <w:rFonts w:ascii="Times New Roman" w:hAnsi="Times New Roman" w:cs="Times New Roman"/>
          <w:sz w:val="20"/>
          <w:szCs w:val="20"/>
        </w:rPr>
        <w:t xml:space="preserve">Caso Furlan y Familiares Vs. Argentina. Excepciones preliminares, Fondo, Reparaciones y Costas. Sentencia de 31 de agosto de 2012. Serie C No. 246, párr. 134, y </w:t>
      </w:r>
      <w:r w:rsidRPr="00E701A0">
        <w:rPr>
          <w:rFonts w:ascii="Times New Roman" w:hAnsi="Times New Roman" w:cs="Times New Roman"/>
          <w:noProof/>
          <w:sz w:val="20"/>
          <w:szCs w:val="20"/>
        </w:rPr>
        <w:t>Comité DESC, Observación General No. 5</w:t>
      </w:r>
      <w:r w:rsidRPr="00E701A0">
        <w:rPr>
          <w:rFonts w:ascii="Times New Roman" w:hAnsi="Times New Roman" w:cs="Times New Roman"/>
          <w:sz w:val="20"/>
          <w:szCs w:val="20"/>
        </w:rPr>
        <w:t xml:space="preserve">, párr. </w:t>
      </w:r>
      <w:r w:rsidRPr="00E701A0">
        <w:rPr>
          <w:rFonts w:ascii="Times New Roman" w:hAnsi="Times New Roman" w:cs="Times New Roman"/>
          <w:sz w:val="20"/>
          <w:szCs w:val="20"/>
          <w:lang w:val="es-CO"/>
        </w:rPr>
        <w:t>13</w:t>
      </w:r>
      <w:r w:rsidRPr="00E701A0">
        <w:rPr>
          <w:rFonts w:ascii="Times New Roman" w:hAnsi="Times New Roman" w:cs="Times New Roman"/>
          <w:noProof/>
          <w:sz w:val="20"/>
          <w:szCs w:val="20"/>
          <w:lang w:val="es-CO"/>
        </w:rPr>
        <w:t>.</w:t>
      </w:r>
    </w:p>
  </w:footnote>
  <w:footnote w:id="21">
    <w:p w:rsidR="00131F4B" w:rsidRPr="00E701A0" w:rsidRDefault="00131F4B" w:rsidP="00E701A0">
      <w:pPr>
        <w:pStyle w:val="FootnoteText"/>
        <w:jc w:val="both"/>
        <w:rPr>
          <w:rFonts w:ascii="Times New Roman" w:hAnsi="Times New Roman" w:cs="Times New Roman"/>
        </w:rPr>
      </w:pPr>
      <w:r w:rsidRPr="00E701A0">
        <w:rPr>
          <w:rStyle w:val="FootnoteReference"/>
          <w:rFonts w:ascii="Times New Roman" w:hAnsi="Times New Roman" w:cs="Times New Roman"/>
        </w:rPr>
        <w:footnoteRef/>
      </w:r>
      <w:r w:rsidRPr="00E701A0">
        <w:rPr>
          <w:rFonts w:ascii="Times New Roman" w:hAnsi="Times New Roman" w:cs="Times New Roman"/>
        </w:rPr>
        <w:t xml:space="preserve"> </w:t>
      </w:r>
      <w:r w:rsidRPr="00E701A0">
        <w:rPr>
          <w:rFonts w:ascii="Times New Roman" w:hAnsi="Times New Roman" w:cs="Times New Roman"/>
          <w:i/>
        </w:rPr>
        <w:t>Cfr.</w:t>
      </w:r>
      <w:r w:rsidRPr="00E701A0">
        <w:rPr>
          <w:rFonts w:ascii="Times New Roman" w:hAnsi="Times New Roman" w:cs="Times New Roman"/>
        </w:rPr>
        <w:t xml:space="preserve"> ONU, </w:t>
      </w:r>
      <w:r w:rsidRPr="00E701A0">
        <w:rPr>
          <w:rFonts w:ascii="Times New Roman" w:hAnsi="Times New Roman" w:cs="Times New Roman"/>
          <w:bCs/>
        </w:rPr>
        <w:t>Convención sobre los Derechos de las Personas con Discapacidad</w:t>
      </w:r>
      <w:r w:rsidR="00F463D9" w:rsidRPr="00E701A0">
        <w:rPr>
          <w:rFonts w:ascii="Times New Roman" w:hAnsi="Times New Roman" w:cs="Times New Roman"/>
          <w:bCs/>
        </w:rPr>
        <w:t>, Art. 12</w:t>
      </w:r>
      <w:r w:rsidRPr="00E701A0">
        <w:rPr>
          <w:rFonts w:ascii="Times New Roman" w:hAnsi="Times New Roman" w:cs="Times New Roman"/>
          <w:bCs/>
        </w:rPr>
        <w:t xml:space="preserve">; Corte IDH, </w:t>
      </w:r>
      <w:r w:rsidRPr="00E701A0">
        <w:rPr>
          <w:rFonts w:ascii="Times New Roman" w:hAnsi="Times New Roman" w:cs="Times New Roman"/>
        </w:rPr>
        <w:t>Caso Furlan y Familiares Vs. Argentina, Excepciones preliminares, Fondo, Reparaciones y Costas. Sentencia de 31 de agosto de 2012. Serie C No. 246, párr. 133.</w:t>
      </w:r>
    </w:p>
  </w:footnote>
  <w:footnote w:id="22">
    <w:p w:rsidR="00131F4B" w:rsidRPr="00E701A0" w:rsidRDefault="00131F4B" w:rsidP="00E701A0">
      <w:pPr>
        <w:pStyle w:val="FootnoteText"/>
        <w:jc w:val="both"/>
        <w:rPr>
          <w:rFonts w:ascii="Times New Roman" w:hAnsi="Times New Roman" w:cs="Times New Roman"/>
        </w:rPr>
      </w:pPr>
      <w:r w:rsidRPr="00E701A0">
        <w:rPr>
          <w:rStyle w:val="FootnoteReference"/>
          <w:rFonts w:ascii="Times New Roman" w:hAnsi="Times New Roman" w:cs="Times New Roman"/>
        </w:rPr>
        <w:footnoteRef/>
      </w:r>
      <w:r w:rsidRPr="00E701A0">
        <w:rPr>
          <w:rFonts w:ascii="Times New Roman" w:hAnsi="Times New Roman" w:cs="Times New Roman"/>
          <w:i/>
        </w:rPr>
        <w:t xml:space="preserve"> </w:t>
      </w:r>
      <w:r w:rsidRPr="00E701A0">
        <w:rPr>
          <w:rFonts w:ascii="Times New Roman" w:hAnsi="Times New Roman" w:cs="Times New Roman"/>
        </w:rPr>
        <w:t>M. Rodríguez–Piñero Bravo-Ferrer, “Novedades sobre la discriminación por discapacidad en la Unión Europea”, Revista Relaciones Laborales. Revista crítica de teoría y práctica, año XXIV, volumen 21, Madrid, 2008, pág. 8.</w:t>
      </w:r>
    </w:p>
  </w:footnote>
  <w:footnote w:id="23">
    <w:p w:rsidR="00131F4B" w:rsidRPr="00E701A0" w:rsidRDefault="00131F4B" w:rsidP="00E701A0">
      <w:pPr>
        <w:pStyle w:val="FootnoteText"/>
        <w:jc w:val="both"/>
        <w:rPr>
          <w:rFonts w:ascii="Times New Roman" w:hAnsi="Times New Roman" w:cs="Times New Roman"/>
        </w:rPr>
      </w:pPr>
      <w:r w:rsidRPr="00E701A0">
        <w:rPr>
          <w:rStyle w:val="FootnoteReference"/>
          <w:rFonts w:ascii="Times New Roman" w:hAnsi="Times New Roman" w:cs="Times New Roman"/>
        </w:rPr>
        <w:footnoteRef/>
      </w:r>
      <w:r w:rsidRPr="00E701A0">
        <w:rPr>
          <w:rFonts w:ascii="Times New Roman" w:hAnsi="Times New Roman" w:cs="Times New Roman"/>
        </w:rPr>
        <w:t xml:space="preserve"> </w:t>
      </w:r>
      <w:r w:rsidRPr="00E701A0">
        <w:rPr>
          <w:rFonts w:ascii="Times New Roman" w:hAnsi="Times New Roman" w:cs="Times New Roman"/>
          <w:i/>
        </w:rPr>
        <w:t>Cfr.</w:t>
      </w:r>
      <w:r w:rsidRPr="00E701A0">
        <w:rPr>
          <w:rFonts w:ascii="Times New Roman" w:hAnsi="Times New Roman" w:cs="Times New Roman"/>
        </w:rPr>
        <w:t xml:space="preserve"> B. Quintanilla Navarro, “Discapacidad y discriminación: de la igualdad de trato a la accesibilidad universal, Revista Relaciones Laborales”, en Revista crítica de teoría y práctica, año XXII, No.11, Madrid, 2006, pág. 18.</w:t>
      </w:r>
    </w:p>
  </w:footnote>
  <w:footnote w:id="24">
    <w:p w:rsidR="00131F4B" w:rsidRPr="00E701A0" w:rsidRDefault="00131F4B" w:rsidP="00E701A0">
      <w:pPr>
        <w:pStyle w:val="FootnoteText"/>
        <w:jc w:val="both"/>
        <w:rPr>
          <w:rFonts w:ascii="Times New Roman" w:hAnsi="Times New Roman" w:cs="Times New Roman"/>
        </w:rPr>
      </w:pPr>
      <w:r w:rsidRPr="00E701A0">
        <w:rPr>
          <w:rStyle w:val="FootnoteReference"/>
          <w:rFonts w:ascii="Times New Roman" w:hAnsi="Times New Roman" w:cs="Times New Roman"/>
        </w:rPr>
        <w:footnoteRef/>
      </w:r>
      <w:r w:rsidRPr="00E701A0">
        <w:rPr>
          <w:rFonts w:ascii="Times New Roman" w:hAnsi="Times New Roman" w:cs="Times New Roman"/>
        </w:rPr>
        <w:t xml:space="preserve"> </w:t>
      </w:r>
      <w:r w:rsidRPr="00E701A0">
        <w:rPr>
          <w:rFonts w:ascii="Times New Roman" w:hAnsi="Times New Roman" w:cs="Times New Roman"/>
          <w:i/>
        </w:rPr>
        <w:t>Cfr.</w:t>
      </w:r>
      <w:r w:rsidRPr="00E701A0">
        <w:rPr>
          <w:rFonts w:ascii="Times New Roman" w:hAnsi="Times New Roman" w:cs="Times New Roman"/>
        </w:rPr>
        <w:t xml:space="preserve"> TEDH, Caso Glor v. v. Switzerland (N° 13444/04). 30 de abril de 2009.</w:t>
      </w:r>
    </w:p>
  </w:footnote>
  <w:footnote w:id="25">
    <w:p w:rsidR="00131F4B" w:rsidRPr="00E701A0" w:rsidRDefault="00131F4B" w:rsidP="00E701A0">
      <w:pPr>
        <w:pStyle w:val="FootnoteText"/>
        <w:jc w:val="both"/>
        <w:rPr>
          <w:rFonts w:ascii="Times New Roman" w:hAnsi="Times New Roman" w:cs="Times New Roman"/>
        </w:rPr>
      </w:pPr>
      <w:r w:rsidRPr="00E701A0">
        <w:rPr>
          <w:rStyle w:val="FootnoteReference"/>
          <w:rFonts w:ascii="Times New Roman" w:hAnsi="Times New Roman" w:cs="Times New Roman"/>
        </w:rPr>
        <w:footnoteRef/>
      </w:r>
      <w:r w:rsidR="00F354C8" w:rsidRPr="00E701A0">
        <w:rPr>
          <w:rFonts w:ascii="Times New Roman" w:hAnsi="Times New Roman" w:cs="Times New Roman"/>
        </w:rPr>
        <w:t xml:space="preserve"> D .T. </w:t>
      </w:r>
      <w:r w:rsidRPr="00E701A0">
        <w:rPr>
          <w:rFonts w:ascii="Times New Roman" w:hAnsi="Times New Roman" w:cs="Times New Roman"/>
        </w:rPr>
        <w:t>Váhale Carrillo, Protección a las personas en si</w:t>
      </w:r>
      <w:r w:rsidR="00F354C8" w:rsidRPr="00E701A0">
        <w:rPr>
          <w:rFonts w:ascii="Times New Roman" w:hAnsi="Times New Roman" w:cs="Times New Roman"/>
        </w:rPr>
        <w:t xml:space="preserve">tuación de dependencia, </w:t>
      </w:r>
      <w:r w:rsidRPr="00E701A0">
        <w:rPr>
          <w:rFonts w:ascii="Times New Roman" w:hAnsi="Times New Roman" w:cs="Times New Roman"/>
        </w:rPr>
        <w:t>Alcalá, 2012, págs. 147 y 148.</w:t>
      </w:r>
    </w:p>
  </w:footnote>
  <w:footnote w:id="26">
    <w:p w:rsidR="00131F4B" w:rsidRPr="00E701A0" w:rsidRDefault="00131F4B" w:rsidP="00E701A0">
      <w:pPr>
        <w:pStyle w:val="FootnoteText"/>
        <w:jc w:val="both"/>
        <w:rPr>
          <w:rFonts w:ascii="Times New Roman" w:hAnsi="Times New Roman" w:cs="Times New Roman"/>
        </w:rPr>
      </w:pPr>
      <w:r w:rsidRPr="00E701A0">
        <w:rPr>
          <w:rStyle w:val="FootnoteReference"/>
          <w:rFonts w:ascii="Times New Roman" w:hAnsi="Times New Roman" w:cs="Times New Roman"/>
        </w:rPr>
        <w:footnoteRef/>
      </w:r>
      <w:r w:rsidRPr="00E701A0">
        <w:rPr>
          <w:rFonts w:ascii="Times New Roman" w:hAnsi="Times New Roman" w:cs="Times New Roman"/>
        </w:rPr>
        <w:t xml:space="preserve"> Hecho del Caso No. 9</w:t>
      </w:r>
      <w:r w:rsidR="003E57FF">
        <w:rPr>
          <w:rFonts w:ascii="Times New Roman" w:hAnsi="Times New Roman" w:cs="Times New Roman"/>
        </w:rPr>
        <w:t>.</w:t>
      </w:r>
    </w:p>
  </w:footnote>
  <w:footnote w:id="27">
    <w:p w:rsidR="00131F4B" w:rsidRPr="00E701A0" w:rsidRDefault="00131F4B" w:rsidP="00E701A0">
      <w:pPr>
        <w:spacing w:after="0" w:line="240" w:lineRule="auto"/>
        <w:jc w:val="both"/>
        <w:rPr>
          <w:rFonts w:ascii="Times New Roman" w:hAnsi="Times New Roman" w:cs="Times New Roman"/>
          <w:sz w:val="20"/>
          <w:szCs w:val="20"/>
        </w:rPr>
      </w:pPr>
      <w:r w:rsidRPr="00E701A0">
        <w:rPr>
          <w:rStyle w:val="FootnoteReference"/>
          <w:rFonts w:ascii="Times New Roman" w:hAnsi="Times New Roman" w:cs="Times New Roman"/>
          <w:sz w:val="20"/>
          <w:szCs w:val="20"/>
        </w:rPr>
        <w:footnoteRef/>
      </w:r>
      <w:r w:rsidRPr="00E701A0">
        <w:rPr>
          <w:rFonts w:ascii="Times New Roman" w:hAnsi="Times New Roman" w:cs="Times New Roman"/>
          <w:sz w:val="20"/>
          <w:szCs w:val="20"/>
        </w:rPr>
        <w:t xml:space="preserve"> </w:t>
      </w:r>
      <w:r w:rsidRPr="00E701A0">
        <w:rPr>
          <w:rFonts w:ascii="Times New Roman" w:hAnsi="Times New Roman" w:cs="Times New Roman"/>
          <w:i/>
          <w:sz w:val="20"/>
          <w:szCs w:val="20"/>
        </w:rPr>
        <w:t>Cfr.</w:t>
      </w:r>
      <w:r w:rsidRPr="00E701A0">
        <w:rPr>
          <w:rFonts w:ascii="Times New Roman" w:hAnsi="Times New Roman" w:cs="Times New Roman"/>
          <w:sz w:val="20"/>
          <w:szCs w:val="20"/>
        </w:rPr>
        <w:t xml:space="preserve"> J.V. García Alonso, “Las nuevas fronteras de</w:t>
      </w:r>
      <w:r w:rsidR="00783767" w:rsidRPr="00E701A0">
        <w:rPr>
          <w:rFonts w:ascii="Times New Roman" w:hAnsi="Times New Roman" w:cs="Times New Roman"/>
          <w:sz w:val="20"/>
          <w:szCs w:val="20"/>
        </w:rPr>
        <w:t xml:space="preserve"> </w:t>
      </w:r>
      <w:r w:rsidRPr="00E701A0">
        <w:rPr>
          <w:rFonts w:ascii="Times New Roman" w:hAnsi="Times New Roman" w:cs="Times New Roman"/>
          <w:sz w:val="20"/>
          <w:szCs w:val="20"/>
        </w:rPr>
        <w:t>la discapacidad”, en Tratado sobre discapacidad, Aranzadi, Pamplona, 2007, pág. 1522.</w:t>
      </w:r>
    </w:p>
  </w:footnote>
  <w:footnote w:id="28">
    <w:p w:rsidR="00131F4B" w:rsidRPr="00E701A0" w:rsidRDefault="00131F4B" w:rsidP="00E701A0">
      <w:pPr>
        <w:spacing w:after="0" w:line="240" w:lineRule="auto"/>
        <w:jc w:val="both"/>
        <w:rPr>
          <w:rFonts w:ascii="Times New Roman" w:eastAsia="Times New Roman" w:hAnsi="Times New Roman" w:cs="Times New Roman"/>
          <w:color w:val="262626"/>
          <w:sz w:val="20"/>
          <w:szCs w:val="20"/>
          <w:lang w:eastAsia="es-MX"/>
        </w:rPr>
      </w:pPr>
      <w:r w:rsidRPr="00E701A0">
        <w:rPr>
          <w:rStyle w:val="FootnoteReference"/>
          <w:rFonts w:ascii="Times New Roman" w:hAnsi="Times New Roman" w:cs="Times New Roman"/>
          <w:sz w:val="20"/>
          <w:szCs w:val="20"/>
        </w:rPr>
        <w:footnoteRef/>
      </w:r>
      <w:r w:rsidRPr="00E701A0">
        <w:rPr>
          <w:rFonts w:ascii="Times New Roman" w:hAnsi="Times New Roman" w:cs="Times New Roman"/>
          <w:sz w:val="20"/>
          <w:szCs w:val="20"/>
        </w:rPr>
        <w:t xml:space="preserve"> </w:t>
      </w:r>
      <w:r w:rsidRPr="00E701A0">
        <w:rPr>
          <w:rFonts w:ascii="Times New Roman" w:hAnsi="Times New Roman" w:cs="Times New Roman"/>
          <w:i/>
          <w:sz w:val="20"/>
          <w:szCs w:val="20"/>
        </w:rPr>
        <w:t>Cfr</w:t>
      </w:r>
      <w:r w:rsidRPr="00E701A0">
        <w:rPr>
          <w:rFonts w:ascii="Times New Roman" w:hAnsi="Times New Roman" w:cs="Times New Roman"/>
          <w:sz w:val="20"/>
          <w:szCs w:val="20"/>
        </w:rPr>
        <w:t xml:space="preserve">. Corte IDH, </w:t>
      </w:r>
      <w:r w:rsidRPr="00E701A0">
        <w:rPr>
          <w:rStyle w:val="apple-style-span"/>
          <w:rFonts w:ascii="Times New Roman" w:hAnsi="Times New Roman" w:cs="Times New Roman"/>
          <w:bCs/>
          <w:color w:val="000000"/>
          <w:sz w:val="20"/>
          <w:szCs w:val="20"/>
        </w:rPr>
        <w:t>Caso Bámaca Velásquez Vs. Guatemala.</w:t>
      </w:r>
      <w:r w:rsidRPr="00E701A0">
        <w:rPr>
          <w:rStyle w:val="apple-converted-space"/>
          <w:rFonts w:ascii="Times New Roman" w:eastAsiaTheme="majorEastAsia" w:hAnsi="Times New Roman" w:cs="Times New Roman"/>
          <w:bCs/>
          <w:color w:val="000000"/>
          <w:sz w:val="20"/>
          <w:szCs w:val="20"/>
        </w:rPr>
        <w:t xml:space="preserve"> </w:t>
      </w:r>
      <w:r w:rsidRPr="00E701A0">
        <w:rPr>
          <w:rStyle w:val="apple-style-span"/>
          <w:rFonts w:ascii="Times New Roman" w:hAnsi="Times New Roman" w:cs="Times New Roman"/>
          <w:color w:val="000000"/>
          <w:sz w:val="20"/>
          <w:szCs w:val="20"/>
        </w:rPr>
        <w:t xml:space="preserve">Fondo. Sentencia de 25 de noviembre de 2000. Serie C No. 70, párr. </w:t>
      </w:r>
      <w:r w:rsidRPr="00E701A0">
        <w:rPr>
          <w:rFonts w:ascii="Times New Roman" w:hAnsi="Times New Roman" w:cs="Times New Roman"/>
          <w:sz w:val="20"/>
          <w:szCs w:val="20"/>
          <w:lang w:bidi="en-US"/>
        </w:rPr>
        <w:t>179</w:t>
      </w:r>
      <w:r w:rsidRPr="00E701A0">
        <w:rPr>
          <w:rFonts w:ascii="Times New Roman" w:hAnsi="Times New Roman" w:cs="Times New Roman"/>
          <w:sz w:val="20"/>
          <w:szCs w:val="20"/>
        </w:rPr>
        <w:t xml:space="preserve">; </w:t>
      </w:r>
      <w:r w:rsidRPr="00E701A0">
        <w:rPr>
          <w:rStyle w:val="apple-style-span"/>
          <w:rFonts w:ascii="Times New Roman" w:hAnsi="Times New Roman" w:cs="Times New Roman"/>
          <w:bCs/>
          <w:color w:val="000000"/>
          <w:sz w:val="20"/>
          <w:szCs w:val="20"/>
        </w:rPr>
        <w:t>Caso Anzualdo Castro Vs. Perú.</w:t>
      </w:r>
      <w:r w:rsidRPr="00E701A0">
        <w:rPr>
          <w:rFonts w:ascii="Times New Roman" w:hAnsi="Times New Roman" w:cs="Times New Roman"/>
          <w:sz w:val="20"/>
          <w:szCs w:val="20"/>
        </w:rPr>
        <w:t xml:space="preserve"> Excepción Preliminar, Fondo, Reparaciones y Costas. Sentencia de 22 de septiembre de 2009. Serie C No. 202,</w:t>
      </w:r>
      <w:r w:rsidR="005424E7">
        <w:rPr>
          <w:rStyle w:val="apple-style-span"/>
          <w:rFonts w:ascii="Times New Roman" w:hAnsi="Times New Roman" w:cs="Times New Roman"/>
          <w:bCs/>
          <w:color w:val="000000"/>
          <w:sz w:val="20"/>
          <w:szCs w:val="20"/>
        </w:rPr>
        <w:t xml:space="preserve"> </w:t>
      </w:r>
      <w:r w:rsidRPr="00E701A0">
        <w:rPr>
          <w:rStyle w:val="apple-style-span"/>
          <w:rFonts w:ascii="Times New Roman" w:hAnsi="Times New Roman" w:cs="Times New Roman"/>
          <w:color w:val="000000"/>
          <w:sz w:val="20"/>
          <w:szCs w:val="20"/>
        </w:rPr>
        <w:t xml:space="preserve">párr. 88 </w:t>
      </w:r>
      <w:r w:rsidRPr="00E701A0">
        <w:rPr>
          <w:rFonts w:ascii="Times New Roman" w:hAnsi="Times New Roman" w:cs="Times New Roman"/>
          <w:bCs/>
          <w:sz w:val="20"/>
          <w:szCs w:val="20"/>
        </w:rPr>
        <w:t xml:space="preserve">y </w:t>
      </w:r>
      <w:r w:rsidRPr="00E701A0">
        <w:rPr>
          <w:rFonts w:ascii="Times New Roman" w:hAnsi="Times New Roman" w:cs="Times New Roman"/>
          <w:sz w:val="20"/>
          <w:szCs w:val="20"/>
        </w:rPr>
        <w:t xml:space="preserve">Caso Comunidad Indígena Xákmok Kásek Vs. Paraguay. Fondo, Reparaciones y Costas. Sentencia de 24 de agosto de 2010. Serie C No. 214, </w:t>
      </w:r>
      <w:r w:rsidRPr="00E701A0">
        <w:rPr>
          <w:rFonts w:ascii="Times New Roman" w:hAnsi="Times New Roman" w:cs="Times New Roman"/>
          <w:bCs/>
          <w:sz w:val="20"/>
          <w:szCs w:val="20"/>
        </w:rPr>
        <w:t xml:space="preserve">párr. 249. </w:t>
      </w:r>
    </w:p>
  </w:footnote>
  <w:footnote w:id="29">
    <w:p w:rsidR="00131F4B" w:rsidRPr="00E701A0" w:rsidRDefault="00131F4B" w:rsidP="00E701A0">
      <w:pPr>
        <w:pStyle w:val="FootnoteText"/>
        <w:jc w:val="both"/>
        <w:rPr>
          <w:rFonts w:ascii="Times New Roman" w:hAnsi="Times New Roman" w:cs="Times New Roman"/>
        </w:rPr>
      </w:pPr>
      <w:r w:rsidRPr="00E701A0">
        <w:rPr>
          <w:rStyle w:val="FootnoteReference"/>
          <w:rFonts w:ascii="Times New Roman" w:hAnsi="Times New Roman" w:cs="Times New Roman"/>
        </w:rPr>
        <w:footnoteRef/>
      </w:r>
      <w:r w:rsidRPr="00E701A0">
        <w:rPr>
          <w:rFonts w:ascii="Times New Roman" w:hAnsi="Times New Roman" w:cs="Times New Roman"/>
        </w:rPr>
        <w:t xml:space="preserve"> </w:t>
      </w:r>
      <w:r w:rsidRPr="00E701A0">
        <w:rPr>
          <w:rFonts w:ascii="Times New Roman" w:hAnsi="Times New Roman" w:cs="Times New Roman"/>
          <w:i/>
        </w:rPr>
        <w:t xml:space="preserve">Cfr. </w:t>
      </w:r>
      <w:r w:rsidRPr="00E701A0">
        <w:rPr>
          <w:rFonts w:ascii="Times New Roman" w:hAnsi="Times New Roman" w:cs="Times New Roman"/>
        </w:rPr>
        <w:t xml:space="preserve">Corte IDH, Opinión Consultiva OC-4/84. </w:t>
      </w:r>
      <w:r w:rsidRPr="00E701A0">
        <w:rPr>
          <w:rFonts w:ascii="Times New Roman" w:hAnsi="Times New Roman" w:cs="Times New Roman"/>
          <w:noProof/>
        </w:rPr>
        <w:t xml:space="preserve">Propuesta de modificación a la Constitución Política de Costa Rica relacionada con la naturalización. 19 de enero de 1984. Serie A No. 4, párr. 54 y </w:t>
      </w:r>
      <w:r w:rsidRPr="00E701A0">
        <w:rPr>
          <w:rFonts w:ascii="Times New Roman" w:hAnsi="Times New Roman" w:cs="Times New Roman"/>
        </w:rPr>
        <w:t>Opinión Consultiva OC-18/03. Condición jurídica y derechos de los Migrantes Indocumentados. 17 de septiembre de 2003. Serie A No. 18. párr. 83.</w:t>
      </w:r>
    </w:p>
  </w:footnote>
  <w:footnote w:id="30">
    <w:p w:rsidR="00131F4B" w:rsidRPr="00E701A0" w:rsidRDefault="00131F4B" w:rsidP="00E701A0">
      <w:pPr>
        <w:pStyle w:val="FootnoteText"/>
        <w:jc w:val="both"/>
        <w:rPr>
          <w:rFonts w:ascii="Times New Roman" w:hAnsi="Times New Roman" w:cs="Times New Roman"/>
        </w:rPr>
      </w:pPr>
      <w:r w:rsidRPr="00E701A0">
        <w:rPr>
          <w:rStyle w:val="FootnoteReference"/>
          <w:rFonts w:ascii="Times New Roman" w:hAnsi="Times New Roman" w:cs="Times New Roman"/>
        </w:rPr>
        <w:footnoteRef/>
      </w:r>
      <w:r w:rsidRPr="00E701A0">
        <w:rPr>
          <w:rFonts w:ascii="Times New Roman" w:hAnsi="Times New Roman" w:cs="Times New Roman"/>
        </w:rPr>
        <w:t xml:space="preserve"> Corte IDH, Caso Kimel vs. Argentina. Fondo, Reparaciones y Costas. Sentencia de 2 de mayo de 2008, Serie C No. 177. Voto concurrente del Juez Sergio García Ramírez, párr. 10.</w:t>
      </w:r>
    </w:p>
  </w:footnote>
  <w:footnote w:id="31">
    <w:p w:rsidR="00131F4B" w:rsidRPr="00E701A0" w:rsidRDefault="00131F4B" w:rsidP="00E701A0">
      <w:pPr>
        <w:pStyle w:val="FootnoteText"/>
        <w:jc w:val="both"/>
        <w:rPr>
          <w:rFonts w:ascii="Times New Roman" w:hAnsi="Times New Roman" w:cs="Times New Roman"/>
        </w:rPr>
      </w:pPr>
      <w:r w:rsidRPr="00E701A0">
        <w:rPr>
          <w:rStyle w:val="FootnoteReference"/>
          <w:rFonts w:ascii="Times New Roman" w:hAnsi="Times New Roman" w:cs="Times New Roman"/>
        </w:rPr>
        <w:footnoteRef/>
      </w:r>
      <w:r w:rsidRPr="00E701A0">
        <w:rPr>
          <w:rFonts w:ascii="Times New Roman" w:hAnsi="Times New Roman" w:cs="Times New Roman"/>
        </w:rPr>
        <w:t xml:space="preserve"> </w:t>
      </w:r>
      <w:r w:rsidRPr="00E701A0">
        <w:rPr>
          <w:rFonts w:ascii="Times New Roman" w:hAnsi="Times New Roman" w:cs="Times New Roman"/>
          <w:i/>
        </w:rPr>
        <w:t xml:space="preserve">Cfr. </w:t>
      </w:r>
      <w:r w:rsidRPr="00E701A0">
        <w:rPr>
          <w:rFonts w:ascii="Times New Roman" w:hAnsi="Times New Roman" w:cs="Times New Roman"/>
        </w:rPr>
        <w:t>ONU, Comité de Derechos Humanos, Observación General No. 18, No discriminación, 10 de noviembre de 989, CCPR/C/37.</w:t>
      </w:r>
    </w:p>
  </w:footnote>
  <w:footnote w:id="32">
    <w:p w:rsidR="00131F4B" w:rsidRPr="00E701A0" w:rsidRDefault="00131F4B" w:rsidP="00E701A0">
      <w:pPr>
        <w:pStyle w:val="FootnoteText"/>
        <w:jc w:val="both"/>
        <w:rPr>
          <w:rFonts w:ascii="Times New Roman" w:hAnsi="Times New Roman" w:cs="Times New Roman"/>
        </w:rPr>
      </w:pPr>
      <w:r w:rsidRPr="00E701A0">
        <w:rPr>
          <w:rStyle w:val="FootnoteReference"/>
          <w:rFonts w:ascii="Times New Roman" w:hAnsi="Times New Roman" w:cs="Times New Roman"/>
        </w:rPr>
        <w:footnoteRef/>
      </w:r>
      <w:r w:rsidRPr="00E701A0">
        <w:rPr>
          <w:rFonts w:ascii="Times New Roman" w:hAnsi="Times New Roman" w:cs="Times New Roman"/>
        </w:rPr>
        <w:t xml:space="preserve"> </w:t>
      </w:r>
      <w:r w:rsidRPr="00E701A0">
        <w:rPr>
          <w:rFonts w:ascii="Times New Roman" w:hAnsi="Times New Roman" w:cs="Times New Roman"/>
          <w:i/>
        </w:rPr>
        <w:t xml:space="preserve">Cfr. </w:t>
      </w:r>
      <w:r w:rsidRPr="00E701A0">
        <w:rPr>
          <w:rFonts w:ascii="Times New Roman" w:hAnsi="Times New Roman" w:cs="Times New Roman"/>
        </w:rPr>
        <w:t>Corte IDH, Caso Castañeda Gutman Vs. Estados Unidos Mexicanos. Excepciones Preliminares, Fondo, Reparaciones y Costas. Sentencia de 6 de Agosto de 2008. Serie C No. 184. párr. 211; Opinión Consultiva OC-18/03. Condición jurídica y derechos de los Migrantes Indocumentados. 17 de septiembre de 2003. Serie A No. 18. párr.84; Cfr. TEDH, Caso de Willis Vs. El Reino Unido. Sentencia de 11 de junio de 2002, párr. 39; Caso de Wessels-Bergervoet Vs.</w:t>
      </w:r>
      <w:r w:rsidRPr="00E701A0">
        <w:rPr>
          <w:rFonts w:ascii="Times New Roman" w:hAnsi="Times New Roman" w:cs="Times New Roman"/>
          <w:color w:val="FF0000"/>
        </w:rPr>
        <w:t xml:space="preserve"> </w:t>
      </w:r>
      <w:r w:rsidRPr="00E701A0">
        <w:rPr>
          <w:rFonts w:ascii="Times New Roman" w:hAnsi="Times New Roman" w:cs="Times New Roman"/>
        </w:rPr>
        <w:t>Países Bajos, Sentencia de 4 de junio de 2002, párr. 46; Caso de Petrovic Vs. Austria. Sentencia de 27 de marzo de 1998, Reporte 1998-II, párr. 30; Caso "Relativo a determinados aspectos de las leyes sobre el uso de los idiomas en la educación de Bélgica” Vs. Bélgica. Sentencia de 23 de Julio de 1968, Serie A 1968, párr. 10.</w:t>
      </w:r>
    </w:p>
  </w:footnote>
  <w:footnote w:id="33">
    <w:p w:rsidR="00131F4B" w:rsidRPr="00E701A0" w:rsidRDefault="00131F4B" w:rsidP="00E701A0">
      <w:pPr>
        <w:pStyle w:val="FootnoteText"/>
        <w:jc w:val="both"/>
        <w:rPr>
          <w:rFonts w:ascii="Times New Roman" w:hAnsi="Times New Roman" w:cs="Times New Roman"/>
        </w:rPr>
      </w:pPr>
      <w:r w:rsidRPr="00E701A0">
        <w:rPr>
          <w:rStyle w:val="FootnoteReference"/>
          <w:rFonts w:ascii="Times New Roman" w:hAnsi="Times New Roman" w:cs="Times New Roman"/>
        </w:rPr>
        <w:footnoteRef/>
      </w:r>
      <w:r w:rsidR="00C81B13" w:rsidRPr="00E701A0">
        <w:rPr>
          <w:rFonts w:ascii="Times New Roman" w:hAnsi="Times New Roman" w:cs="Times New Roman"/>
        </w:rPr>
        <w:t xml:space="preserve"> </w:t>
      </w:r>
      <w:r w:rsidRPr="00E701A0">
        <w:rPr>
          <w:rFonts w:ascii="Times New Roman" w:hAnsi="Times New Roman" w:cs="Times New Roman"/>
        </w:rPr>
        <w:t>ONU, Comité de Derechos Humanos, Toonen Vs. Australia, Comunicación No. 488/1992; Corte IDH, Caso del Tribunal Constitucional vs. Perú, Fondo, Reparaciones y Costas. Sentencia del 31 de enero de 2001. Serie C. No. 71 y ONU, Comité de Derechos Humanos, Observación General No. 18, No discriminación, 10 de noviembre de 989, CCPR/C/37.</w:t>
      </w:r>
    </w:p>
  </w:footnote>
  <w:footnote w:id="34">
    <w:p w:rsidR="00131F4B" w:rsidRPr="00E701A0" w:rsidRDefault="00131F4B" w:rsidP="00E701A0">
      <w:pPr>
        <w:pStyle w:val="FootnoteText"/>
        <w:jc w:val="both"/>
        <w:rPr>
          <w:rFonts w:ascii="Times New Roman" w:hAnsi="Times New Roman" w:cs="Times New Roman"/>
        </w:rPr>
      </w:pPr>
      <w:r w:rsidRPr="00E701A0">
        <w:rPr>
          <w:rStyle w:val="FootnoteReference"/>
          <w:rFonts w:ascii="Times New Roman" w:hAnsi="Times New Roman" w:cs="Times New Roman"/>
        </w:rPr>
        <w:footnoteRef/>
      </w:r>
      <w:r w:rsidRPr="00E701A0">
        <w:rPr>
          <w:rFonts w:ascii="Times New Roman" w:hAnsi="Times New Roman" w:cs="Times New Roman"/>
        </w:rPr>
        <w:t xml:space="preserve"> Corte IDH, Caso Escher y otros Vs. Brasil. Excepciones Preliminares, Fondo, Reparaciones y Costas. Sentencia de 6 de julio de 2009. Serie C No. 199. párr. 116.</w:t>
      </w:r>
    </w:p>
  </w:footnote>
  <w:footnote w:id="35">
    <w:p w:rsidR="00131F4B" w:rsidRPr="00E701A0" w:rsidRDefault="00131F4B" w:rsidP="00E701A0">
      <w:pPr>
        <w:pStyle w:val="FootnoteText"/>
        <w:jc w:val="both"/>
        <w:rPr>
          <w:rFonts w:ascii="Times New Roman" w:hAnsi="Times New Roman" w:cs="Times New Roman"/>
        </w:rPr>
      </w:pPr>
      <w:r w:rsidRPr="00E701A0">
        <w:rPr>
          <w:rStyle w:val="FootnoteReference"/>
          <w:rFonts w:ascii="Times New Roman" w:hAnsi="Times New Roman" w:cs="Times New Roman"/>
        </w:rPr>
        <w:footnoteRef/>
      </w:r>
      <w:r w:rsidRPr="00E701A0">
        <w:rPr>
          <w:rFonts w:ascii="Times New Roman" w:hAnsi="Times New Roman" w:cs="Times New Roman"/>
        </w:rPr>
        <w:t xml:space="preserve"> Corte IDH, Caso Kimel Vs. Argentina. Fondo, Reparaciones y costas. Sentencia de 2 de mayo de 2008. Serie C No. 177, párr. 24.</w:t>
      </w:r>
    </w:p>
  </w:footnote>
  <w:footnote w:id="36">
    <w:p w:rsidR="00131F4B" w:rsidRPr="00E701A0" w:rsidRDefault="00131F4B" w:rsidP="00E701A0">
      <w:pPr>
        <w:pStyle w:val="FootnoteText"/>
        <w:jc w:val="both"/>
        <w:rPr>
          <w:rFonts w:ascii="Times New Roman" w:hAnsi="Times New Roman" w:cs="Times New Roman"/>
        </w:rPr>
      </w:pPr>
      <w:r w:rsidRPr="00E701A0">
        <w:rPr>
          <w:rStyle w:val="FootnoteReference"/>
          <w:rFonts w:ascii="Times New Roman" w:hAnsi="Times New Roman" w:cs="Times New Roman"/>
        </w:rPr>
        <w:footnoteRef/>
      </w:r>
      <w:r w:rsidRPr="00E701A0">
        <w:rPr>
          <w:rFonts w:ascii="Times New Roman" w:hAnsi="Times New Roman" w:cs="Times New Roman"/>
        </w:rPr>
        <w:t xml:space="preserve"> Corte IDH, Caso Chaparro Alvarez y Lapo Iñiguez Vs. Ecuador. Excepciones Preliminares, Fondo, Reparaciones y Costas. Sentencia de 25 de noviembre de 2007. Serie C No. 170, párr. 93.</w:t>
      </w:r>
    </w:p>
  </w:footnote>
  <w:footnote w:id="37">
    <w:p w:rsidR="00131F4B" w:rsidRPr="00E701A0" w:rsidRDefault="00131F4B" w:rsidP="00E701A0">
      <w:pPr>
        <w:pStyle w:val="FootnoteText"/>
        <w:jc w:val="both"/>
        <w:rPr>
          <w:rFonts w:ascii="Times New Roman" w:hAnsi="Times New Roman" w:cs="Times New Roman"/>
        </w:rPr>
      </w:pPr>
      <w:r w:rsidRPr="00E701A0">
        <w:rPr>
          <w:rStyle w:val="FootnoteReference"/>
          <w:rFonts w:ascii="Times New Roman" w:hAnsi="Times New Roman" w:cs="Times New Roman"/>
        </w:rPr>
        <w:footnoteRef/>
      </w:r>
      <w:r w:rsidRPr="00E701A0">
        <w:rPr>
          <w:rFonts w:ascii="Times New Roman" w:hAnsi="Times New Roman" w:cs="Times New Roman"/>
        </w:rPr>
        <w:t xml:space="preserve"> Corte IDH, Caso Palamara Iribarne Vs. Chile. Fondo, Reparaciones y Costas. Sentencia de 22 de noviembre de 2005. Serie C No. 135, párr. 197 y Caso García Asto y Ramírez Rojas Vs. Perú. Excepción Preliminar, Fondo, Reparaciones y Costas. Sentencia de 25 de noviembre de 2005. Serie C No. 137, párr. 106.</w:t>
      </w:r>
    </w:p>
  </w:footnote>
  <w:footnote w:id="38">
    <w:p w:rsidR="00131F4B" w:rsidRPr="00E701A0" w:rsidRDefault="00131F4B" w:rsidP="00E701A0">
      <w:pPr>
        <w:pStyle w:val="FootnoteText"/>
        <w:jc w:val="both"/>
        <w:rPr>
          <w:rFonts w:ascii="Times New Roman" w:hAnsi="Times New Roman" w:cs="Times New Roman"/>
        </w:rPr>
      </w:pPr>
      <w:r w:rsidRPr="00E701A0">
        <w:rPr>
          <w:rStyle w:val="FootnoteReference"/>
          <w:rFonts w:ascii="Times New Roman" w:hAnsi="Times New Roman" w:cs="Times New Roman"/>
        </w:rPr>
        <w:footnoteRef/>
      </w:r>
      <w:r w:rsidRPr="00E701A0">
        <w:rPr>
          <w:rFonts w:ascii="Times New Roman" w:hAnsi="Times New Roman" w:cs="Times New Roman"/>
        </w:rPr>
        <w:t xml:space="preserve"> </w:t>
      </w:r>
      <w:r w:rsidRPr="00E701A0">
        <w:rPr>
          <w:rFonts w:ascii="Times New Roman" w:hAnsi="Times New Roman" w:cs="Times New Roman"/>
          <w:i/>
        </w:rPr>
        <w:t>Cfr.</w:t>
      </w:r>
      <w:r w:rsidRPr="00E701A0">
        <w:rPr>
          <w:rFonts w:ascii="Times New Roman" w:hAnsi="Times New Roman" w:cs="Times New Roman"/>
        </w:rPr>
        <w:t xml:space="preserve"> Ganzenmüeller Roig y J.F. Escudero Moratalla, Discapacidad y derecho. Tratamiento jurídico y sociológico, Bosch, Barcelona, 2005, pág. 199.</w:t>
      </w:r>
    </w:p>
  </w:footnote>
  <w:footnote w:id="39">
    <w:p w:rsidR="00131F4B" w:rsidRPr="00E701A0" w:rsidRDefault="00131F4B" w:rsidP="00E701A0">
      <w:pPr>
        <w:pStyle w:val="FootnoteText"/>
        <w:jc w:val="both"/>
        <w:rPr>
          <w:rFonts w:ascii="Times New Roman" w:hAnsi="Times New Roman" w:cs="Times New Roman"/>
        </w:rPr>
      </w:pPr>
      <w:r w:rsidRPr="00E701A0">
        <w:rPr>
          <w:rStyle w:val="FootnoteReference"/>
          <w:rFonts w:ascii="Times New Roman" w:hAnsi="Times New Roman" w:cs="Times New Roman"/>
        </w:rPr>
        <w:footnoteRef/>
      </w:r>
      <w:r w:rsidRPr="00E701A0">
        <w:rPr>
          <w:rFonts w:ascii="Times New Roman" w:hAnsi="Times New Roman" w:cs="Times New Roman"/>
        </w:rPr>
        <w:t xml:space="preserve"> </w:t>
      </w:r>
      <w:r w:rsidRPr="00E701A0">
        <w:rPr>
          <w:rFonts w:ascii="Times New Roman" w:hAnsi="Times New Roman" w:cs="Times New Roman"/>
          <w:i/>
        </w:rPr>
        <w:t xml:space="preserve">Cfr. </w:t>
      </w:r>
      <w:r w:rsidRPr="00E701A0">
        <w:rPr>
          <w:rFonts w:ascii="Times New Roman" w:hAnsi="Times New Roman" w:cs="Times New Roman"/>
        </w:rPr>
        <w:t>Corte IDH, Opinión Consultiva OC-17/02.</w:t>
      </w:r>
      <w:r w:rsidRPr="00E701A0">
        <w:rPr>
          <w:rFonts w:ascii="Times New Roman" w:hAnsi="Times New Roman" w:cs="Times New Roman"/>
          <w:i/>
        </w:rPr>
        <w:t xml:space="preserve"> </w:t>
      </w:r>
      <w:r w:rsidRPr="00E701A0">
        <w:rPr>
          <w:rFonts w:ascii="Times New Roman" w:hAnsi="Times New Roman" w:cs="Times New Roman"/>
        </w:rPr>
        <w:t>Condición jurídica y derechos humanos del niño</w:t>
      </w:r>
      <w:r w:rsidRPr="00E701A0">
        <w:rPr>
          <w:rFonts w:ascii="Times New Roman" w:hAnsi="Times New Roman" w:cs="Times New Roman"/>
          <w:noProof/>
        </w:rPr>
        <w:t xml:space="preserve">. 28 de agosto de 2002. Serie A No. 17, párr. 46 y </w:t>
      </w:r>
      <w:r w:rsidRPr="00E701A0">
        <w:rPr>
          <w:rFonts w:ascii="Times New Roman" w:hAnsi="Times New Roman" w:cs="Times New Roman"/>
        </w:rPr>
        <w:t>Opinión Consultiva OC-18/03. Condición jurídica y derechos de los Migrantes Indocumentados. 17 de septiembre de 2003. Serie A No. 18. párr.89.</w:t>
      </w:r>
    </w:p>
  </w:footnote>
  <w:footnote w:id="40">
    <w:p w:rsidR="00131F4B" w:rsidRPr="00E701A0" w:rsidRDefault="00131F4B" w:rsidP="00E701A0">
      <w:pPr>
        <w:pStyle w:val="FootnoteText"/>
        <w:jc w:val="both"/>
        <w:rPr>
          <w:rFonts w:ascii="Times New Roman" w:hAnsi="Times New Roman" w:cs="Times New Roman"/>
        </w:rPr>
      </w:pPr>
      <w:r w:rsidRPr="00E701A0">
        <w:rPr>
          <w:rStyle w:val="FootnoteReference"/>
          <w:rFonts w:ascii="Times New Roman" w:hAnsi="Times New Roman" w:cs="Times New Roman"/>
        </w:rPr>
        <w:footnoteRef/>
      </w:r>
      <w:r w:rsidR="003E57FF">
        <w:rPr>
          <w:rFonts w:ascii="Times New Roman" w:hAnsi="Times New Roman" w:cs="Times New Roman"/>
        </w:rPr>
        <w:t xml:space="preserve"> </w:t>
      </w:r>
      <w:r w:rsidRPr="00E701A0">
        <w:rPr>
          <w:rFonts w:ascii="Times New Roman" w:hAnsi="Times New Roman" w:cs="Times New Roman"/>
          <w:i/>
        </w:rPr>
        <w:t xml:space="preserve">Cfr. </w:t>
      </w:r>
      <w:r w:rsidRPr="00E701A0">
        <w:rPr>
          <w:rFonts w:ascii="Times New Roman" w:eastAsia="Calibri" w:hAnsi="Times New Roman" w:cs="Times New Roman"/>
        </w:rPr>
        <w:t>Corte</w:t>
      </w:r>
      <w:r w:rsidRPr="00E701A0">
        <w:rPr>
          <w:rFonts w:ascii="Times New Roman" w:hAnsi="Times New Roman" w:cs="Times New Roman"/>
        </w:rPr>
        <w:t xml:space="preserve"> IDH. Caso </w:t>
      </w:r>
      <w:r w:rsidR="00864B56" w:rsidRPr="00E701A0">
        <w:rPr>
          <w:rFonts w:ascii="Times New Roman" w:hAnsi="Times New Roman" w:cs="Times New Roman"/>
        </w:rPr>
        <w:t xml:space="preserve">Chaparro </w:t>
      </w:r>
      <w:r w:rsidRPr="00E701A0">
        <w:rPr>
          <w:rFonts w:ascii="Times New Roman" w:hAnsi="Times New Roman" w:cs="Times New Roman"/>
        </w:rPr>
        <w:t>Álvarez</w:t>
      </w:r>
      <w:r w:rsidRPr="00E701A0">
        <w:rPr>
          <w:rFonts w:ascii="Times New Roman" w:eastAsia="Calibri" w:hAnsi="Times New Roman" w:cs="Times New Roman"/>
        </w:rPr>
        <w:t xml:space="preserve"> </w:t>
      </w:r>
      <w:r w:rsidR="00864B56" w:rsidRPr="00E701A0">
        <w:rPr>
          <w:rFonts w:ascii="Times New Roman" w:eastAsia="Calibri" w:hAnsi="Times New Roman" w:cs="Times New Roman"/>
        </w:rPr>
        <w:t xml:space="preserve">y Lapo </w:t>
      </w:r>
      <w:r w:rsidRPr="00E701A0">
        <w:rPr>
          <w:rFonts w:ascii="Times New Roman" w:hAnsi="Times New Roman" w:cs="Times New Roman"/>
        </w:rPr>
        <w:t>Íñiguez Vs. Ecuador</w:t>
      </w:r>
      <w:r w:rsidRPr="00E701A0">
        <w:rPr>
          <w:rFonts w:ascii="Times New Roman" w:eastAsia="Calibri" w:hAnsi="Times New Roman" w:cs="Times New Roman"/>
        </w:rPr>
        <w:t>. Excepciones Preliminares, Fondo, Repara</w:t>
      </w:r>
      <w:r w:rsidRPr="00E701A0">
        <w:rPr>
          <w:rFonts w:ascii="Times New Roman" w:hAnsi="Times New Roman" w:cs="Times New Roman"/>
        </w:rPr>
        <w:t>ciones y Costas. Sentencia de 21</w:t>
      </w:r>
      <w:r w:rsidRPr="00E701A0">
        <w:rPr>
          <w:rFonts w:ascii="Times New Roman" w:eastAsia="Calibri" w:hAnsi="Times New Roman" w:cs="Times New Roman"/>
        </w:rPr>
        <w:t xml:space="preserve"> de </w:t>
      </w:r>
      <w:r w:rsidRPr="00E701A0">
        <w:rPr>
          <w:rFonts w:ascii="Times New Roman" w:hAnsi="Times New Roman" w:cs="Times New Roman"/>
        </w:rPr>
        <w:t>noviembre de 2007. Serie C No. 170, párr. 52</w:t>
      </w:r>
      <w:r w:rsidR="003E57FF">
        <w:rPr>
          <w:rFonts w:ascii="Times New Roman" w:hAnsi="Times New Roman" w:cs="Times New Roman"/>
        </w:rPr>
        <w:t>.</w:t>
      </w:r>
    </w:p>
  </w:footnote>
  <w:footnote w:id="41">
    <w:p w:rsidR="00131F4B" w:rsidRPr="00E701A0" w:rsidRDefault="00131F4B" w:rsidP="00E701A0">
      <w:pPr>
        <w:pStyle w:val="FootnoteText"/>
        <w:jc w:val="both"/>
        <w:rPr>
          <w:rFonts w:ascii="Times New Roman" w:hAnsi="Times New Roman" w:cs="Times New Roman"/>
        </w:rPr>
      </w:pPr>
      <w:r w:rsidRPr="00E701A0">
        <w:rPr>
          <w:rStyle w:val="FootnoteReference"/>
          <w:rFonts w:ascii="Times New Roman" w:hAnsi="Times New Roman" w:cs="Times New Roman"/>
        </w:rPr>
        <w:footnoteRef/>
      </w:r>
      <w:r w:rsidR="003E57FF">
        <w:rPr>
          <w:rFonts w:ascii="Times New Roman" w:hAnsi="Times New Roman" w:cs="Times New Roman"/>
        </w:rPr>
        <w:t xml:space="preserve"> </w:t>
      </w:r>
      <w:r w:rsidRPr="00E701A0">
        <w:rPr>
          <w:rFonts w:ascii="Times New Roman" w:hAnsi="Times New Roman" w:cs="Times New Roman"/>
        </w:rPr>
        <w:t>OEA Convención Interamericana para la Eliminación de todas las formas de Discriminación contra las Personas con Discapacidad. Art. III</w:t>
      </w:r>
      <w:r w:rsidR="003E57FF">
        <w:rPr>
          <w:rFonts w:ascii="Times New Roman" w:hAnsi="Times New Roman" w:cs="Times New Roman"/>
        </w:rPr>
        <w:t>.</w:t>
      </w:r>
    </w:p>
  </w:footnote>
  <w:footnote w:id="42">
    <w:p w:rsidR="00131F4B" w:rsidRPr="00E701A0" w:rsidRDefault="00131F4B" w:rsidP="00E701A0">
      <w:pPr>
        <w:pStyle w:val="FootnoteText"/>
        <w:jc w:val="both"/>
        <w:rPr>
          <w:rFonts w:ascii="Times New Roman" w:hAnsi="Times New Roman" w:cs="Times New Roman"/>
        </w:rPr>
      </w:pPr>
      <w:r w:rsidRPr="00E701A0">
        <w:rPr>
          <w:rStyle w:val="FootnoteReference"/>
          <w:rFonts w:ascii="Times New Roman" w:hAnsi="Times New Roman" w:cs="Times New Roman"/>
        </w:rPr>
        <w:footnoteRef/>
      </w:r>
      <w:r w:rsidR="003E57FF">
        <w:rPr>
          <w:rFonts w:ascii="Times New Roman" w:hAnsi="Times New Roman" w:cs="Times New Roman"/>
        </w:rPr>
        <w:t xml:space="preserve"> </w:t>
      </w:r>
      <w:r w:rsidRPr="00E701A0">
        <w:rPr>
          <w:rFonts w:ascii="Times New Roman" w:hAnsi="Times New Roman" w:cs="Times New Roman"/>
        </w:rPr>
        <w:t>Hecho del Caso No. 12</w:t>
      </w:r>
      <w:r w:rsidR="003E57FF">
        <w:rPr>
          <w:rFonts w:ascii="Times New Roman" w:hAnsi="Times New Roman" w:cs="Times New Roman"/>
        </w:rPr>
        <w:t>.</w:t>
      </w:r>
    </w:p>
  </w:footnote>
  <w:footnote w:id="43">
    <w:p w:rsidR="00131F4B" w:rsidRPr="00E701A0" w:rsidRDefault="00131F4B" w:rsidP="00E701A0">
      <w:pPr>
        <w:pStyle w:val="FootnoteText"/>
        <w:jc w:val="both"/>
        <w:rPr>
          <w:rFonts w:ascii="Times New Roman" w:hAnsi="Times New Roman" w:cs="Times New Roman"/>
        </w:rPr>
      </w:pPr>
      <w:r w:rsidRPr="00E701A0">
        <w:rPr>
          <w:rStyle w:val="FootnoteReference"/>
          <w:rFonts w:ascii="Times New Roman" w:hAnsi="Times New Roman" w:cs="Times New Roman"/>
        </w:rPr>
        <w:footnoteRef/>
      </w:r>
      <w:r w:rsidR="003E57FF">
        <w:rPr>
          <w:rFonts w:ascii="Times New Roman" w:hAnsi="Times New Roman" w:cs="Times New Roman"/>
          <w:i/>
        </w:rPr>
        <w:t xml:space="preserve"> </w:t>
      </w:r>
      <w:r w:rsidRPr="00E701A0">
        <w:rPr>
          <w:rFonts w:ascii="Times New Roman" w:hAnsi="Times New Roman" w:cs="Times New Roman"/>
          <w:i/>
        </w:rPr>
        <w:t xml:space="preserve">Cfr. </w:t>
      </w:r>
      <w:r w:rsidRPr="00E701A0">
        <w:rPr>
          <w:rFonts w:ascii="Times New Roman" w:hAnsi="Times New Roman" w:cs="Times New Roman"/>
        </w:rPr>
        <w:t>Respuesta Aclaratoria 28</w:t>
      </w:r>
      <w:r w:rsidR="003E57FF">
        <w:rPr>
          <w:rFonts w:ascii="Times New Roman" w:hAnsi="Times New Roman" w:cs="Times New Roman"/>
        </w:rPr>
        <w:t>.</w:t>
      </w:r>
    </w:p>
  </w:footnote>
  <w:footnote w:id="44">
    <w:p w:rsidR="00131F4B" w:rsidRPr="00E701A0" w:rsidRDefault="00131F4B" w:rsidP="00E701A0">
      <w:pPr>
        <w:pStyle w:val="FootnoteText"/>
        <w:jc w:val="both"/>
        <w:rPr>
          <w:rFonts w:ascii="Times New Roman" w:hAnsi="Times New Roman" w:cs="Times New Roman"/>
        </w:rPr>
      </w:pPr>
      <w:r w:rsidRPr="00E701A0">
        <w:rPr>
          <w:rStyle w:val="FootnoteReference"/>
          <w:rFonts w:ascii="Times New Roman" w:hAnsi="Times New Roman" w:cs="Times New Roman"/>
        </w:rPr>
        <w:footnoteRef/>
      </w:r>
      <w:r w:rsidR="003E57FF">
        <w:rPr>
          <w:rFonts w:ascii="Times New Roman" w:hAnsi="Times New Roman" w:cs="Times New Roman"/>
          <w:i/>
        </w:rPr>
        <w:t xml:space="preserve"> </w:t>
      </w:r>
      <w:r w:rsidRPr="00E701A0">
        <w:rPr>
          <w:rFonts w:ascii="Times New Roman" w:hAnsi="Times New Roman" w:cs="Times New Roman"/>
          <w:i/>
        </w:rPr>
        <w:t xml:space="preserve">Cfr. </w:t>
      </w:r>
      <w:r w:rsidRPr="00E701A0">
        <w:rPr>
          <w:rFonts w:ascii="Times New Roman" w:hAnsi="Times New Roman" w:cs="Times New Roman"/>
        </w:rPr>
        <w:t>ONU, Principios de Siracusa sobre las Disposiciones de Limitación y Suspensión del Pacto Internacional de Derechos Civiles y Políticos. 24 de agosto de 1984</w:t>
      </w:r>
      <w:r w:rsidR="003E57FF">
        <w:rPr>
          <w:rFonts w:ascii="Times New Roman" w:hAnsi="Times New Roman" w:cs="Times New Roman"/>
        </w:rPr>
        <w:t>.</w:t>
      </w:r>
    </w:p>
  </w:footnote>
  <w:footnote w:id="45">
    <w:p w:rsidR="00131F4B" w:rsidRPr="00E701A0" w:rsidRDefault="00131F4B" w:rsidP="00E701A0">
      <w:pPr>
        <w:pStyle w:val="FootnoteText"/>
        <w:jc w:val="both"/>
        <w:rPr>
          <w:rFonts w:ascii="Times New Roman" w:hAnsi="Times New Roman" w:cs="Times New Roman"/>
        </w:rPr>
      </w:pPr>
      <w:r w:rsidRPr="00E701A0">
        <w:rPr>
          <w:rStyle w:val="FootnoteReference"/>
          <w:rFonts w:ascii="Times New Roman" w:hAnsi="Times New Roman" w:cs="Times New Roman"/>
        </w:rPr>
        <w:footnoteRef/>
      </w:r>
      <w:r w:rsidR="003E57FF">
        <w:rPr>
          <w:rFonts w:ascii="Times New Roman" w:hAnsi="Times New Roman" w:cs="Times New Roman"/>
          <w:i/>
        </w:rPr>
        <w:t xml:space="preserve"> </w:t>
      </w:r>
      <w:r w:rsidRPr="00E701A0">
        <w:rPr>
          <w:rFonts w:ascii="Times New Roman" w:hAnsi="Times New Roman" w:cs="Times New Roman"/>
          <w:i/>
        </w:rPr>
        <w:t xml:space="preserve">Cfr. </w:t>
      </w:r>
      <w:r w:rsidRPr="00E701A0">
        <w:rPr>
          <w:rFonts w:ascii="Times New Roman" w:hAnsi="Times New Roman" w:cs="Times New Roman"/>
        </w:rPr>
        <w:t>Hecho del Caso No. 16</w:t>
      </w:r>
      <w:r w:rsidR="003E57FF">
        <w:rPr>
          <w:rFonts w:ascii="Times New Roman" w:hAnsi="Times New Roman" w:cs="Times New Roman"/>
        </w:rPr>
        <w:t>.</w:t>
      </w:r>
    </w:p>
  </w:footnote>
  <w:footnote w:id="46">
    <w:p w:rsidR="00131F4B" w:rsidRPr="00E701A0" w:rsidRDefault="00131F4B" w:rsidP="00E701A0">
      <w:pPr>
        <w:autoSpaceDE w:val="0"/>
        <w:autoSpaceDN w:val="0"/>
        <w:adjustRightInd w:val="0"/>
        <w:spacing w:after="0" w:line="240" w:lineRule="auto"/>
        <w:jc w:val="both"/>
        <w:rPr>
          <w:rFonts w:ascii="Times New Roman" w:hAnsi="Times New Roman" w:cs="Times New Roman"/>
          <w:sz w:val="20"/>
          <w:szCs w:val="20"/>
        </w:rPr>
      </w:pPr>
      <w:r w:rsidRPr="00E701A0">
        <w:rPr>
          <w:rStyle w:val="FootnoteReference"/>
          <w:rFonts w:ascii="Times New Roman" w:hAnsi="Times New Roman" w:cs="Times New Roman"/>
          <w:sz w:val="20"/>
          <w:szCs w:val="20"/>
        </w:rPr>
        <w:footnoteRef/>
      </w:r>
      <w:r w:rsidRPr="00E701A0">
        <w:rPr>
          <w:rFonts w:ascii="Times New Roman" w:hAnsi="Times New Roman" w:cs="Times New Roman"/>
          <w:sz w:val="20"/>
          <w:szCs w:val="20"/>
        </w:rPr>
        <w:t xml:space="preserve"> CIDH. Caso Lizardo Cabrera Vs República Dominicana </w:t>
      </w:r>
      <w:r w:rsidRPr="00E701A0">
        <w:rPr>
          <w:rFonts w:ascii="Times New Roman" w:hAnsi="Times New Roman" w:cs="Times New Roman"/>
          <w:color w:val="000000"/>
          <w:spacing w:val="-2"/>
          <w:sz w:val="20"/>
          <w:szCs w:val="20"/>
        </w:rPr>
        <w:t xml:space="preserve">Caso 10.832. </w:t>
      </w:r>
      <w:r w:rsidRPr="00E701A0">
        <w:rPr>
          <w:rFonts w:ascii="Times New Roman" w:hAnsi="Times New Roman" w:cs="Times New Roman"/>
          <w:bCs/>
          <w:color w:val="000000"/>
          <w:spacing w:val="-2"/>
          <w:sz w:val="20"/>
          <w:szCs w:val="20"/>
          <w:lang w:val="es-ES_tradnl"/>
        </w:rPr>
        <w:t xml:space="preserve">Informe Nº 35/96 </w:t>
      </w:r>
      <w:r w:rsidRPr="00E701A0">
        <w:rPr>
          <w:rFonts w:ascii="Times New Roman" w:hAnsi="Times New Roman" w:cs="Times New Roman"/>
          <w:color w:val="000000"/>
          <w:spacing w:val="-2"/>
          <w:sz w:val="20"/>
          <w:szCs w:val="20"/>
        </w:rPr>
        <w:t>19</w:t>
      </w:r>
      <w:r w:rsidRPr="00E701A0">
        <w:rPr>
          <w:rStyle w:val="apple-converted-space"/>
          <w:rFonts w:ascii="Times New Roman" w:hAnsi="Times New Roman" w:cs="Times New Roman"/>
          <w:color w:val="000000"/>
          <w:spacing w:val="-2"/>
          <w:sz w:val="20"/>
          <w:szCs w:val="20"/>
          <w:lang w:val="es-ES_tradnl"/>
        </w:rPr>
        <w:t xml:space="preserve"> </w:t>
      </w:r>
      <w:r w:rsidRPr="00E701A0">
        <w:rPr>
          <w:rFonts w:ascii="Times New Roman" w:hAnsi="Times New Roman" w:cs="Times New Roman"/>
          <w:color w:val="000000"/>
          <w:spacing w:val="-2"/>
          <w:sz w:val="20"/>
          <w:szCs w:val="20"/>
          <w:lang w:val="es-ES_tradnl"/>
        </w:rPr>
        <w:t>de</w:t>
      </w:r>
      <w:r w:rsidRPr="00E701A0">
        <w:rPr>
          <w:rStyle w:val="apple-converted-space"/>
          <w:rFonts w:ascii="Times New Roman" w:hAnsi="Times New Roman" w:cs="Times New Roman"/>
          <w:color w:val="000000"/>
          <w:spacing w:val="-2"/>
          <w:sz w:val="20"/>
          <w:szCs w:val="20"/>
          <w:lang w:val="es-ES_tradnl"/>
        </w:rPr>
        <w:t xml:space="preserve"> </w:t>
      </w:r>
      <w:r w:rsidRPr="00E701A0">
        <w:rPr>
          <w:rFonts w:ascii="Times New Roman" w:hAnsi="Times New Roman" w:cs="Times New Roman"/>
          <w:color w:val="000000"/>
          <w:spacing w:val="-2"/>
          <w:sz w:val="20"/>
          <w:szCs w:val="20"/>
        </w:rPr>
        <w:t xml:space="preserve">febrero </w:t>
      </w:r>
      <w:r w:rsidRPr="00E701A0">
        <w:rPr>
          <w:rFonts w:ascii="Times New Roman" w:hAnsi="Times New Roman" w:cs="Times New Roman"/>
          <w:color w:val="000000"/>
          <w:spacing w:val="-2"/>
          <w:sz w:val="20"/>
          <w:szCs w:val="20"/>
          <w:lang w:val="es-ES_tradnl"/>
        </w:rPr>
        <w:t xml:space="preserve">de 1998, párr. 77; </w:t>
      </w:r>
      <w:r w:rsidRPr="00E701A0">
        <w:rPr>
          <w:rFonts w:ascii="Times New Roman" w:hAnsi="Times New Roman" w:cs="Times New Roman"/>
          <w:sz w:val="20"/>
          <w:szCs w:val="20"/>
        </w:rPr>
        <w:t xml:space="preserve">Comisión Europea de Derechos Humanos. </w:t>
      </w:r>
      <w:r w:rsidRPr="00E701A0">
        <w:rPr>
          <w:rFonts w:ascii="Times New Roman" w:hAnsi="Times New Roman" w:cs="Times New Roman"/>
          <w:iCs/>
          <w:sz w:val="20"/>
          <w:szCs w:val="20"/>
        </w:rPr>
        <w:t>El Caso Griego</w:t>
      </w:r>
      <w:r w:rsidRPr="00E701A0">
        <w:rPr>
          <w:rFonts w:ascii="Times New Roman" w:hAnsi="Times New Roman" w:cs="Times New Roman"/>
          <w:sz w:val="20"/>
          <w:szCs w:val="20"/>
        </w:rPr>
        <w:t>, N° 3321/67, 3322/67, 3323/67 y 3344/67, 1969 Anuario del Convenio Europeo de Derechos Humanos, N° 12, pág. 186</w:t>
      </w:r>
      <w:r w:rsidRPr="00E701A0">
        <w:rPr>
          <w:rFonts w:ascii="Times New Roman" w:hAnsi="Times New Roman" w:cs="Times New Roman"/>
          <w:color w:val="000000"/>
          <w:spacing w:val="-2"/>
          <w:sz w:val="20"/>
          <w:szCs w:val="20"/>
          <w:lang w:val="es-ES_tradnl"/>
        </w:rPr>
        <w:t>.</w:t>
      </w:r>
    </w:p>
  </w:footnote>
  <w:footnote w:id="47">
    <w:p w:rsidR="00131F4B" w:rsidRPr="00E701A0" w:rsidRDefault="00131F4B" w:rsidP="00E701A0">
      <w:pPr>
        <w:pStyle w:val="FootnoteText"/>
        <w:jc w:val="both"/>
        <w:rPr>
          <w:rFonts w:ascii="Times New Roman" w:hAnsi="Times New Roman" w:cs="Times New Roman"/>
        </w:rPr>
      </w:pPr>
      <w:r w:rsidRPr="00E701A0">
        <w:rPr>
          <w:rStyle w:val="FootnoteReference"/>
          <w:rFonts w:ascii="Times New Roman" w:hAnsi="Times New Roman" w:cs="Times New Roman"/>
        </w:rPr>
        <w:footnoteRef/>
      </w:r>
      <w:r w:rsidRPr="00E701A0">
        <w:rPr>
          <w:rFonts w:ascii="Times New Roman" w:hAnsi="Times New Roman" w:cs="Times New Roman"/>
        </w:rPr>
        <w:t xml:space="preserve"> TEDH. Caso Stork Vs. Alemania, (No. 61603/00), Sentencia de 16 de junio de 2005, párr. 103</w:t>
      </w:r>
      <w:r w:rsidR="003E57FF">
        <w:rPr>
          <w:rFonts w:ascii="Times New Roman" w:hAnsi="Times New Roman" w:cs="Times New Roman"/>
        </w:rPr>
        <w:t>.</w:t>
      </w:r>
    </w:p>
  </w:footnote>
  <w:footnote w:id="48">
    <w:p w:rsidR="00131F4B" w:rsidRPr="00E701A0" w:rsidRDefault="00131F4B" w:rsidP="00E701A0">
      <w:pPr>
        <w:pStyle w:val="FootnoteText"/>
        <w:jc w:val="both"/>
        <w:rPr>
          <w:rFonts w:ascii="Times New Roman" w:hAnsi="Times New Roman" w:cs="Times New Roman"/>
        </w:rPr>
      </w:pPr>
      <w:r w:rsidRPr="00E701A0">
        <w:rPr>
          <w:rStyle w:val="FootnoteReference"/>
          <w:rFonts w:ascii="Times New Roman" w:hAnsi="Times New Roman" w:cs="Times New Roman"/>
        </w:rPr>
        <w:footnoteRef/>
      </w:r>
      <w:r w:rsidRPr="00E701A0">
        <w:rPr>
          <w:rFonts w:ascii="Times New Roman" w:hAnsi="Times New Roman" w:cs="Times New Roman"/>
        </w:rPr>
        <w:t xml:space="preserve"> </w:t>
      </w:r>
      <w:r w:rsidRPr="00E701A0">
        <w:rPr>
          <w:rFonts w:ascii="Times New Roman" w:hAnsi="Times New Roman" w:cs="Times New Roman"/>
          <w:i/>
        </w:rPr>
        <w:t>Cfr.</w:t>
      </w:r>
      <w:r w:rsidRPr="00E701A0">
        <w:rPr>
          <w:rFonts w:ascii="Times New Roman" w:hAnsi="Times New Roman" w:cs="Times New Roman"/>
        </w:rPr>
        <w:t xml:space="preserve"> Hecho del Caso No. 5</w:t>
      </w:r>
      <w:r w:rsidR="003E57FF">
        <w:rPr>
          <w:rFonts w:ascii="Times New Roman" w:hAnsi="Times New Roman" w:cs="Times New Roman"/>
        </w:rPr>
        <w:t>.</w:t>
      </w:r>
    </w:p>
  </w:footnote>
  <w:footnote w:id="49">
    <w:p w:rsidR="00131F4B" w:rsidRPr="00E701A0" w:rsidRDefault="00131F4B" w:rsidP="00E701A0">
      <w:pPr>
        <w:autoSpaceDE w:val="0"/>
        <w:autoSpaceDN w:val="0"/>
        <w:adjustRightInd w:val="0"/>
        <w:spacing w:after="0" w:line="240" w:lineRule="auto"/>
        <w:jc w:val="both"/>
        <w:rPr>
          <w:rFonts w:ascii="Times New Roman" w:hAnsi="Times New Roman" w:cs="Times New Roman"/>
          <w:sz w:val="20"/>
          <w:szCs w:val="20"/>
        </w:rPr>
      </w:pPr>
      <w:r w:rsidRPr="00E701A0">
        <w:rPr>
          <w:rStyle w:val="FootnoteReference"/>
          <w:rFonts w:ascii="Times New Roman" w:hAnsi="Times New Roman" w:cs="Times New Roman"/>
          <w:sz w:val="20"/>
          <w:szCs w:val="20"/>
        </w:rPr>
        <w:footnoteRef/>
      </w:r>
      <w:r w:rsidR="003E57FF">
        <w:rPr>
          <w:rFonts w:ascii="Times New Roman" w:hAnsi="Times New Roman" w:cs="Times New Roman"/>
          <w:i/>
          <w:iCs/>
          <w:sz w:val="20"/>
          <w:szCs w:val="20"/>
        </w:rPr>
        <w:t xml:space="preserve"> </w:t>
      </w:r>
      <w:r w:rsidRPr="00E701A0">
        <w:rPr>
          <w:rFonts w:ascii="Times New Roman" w:hAnsi="Times New Roman" w:cs="Times New Roman"/>
          <w:i/>
          <w:iCs/>
          <w:sz w:val="20"/>
          <w:szCs w:val="20"/>
        </w:rPr>
        <w:t xml:space="preserve">Cfr. </w:t>
      </w:r>
      <w:r w:rsidRPr="00E701A0">
        <w:rPr>
          <w:rFonts w:ascii="Times New Roman" w:hAnsi="Times New Roman" w:cs="Times New Roman"/>
          <w:iCs/>
          <w:sz w:val="20"/>
          <w:szCs w:val="20"/>
        </w:rPr>
        <w:t xml:space="preserve">OEA, </w:t>
      </w:r>
      <w:r w:rsidRPr="00E701A0">
        <w:rPr>
          <w:rFonts w:ascii="Times New Roman" w:hAnsi="Times New Roman" w:cs="Times New Roman"/>
          <w:sz w:val="20"/>
          <w:szCs w:val="20"/>
        </w:rPr>
        <w:t>Convención Interamericana para la Eliminación de Todas las Formas de Discriminación contra las</w:t>
      </w:r>
    </w:p>
    <w:p w:rsidR="00131F4B" w:rsidRPr="00E701A0" w:rsidRDefault="00131F4B" w:rsidP="00E701A0">
      <w:pPr>
        <w:autoSpaceDE w:val="0"/>
        <w:autoSpaceDN w:val="0"/>
        <w:adjustRightInd w:val="0"/>
        <w:spacing w:after="0" w:line="240" w:lineRule="auto"/>
        <w:jc w:val="both"/>
        <w:rPr>
          <w:rFonts w:ascii="Times New Roman" w:hAnsi="Times New Roman" w:cs="Times New Roman"/>
          <w:sz w:val="20"/>
          <w:szCs w:val="20"/>
        </w:rPr>
      </w:pPr>
      <w:r w:rsidRPr="00E701A0">
        <w:rPr>
          <w:rFonts w:ascii="Times New Roman" w:hAnsi="Times New Roman" w:cs="Times New Roman"/>
          <w:sz w:val="20"/>
          <w:szCs w:val="20"/>
        </w:rPr>
        <w:t>personas con Discapacidad, 7 de junio de 1999, artículo III; y ONU, Comité de DESC, Observación General No. 5, “Personas con Discapacidad”. Naciones Unidas, Documento E/1995/22 (1994), párr. 9.</w:t>
      </w:r>
    </w:p>
  </w:footnote>
  <w:footnote w:id="50">
    <w:p w:rsidR="00131F4B" w:rsidRPr="00E701A0" w:rsidRDefault="00131F4B" w:rsidP="00E701A0">
      <w:pPr>
        <w:pStyle w:val="FootnoteText"/>
        <w:jc w:val="both"/>
        <w:rPr>
          <w:rFonts w:ascii="Times New Roman" w:hAnsi="Times New Roman" w:cs="Times New Roman"/>
        </w:rPr>
      </w:pPr>
      <w:r w:rsidRPr="00E701A0">
        <w:rPr>
          <w:rStyle w:val="FootnoteReference"/>
          <w:rFonts w:ascii="Times New Roman" w:hAnsi="Times New Roman" w:cs="Times New Roman"/>
        </w:rPr>
        <w:footnoteRef/>
      </w:r>
      <w:r w:rsidR="003E57FF">
        <w:rPr>
          <w:rFonts w:ascii="Times New Roman" w:eastAsia="Calibri" w:hAnsi="Times New Roman" w:cs="Times New Roman"/>
        </w:rPr>
        <w:t xml:space="preserve"> </w:t>
      </w:r>
      <w:r w:rsidRPr="00E701A0">
        <w:rPr>
          <w:rFonts w:ascii="Times New Roman" w:eastAsia="Calibri" w:hAnsi="Times New Roman" w:cs="Times New Roman"/>
        </w:rPr>
        <w:t>Corte</w:t>
      </w:r>
      <w:r w:rsidRPr="00E701A0">
        <w:rPr>
          <w:rFonts w:ascii="Times New Roman" w:hAnsi="Times New Roman" w:cs="Times New Roman"/>
        </w:rPr>
        <w:t xml:space="preserve"> IDH. Caso Ximenes Lopes Vs. Brasil. Sentencia de 4</w:t>
      </w:r>
      <w:r w:rsidRPr="00E701A0">
        <w:rPr>
          <w:rFonts w:ascii="Times New Roman" w:eastAsia="Calibri" w:hAnsi="Times New Roman" w:cs="Times New Roman"/>
        </w:rPr>
        <w:t xml:space="preserve"> de </w:t>
      </w:r>
      <w:r w:rsidRPr="00E701A0">
        <w:rPr>
          <w:rFonts w:ascii="Times New Roman" w:hAnsi="Times New Roman" w:cs="Times New Roman"/>
        </w:rPr>
        <w:t>julio de 2006. Serie C No. 149, párr. 137</w:t>
      </w:r>
      <w:r w:rsidR="003E57FF">
        <w:rPr>
          <w:rFonts w:ascii="Times New Roman" w:hAnsi="Times New Roman" w:cs="Times New Roman"/>
        </w:rPr>
        <w:t>.</w:t>
      </w:r>
    </w:p>
  </w:footnote>
  <w:footnote w:id="51">
    <w:p w:rsidR="00131F4B" w:rsidRPr="00E701A0" w:rsidRDefault="00131F4B" w:rsidP="00E701A0">
      <w:pPr>
        <w:pStyle w:val="FootnoteText"/>
        <w:jc w:val="both"/>
        <w:rPr>
          <w:rFonts w:ascii="Times New Roman" w:hAnsi="Times New Roman" w:cs="Times New Roman"/>
        </w:rPr>
      </w:pPr>
      <w:r w:rsidRPr="00E701A0">
        <w:rPr>
          <w:rStyle w:val="FootnoteReference"/>
          <w:rFonts w:ascii="Times New Roman" w:hAnsi="Times New Roman" w:cs="Times New Roman"/>
        </w:rPr>
        <w:footnoteRef/>
      </w:r>
      <w:r w:rsidR="003E57FF">
        <w:rPr>
          <w:rFonts w:ascii="Times New Roman" w:hAnsi="Times New Roman" w:cs="Times New Roman"/>
        </w:rPr>
        <w:t xml:space="preserve"> </w:t>
      </w:r>
      <w:r w:rsidRPr="00E701A0">
        <w:rPr>
          <w:rFonts w:ascii="Times New Roman" w:hAnsi="Times New Roman" w:cs="Times New Roman"/>
        </w:rPr>
        <w:t>Ibidem, párr 138</w:t>
      </w:r>
      <w:r w:rsidR="00286EFD" w:rsidRPr="00E701A0">
        <w:rPr>
          <w:rFonts w:ascii="Times New Roman" w:hAnsi="Times New Roman" w:cs="Times New Roman"/>
        </w:rPr>
        <w:t>.</w:t>
      </w:r>
    </w:p>
  </w:footnote>
  <w:footnote w:id="52">
    <w:p w:rsidR="00131F4B" w:rsidRPr="00E701A0" w:rsidRDefault="00131F4B" w:rsidP="00E701A0">
      <w:pPr>
        <w:pStyle w:val="FootnoteText"/>
        <w:jc w:val="both"/>
        <w:rPr>
          <w:rFonts w:ascii="Times New Roman" w:hAnsi="Times New Roman" w:cs="Times New Roman"/>
        </w:rPr>
      </w:pPr>
      <w:r w:rsidRPr="00E701A0">
        <w:rPr>
          <w:rStyle w:val="FootnoteReference"/>
          <w:rFonts w:ascii="Times New Roman" w:hAnsi="Times New Roman" w:cs="Times New Roman"/>
        </w:rPr>
        <w:footnoteRef/>
      </w:r>
      <w:r w:rsidR="003E57FF">
        <w:rPr>
          <w:rFonts w:ascii="Times New Roman" w:eastAsia="Calibri" w:hAnsi="Times New Roman" w:cs="Times New Roman"/>
        </w:rPr>
        <w:t xml:space="preserve"> </w:t>
      </w:r>
      <w:r w:rsidRPr="00E701A0">
        <w:rPr>
          <w:rFonts w:ascii="Times New Roman" w:eastAsia="Calibri" w:hAnsi="Times New Roman" w:cs="Times New Roman"/>
        </w:rPr>
        <w:t>Corte</w:t>
      </w:r>
      <w:r w:rsidRPr="00E701A0">
        <w:rPr>
          <w:rFonts w:ascii="Times New Roman" w:hAnsi="Times New Roman" w:cs="Times New Roman"/>
        </w:rPr>
        <w:t xml:space="preserve"> IDH. Caso Ximenes Lopes Vs. Brasil. Sentencia de 4</w:t>
      </w:r>
      <w:r w:rsidRPr="00E701A0">
        <w:rPr>
          <w:rFonts w:ascii="Times New Roman" w:eastAsia="Calibri" w:hAnsi="Times New Roman" w:cs="Times New Roman"/>
        </w:rPr>
        <w:t xml:space="preserve"> de </w:t>
      </w:r>
      <w:r w:rsidRPr="00E701A0">
        <w:rPr>
          <w:rFonts w:ascii="Times New Roman" w:hAnsi="Times New Roman" w:cs="Times New Roman"/>
        </w:rPr>
        <w:t>julio de 2006. Serie C No. 149, párr. 130</w:t>
      </w:r>
      <w:r w:rsidR="003E57FF">
        <w:rPr>
          <w:rFonts w:ascii="Times New Roman" w:hAnsi="Times New Roman" w:cs="Times New Roman"/>
        </w:rPr>
        <w:t>.</w:t>
      </w:r>
    </w:p>
  </w:footnote>
  <w:footnote w:id="53">
    <w:p w:rsidR="00131F4B" w:rsidRPr="00E701A0" w:rsidRDefault="00131F4B" w:rsidP="00E701A0">
      <w:pPr>
        <w:pStyle w:val="FootnoteText"/>
        <w:jc w:val="both"/>
        <w:rPr>
          <w:rFonts w:ascii="Times New Roman" w:hAnsi="Times New Roman" w:cs="Times New Roman"/>
        </w:rPr>
      </w:pPr>
      <w:r w:rsidRPr="00E701A0">
        <w:rPr>
          <w:rStyle w:val="FootnoteReference"/>
          <w:rFonts w:ascii="Times New Roman" w:hAnsi="Times New Roman" w:cs="Times New Roman"/>
        </w:rPr>
        <w:footnoteRef/>
      </w:r>
      <w:r w:rsidR="003E57FF">
        <w:rPr>
          <w:rFonts w:ascii="Times New Roman" w:hAnsi="Times New Roman" w:cs="Times New Roman"/>
        </w:rPr>
        <w:t xml:space="preserve"> </w:t>
      </w:r>
      <w:r w:rsidRPr="00E701A0">
        <w:rPr>
          <w:rFonts w:ascii="Times New Roman" w:hAnsi="Times New Roman" w:cs="Times New Roman"/>
        </w:rPr>
        <w:t>Hechos del Caso No. 19 y 25</w:t>
      </w:r>
      <w:r w:rsidR="003E57FF">
        <w:rPr>
          <w:rFonts w:ascii="Times New Roman" w:hAnsi="Times New Roman" w:cs="Times New Roman"/>
        </w:rPr>
        <w:t>.</w:t>
      </w:r>
    </w:p>
  </w:footnote>
  <w:footnote w:id="54">
    <w:p w:rsidR="00131F4B" w:rsidRPr="00E701A0" w:rsidRDefault="00131F4B" w:rsidP="00E701A0">
      <w:pPr>
        <w:pStyle w:val="FootnoteText"/>
        <w:jc w:val="both"/>
        <w:rPr>
          <w:rFonts w:ascii="Times New Roman" w:hAnsi="Times New Roman" w:cs="Times New Roman"/>
        </w:rPr>
      </w:pPr>
      <w:r w:rsidRPr="00E701A0">
        <w:rPr>
          <w:rStyle w:val="FootnoteReference"/>
          <w:rFonts w:ascii="Times New Roman" w:hAnsi="Times New Roman" w:cs="Times New Roman"/>
        </w:rPr>
        <w:footnoteRef/>
      </w:r>
      <w:r w:rsidRPr="00E701A0">
        <w:rPr>
          <w:rFonts w:ascii="Times New Roman" w:hAnsi="Times New Roman" w:cs="Times New Roman"/>
        </w:rPr>
        <w:t xml:space="preserve"> OMS, Nota Descriptiva No. 369. Octubre 2012</w:t>
      </w:r>
      <w:r w:rsidR="003E57FF">
        <w:rPr>
          <w:rFonts w:ascii="Times New Roman" w:hAnsi="Times New Roman" w:cs="Times New Roman"/>
        </w:rPr>
        <w:t>.</w:t>
      </w:r>
    </w:p>
  </w:footnote>
  <w:footnote w:id="55">
    <w:p w:rsidR="00131F4B" w:rsidRPr="00E701A0" w:rsidRDefault="00131F4B" w:rsidP="00E701A0">
      <w:pPr>
        <w:pStyle w:val="FootnoteText"/>
        <w:jc w:val="both"/>
        <w:rPr>
          <w:rFonts w:ascii="Times New Roman" w:hAnsi="Times New Roman" w:cs="Times New Roman"/>
        </w:rPr>
      </w:pPr>
      <w:r w:rsidRPr="00E701A0">
        <w:rPr>
          <w:rStyle w:val="FootnoteReference"/>
          <w:rFonts w:ascii="Times New Roman" w:hAnsi="Times New Roman" w:cs="Times New Roman"/>
        </w:rPr>
        <w:footnoteRef/>
      </w:r>
      <w:r w:rsidR="003E57FF">
        <w:rPr>
          <w:rFonts w:ascii="Times New Roman" w:hAnsi="Times New Roman" w:cs="Times New Roman"/>
        </w:rPr>
        <w:t xml:space="preserve"> </w:t>
      </w:r>
      <w:r w:rsidRPr="00E701A0">
        <w:rPr>
          <w:rFonts w:ascii="Times New Roman" w:hAnsi="Times New Roman" w:cs="Times New Roman"/>
          <w:i/>
        </w:rPr>
        <w:t>Cfr.</w:t>
      </w:r>
      <w:r w:rsidRPr="00E701A0">
        <w:rPr>
          <w:rFonts w:ascii="Times New Roman" w:hAnsi="Times New Roman" w:cs="Times New Roman"/>
        </w:rPr>
        <w:t xml:space="preserve"> OMS, Programa de acción para superar la brecha en salud mental (mhGAP). 2008, págs. 11-12</w:t>
      </w:r>
      <w:r w:rsidR="003E57FF">
        <w:rPr>
          <w:rFonts w:ascii="Times New Roman" w:hAnsi="Times New Roman" w:cs="Times New Roman"/>
        </w:rPr>
        <w:t>.</w:t>
      </w:r>
    </w:p>
  </w:footnote>
  <w:footnote w:id="56">
    <w:p w:rsidR="00131F4B" w:rsidRPr="00E701A0" w:rsidRDefault="00131F4B" w:rsidP="00E701A0">
      <w:pPr>
        <w:pStyle w:val="FootnoteText"/>
        <w:jc w:val="both"/>
        <w:rPr>
          <w:rFonts w:ascii="Times New Roman" w:hAnsi="Times New Roman" w:cs="Times New Roman"/>
        </w:rPr>
      </w:pPr>
      <w:r w:rsidRPr="00E701A0">
        <w:rPr>
          <w:rStyle w:val="FootnoteReference"/>
          <w:rFonts w:ascii="Times New Roman" w:hAnsi="Times New Roman" w:cs="Times New Roman"/>
        </w:rPr>
        <w:footnoteRef/>
      </w:r>
      <w:r w:rsidR="003E57FF">
        <w:rPr>
          <w:rFonts w:ascii="Times New Roman" w:hAnsi="Times New Roman" w:cs="Times New Roman"/>
        </w:rPr>
        <w:t xml:space="preserve"> </w:t>
      </w:r>
      <w:r w:rsidRPr="00E701A0">
        <w:rPr>
          <w:rFonts w:ascii="Times New Roman" w:hAnsi="Times New Roman" w:cs="Times New Roman"/>
        </w:rPr>
        <w:t>Hecho del Caso No. 25</w:t>
      </w:r>
      <w:r w:rsidR="003E57FF">
        <w:rPr>
          <w:rFonts w:ascii="Times New Roman" w:hAnsi="Times New Roman" w:cs="Times New Roman"/>
        </w:rPr>
        <w:t>.</w:t>
      </w:r>
    </w:p>
  </w:footnote>
  <w:footnote w:id="57">
    <w:p w:rsidR="00131F4B" w:rsidRPr="00E701A0" w:rsidRDefault="00131F4B" w:rsidP="00E701A0">
      <w:pPr>
        <w:pStyle w:val="FootnoteText"/>
        <w:jc w:val="both"/>
        <w:rPr>
          <w:rFonts w:ascii="Times New Roman" w:hAnsi="Times New Roman" w:cs="Times New Roman"/>
        </w:rPr>
      </w:pPr>
      <w:r w:rsidRPr="00E701A0">
        <w:rPr>
          <w:rStyle w:val="FootnoteReference"/>
          <w:rFonts w:ascii="Times New Roman" w:hAnsi="Times New Roman" w:cs="Times New Roman"/>
        </w:rPr>
        <w:footnoteRef/>
      </w:r>
      <w:r w:rsidR="003E57FF">
        <w:rPr>
          <w:rFonts w:ascii="Times New Roman" w:hAnsi="Times New Roman" w:cs="Times New Roman"/>
          <w:i/>
        </w:rPr>
        <w:t xml:space="preserve"> </w:t>
      </w:r>
      <w:r w:rsidRPr="00E701A0">
        <w:rPr>
          <w:rFonts w:ascii="Times New Roman" w:hAnsi="Times New Roman" w:cs="Times New Roman"/>
          <w:i/>
        </w:rPr>
        <w:t xml:space="preserve">Cfr. </w:t>
      </w:r>
      <w:r w:rsidRPr="00E701A0">
        <w:rPr>
          <w:rFonts w:ascii="Times New Roman" w:hAnsi="Times New Roman" w:cs="Times New Roman"/>
        </w:rPr>
        <w:t xml:space="preserve">CIDH. </w:t>
      </w:r>
      <w:r w:rsidRPr="00E701A0">
        <w:rPr>
          <w:rFonts w:ascii="Times New Roman" w:hAnsi="Times New Roman" w:cs="Times New Roman"/>
          <w:bCs/>
        </w:rPr>
        <w:t>Principios para la protección de los enfermos mentales y el mejoramiento de la atención de la salud mental. Relatoría sobre los derechos de las personas privadas de la Libertad en las Américas. Resolución 46/119. 17 de diciembre 1991.</w:t>
      </w:r>
    </w:p>
  </w:footnote>
  <w:footnote w:id="58">
    <w:p w:rsidR="00131F4B" w:rsidRPr="00E701A0" w:rsidRDefault="00131F4B" w:rsidP="00E701A0">
      <w:pPr>
        <w:pStyle w:val="FootnoteText"/>
        <w:jc w:val="both"/>
        <w:rPr>
          <w:rFonts w:ascii="Times New Roman" w:hAnsi="Times New Roman" w:cs="Times New Roman"/>
        </w:rPr>
      </w:pPr>
      <w:r w:rsidRPr="00E701A0">
        <w:rPr>
          <w:rStyle w:val="FootnoteReference"/>
          <w:rFonts w:ascii="Times New Roman" w:hAnsi="Times New Roman" w:cs="Times New Roman"/>
        </w:rPr>
        <w:footnoteRef/>
      </w:r>
      <w:r w:rsidR="003E57FF">
        <w:rPr>
          <w:rFonts w:ascii="Times New Roman" w:eastAsia="Calibri" w:hAnsi="Times New Roman" w:cs="Times New Roman"/>
        </w:rPr>
        <w:t xml:space="preserve"> </w:t>
      </w:r>
      <w:r w:rsidRPr="00E701A0">
        <w:rPr>
          <w:rFonts w:ascii="Times New Roman" w:eastAsia="Calibri" w:hAnsi="Times New Roman" w:cs="Times New Roman"/>
        </w:rPr>
        <w:t>Corte</w:t>
      </w:r>
      <w:r w:rsidRPr="00E701A0">
        <w:rPr>
          <w:rFonts w:ascii="Times New Roman" w:hAnsi="Times New Roman" w:cs="Times New Roman"/>
        </w:rPr>
        <w:t xml:space="preserve"> IDH. Caso Ximenes Lopes Vs. Brasil. Sentencia de 4</w:t>
      </w:r>
      <w:r w:rsidRPr="00E701A0">
        <w:rPr>
          <w:rFonts w:ascii="Times New Roman" w:eastAsia="Calibri" w:hAnsi="Times New Roman" w:cs="Times New Roman"/>
        </w:rPr>
        <w:t xml:space="preserve"> de </w:t>
      </w:r>
      <w:r w:rsidRPr="00E701A0">
        <w:rPr>
          <w:rFonts w:ascii="Times New Roman" w:hAnsi="Times New Roman" w:cs="Times New Roman"/>
        </w:rPr>
        <w:t>julio de 2006. Serie C No. 149, párr. 130</w:t>
      </w:r>
      <w:r w:rsidR="003E57FF">
        <w:rPr>
          <w:rFonts w:ascii="Times New Roman" w:hAnsi="Times New Roman" w:cs="Times New Roman"/>
        </w:rPr>
        <w:t>.</w:t>
      </w:r>
    </w:p>
  </w:footnote>
  <w:footnote w:id="59">
    <w:p w:rsidR="00131F4B" w:rsidRPr="00E701A0" w:rsidRDefault="00131F4B" w:rsidP="00E701A0">
      <w:pPr>
        <w:pStyle w:val="FootnoteText"/>
        <w:jc w:val="both"/>
        <w:rPr>
          <w:rFonts w:ascii="Times New Roman" w:hAnsi="Times New Roman" w:cs="Times New Roman"/>
        </w:rPr>
      </w:pPr>
      <w:r w:rsidRPr="00E701A0">
        <w:rPr>
          <w:rStyle w:val="FootnoteReference"/>
          <w:rFonts w:ascii="Times New Roman" w:hAnsi="Times New Roman" w:cs="Times New Roman"/>
        </w:rPr>
        <w:footnoteRef/>
      </w:r>
      <w:r w:rsidR="003E57FF">
        <w:rPr>
          <w:rFonts w:ascii="Times New Roman" w:hAnsi="Times New Roman" w:cs="Times New Roman"/>
        </w:rPr>
        <w:t xml:space="preserve"> </w:t>
      </w:r>
      <w:r w:rsidRPr="00E701A0">
        <w:rPr>
          <w:rFonts w:ascii="Times New Roman" w:hAnsi="Times New Roman" w:cs="Times New Roman"/>
        </w:rPr>
        <w:t>Hecho del Caso No. 25. Respuesta Aclaratoria 6</w:t>
      </w:r>
      <w:r w:rsidR="003E57FF">
        <w:rPr>
          <w:rFonts w:ascii="Times New Roman" w:hAnsi="Times New Roman" w:cs="Times New Roman"/>
        </w:rPr>
        <w:t>.</w:t>
      </w:r>
    </w:p>
  </w:footnote>
  <w:footnote w:id="60">
    <w:p w:rsidR="00131F4B" w:rsidRPr="00E701A0" w:rsidRDefault="00131F4B" w:rsidP="00E701A0">
      <w:pPr>
        <w:pStyle w:val="FootnoteText"/>
        <w:jc w:val="both"/>
        <w:rPr>
          <w:rFonts w:ascii="Times New Roman" w:hAnsi="Times New Roman" w:cs="Times New Roman"/>
        </w:rPr>
      </w:pPr>
      <w:r w:rsidRPr="00E701A0">
        <w:rPr>
          <w:rStyle w:val="FootnoteReference"/>
          <w:rFonts w:ascii="Times New Roman" w:hAnsi="Times New Roman" w:cs="Times New Roman"/>
        </w:rPr>
        <w:footnoteRef/>
      </w:r>
      <w:r w:rsidR="003E57FF">
        <w:rPr>
          <w:rFonts w:ascii="Times New Roman" w:hAnsi="Times New Roman" w:cs="Times New Roman"/>
          <w:i/>
        </w:rPr>
        <w:t xml:space="preserve"> </w:t>
      </w:r>
      <w:r w:rsidRPr="00E701A0">
        <w:rPr>
          <w:rFonts w:ascii="Times New Roman" w:hAnsi="Times New Roman" w:cs="Times New Roman"/>
          <w:i/>
        </w:rPr>
        <w:t xml:space="preserve">Cfr. </w:t>
      </w:r>
      <w:r w:rsidRPr="00E701A0">
        <w:rPr>
          <w:rFonts w:ascii="Times New Roman" w:hAnsi="Times New Roman" w:cs="Times New Roman"/>
        </w:rPr>
        <w:t xml:space="preserve">CIDH. </w:t>
      </w:r>
      <w:r w:rsidRPr="00E701A0">
        <w:rPr>
          <w:rFonts w:ascii="Times New Roman" w:hAnsi="Times New Roman" w:cs="Times New Roman"/>
          <w:bCs/>
        </w:rPr>
        <w:t>Principios para la protección de los enfermos mentales y el mejoramiento de la atención de la salud mental. Relatoría sobre los derechos de las personas privadas de la Libertad en las Américas. Resolución 46/119. 17 de diciembre 1991. Principio 11, párr. 2</w:t>
      </w:r>
      <w:r w:rsidR="003E57FF">
        <w:rPr>
          <w:rFonts w:ascii="Times New Roman" w:hAnsi="Times New Roman" w:cs="Times New Roman"/>
          <w:bCs/>
        </w:rPr>
        <w:t>.</w:t>
      </w:r>
    </w:p>
  </w:footnote>
  <w:footnote w:id="61">
    <w:p w:rsidR="00131F4B" w:rsidRPr="00E701A0" w:rsidRDefault="00131F4B" w:rsidP="00E701A0">
      <w:pPr>
        <w:pStyle w:val="FootnoteText"/>
        <w:jc w:val="both"/>
        <w:rPr>
          <w:rFonts w:ascii="Times New Roman" w:hAnsi="Times New Roman" w:cs="Times New Roman"/>
        </w:rPr>
      </w:pPr>
      <w:r w:rsidRPr="00E701A0">
        <w:rPr>
          <w:rStyle w:val="FootnoteReference"/>
          <w:rFonts w:ascii="Times New Roman" w:hAnsi="Times New Roman" w:cs="Times New Roman"/>
        </w:rPr>
        <w:footnoteRef/>
      </w:r>
      <w:r w:rsidRPr="00E701A0">
        <w:rPr>
          <w:rFonts w:ascii="Times New Roman" w:hAnsi="Times New Roman" w:cs="Times New Roman"/>
        </w:rPr>
        <w:t xml:space="preserve"> Hecho del Caso No. 25</w:t>
      </w:r>
      <w:r w:rsidR="003E57FF">
        <w:rPr>
          <w:rFonts w:ascii="Times New Roman" w:hAnsi="Times New Roman" w:cs="Times New Roman"/>
        </w:rPr>
        <w:t>.</w:t>
      </w:r>
    </w:p>
  </w:footnote>
  <w:footnote w:id="62">
    <w:p w:rsidR="00131F4B" w:rsidRPr="00E701A0" w:rsidRDefault="00131F4B" w:rsidP="00E701A0">
      <w:pPr>
        <w:pStyle w:val="FootnoteText"/>
        <w:jc w:val="both"/>
        <w:rPr>
          <w:rFonts w:ascii="Times New Roman" w:hAnsi="Times New Roman" w:cs="Times New Roman"/>
        </w:rPr>
      </w:pPr>
      <w:r w:rsidRPr="00E701A0">
        <w:rPr>
          <w:rStyle w:val="FootnoteReference"/>
          <w:rFonts w:ascii="Times New Roman" w:hAnsi="Times New Roman" w:cs="Times New Roman"/>
        </w:rPr>
        <w:footnoteRef/>
      </w:r>
      <w:r w:rsidRPr="00E701A0">
        <w:rPr>
          <w:rFonts w:ascii="Times New Roman" w:hAnsi="Times New Roman" w:cs="Times New Roman"/>
        </w:rPr>
        <w:t xml:space="preserve"> </w:t>
      </w:r>
      <w:r w:rsidRPr="00E701A0">
        <w:rPr>
          <w:rFonts w:ascii="Times New Roman" w:hAnsi="Times New Roman" w:cs="Times New Roman"/>
          <w:i/>
        </w:rPr>
        <w:t xml:space="preserve">Cfr. </w:t>
      </w:r>
      <w:r w:rsidRPr="00E701A0">
        <w:rPr>
          <w:rFonts w:ascii="Times New Roman" w:hAnsi="Times New Roman" w:cs="Times New Roman"/>
        </w:rPr>
        <w:t>TEDH. Caso Messina Vs. Italia, (No. 25498/94), Sentencia de 8 de junio de 1999, párr. 47</w:t>
      </w:r>
      <w:r w:rsidR="003E57FF">
        <w:rPr>
          <w:rFonts w:ascii="Times New Roman" w:hAnsi="Times New Roman" w:cs="Times New Roman"/>
        </w:rPr>
        <w:t>.</w:t>
      </w:r>
    </w:p>
  </w:footnote>
  <w:footnote w:id="63">
    <w:p w:rsidR="00131F4B" w:rsidRPr="00E701A0" w:rsidRDefault="00131F4B" w:rsidP="00E701A0">
      <w:pPr>
        <w:pStyle w:val="FootnoteText"/>
        <w:jc w:val="both"/>
        <w:rPr>
          <w:rFonts w:ascii="Times New Roman" w:hAnsi="Times New Roman" w:cs="Times New Roman"/>
        </w:rPr>
      </w:pPr>
      <w:r w:rsidRPr="00E701A0">
        <w:rPr>
          <w:rStyle w:val="FootnoteReference"/>
          <w:rFonts w:ascii="Times New Roman" w:hAnsi="Times New Roman" w:cs="Times New Roman"/>
        </w:rPr>
        <w:footnoteRef/>
      </w:r>
      <w:r w:rsidR="003E57FF">
        <w:rPr>
          <w:rFonts w:ascii="Times New Roman" w:eastAsia="Calibri" w:hAnsi="Times New Roman" w:cs="Times New Roman"/>
        </w:rPr>
        <w:t xml:space="preserve"> </w:t>
      </w:r>
      <w:r w:rsidRPr="00E701A0">
        <w:rPr>
          <w:rFonts w:ascii="Times New Roman" w:eastAsia="Calibri" w:hAnsi="Times New Roman" w:cs="Times New Roman"/>
        </w:rPr>
        <w:t>Corte</w:t>
      </w:r>
      <w:r w:rsidRPr="00E701A0">
        <w:rPr>
          <w:rFonts w:ascii="Times New Roman" w:hAnsi="Times New Roman" w:cs="Times New Roman"/>
        </w:rPr>
        <w:t xml:space="preserve"> IDH. Caso Montero Aranguren Vs. Venezuela. Excepción Preliminar, Fondo, Reparaciones y Costas Sentencia de 5</w:t>
      </w:r>
      <w:r w:rsidRPr="00E701A0">
        <w:rPr>
          <w:rFonts w:ascii="Times New Roman" w:eastAsia="Calibri" w:hAnsi="Times New Roman" w:cs="Times New Roman"/>
        </w:rPr>
        <w:t xml:space="preserve"> de </w:t>
      </w:r>
      <w:r w:rsidRPr="00E701A0">
        <w:rPr>
          <w:rFonts w:ascii="Times New Roman" w:hAnsi="Times New Roman" w:cs="Times New Roman"/>
        </w:rPr>
        <w:t>julio de 2006. Serie C No. 150, párr. 94; TEDH. Caso Mathew Vs. Países Bajos, (No. 24919/03). Sentencia de 29 de septiembre de 2005,  párr. 199</w:t>
      </w:r>
      <w:r w:rsidR="003E57FF">
        <w:rPr>
          <w:rFonts w:ascii="Times New Roman" w:hAnsi="Times New Roman" w:cs="Times New Roman"/>
        </w:rPr>
        <w:t>.</w:t>
      </w:r>
    </w:p>
  </w:footnote>
  <w:footnote w:id="64">
    <w:p w:rsidR="00131F4B" w:rsidRPr="00E701A0" w:rsidRDefault="00131F4B" w:rsidP="00E701A0">
      <w:pPr>
        <w:pStyle w:val="FootnoteText"/>
        <w:jc w:val="both"/>
        <w:rPr>
          <w:rFonts w:ascii="Times New Roman" w:hAnsi="Times New Roman" w:cs="Times New Roman"/>
        </w:rPr>
      </w:pPr>
      <w:r w:rsidRPr="00E701A0">
        <w:rPr>
          <w:rStyle w:val="FootnoteReference"/>
          <w:rFonts w:ascii="Times New Roman" w:hAnsi="Times New Roman" w:cs="Times New Roman"/>
        </w:rPr>
        <w:footnoteRef/>
      </w:r>
      <w:r w:rsidR="003E57FF">
        <w:rPr>
          <w:rFonts w:ascii="Times New Roman" w:hAnsi="Times New Roman" w:cs="Times New Roman"/>
        </w:rPr>
        <w:t xml:space="preserve"> </w:t>
      </w:r>
      <w:r w:rsidRPr="00E701A0">
        <w:rPr>
          <w:rFonts w:ascii="Times New Roman" w:hAnsi="Times New Roman" w:cs="Times New Roman"/>
        </w:rPr>
        <w:t>ONU, Informe provisional del Relator Especial sobre  la cuestión de la tortura y otros tratos o penas crueles, inhumanos o degradantes. A/63/175. 28 de julio de 2008, párr. 77; ONU, Declaración de Estambul sobre la utilización y los efectos de la reclusión en régimen de aislamiento. 9 de diciembre de 2007</w:t>
      </w:r>
      <w:r w:rsidR="003E57FF">
        <w:rPr>
          <w:rFonts w:ascii="Times New Roman" w:hAnsi="Times New Roman" w:cs="Times New Roman"/>
        </w:rPr>
        <w:t>.</w:t>
      </w:r>
    </w:p>
  </w:footnote>
  <w:footnote w:id="65">
    <w:p w:rsidR="00131F4B" w:rsidRPr="00E701A0" w:rsidRDefault="00131F4B" w:rsidP="00E701A0">
      <w:pPr>
        <w:pStyle w:val="FootnoteText"/>
        <w:jc w:val="both"/>
        <w:rPr>
          <w:rFonts w:ascii="Times New Roman" w:hAnsi="Times New Roman" w:cs="Times New Roman"/>
        </w:rPr>
      </w:pPr>
      <w:r w:rsidRPr="00E701A0">
        <w:rPr>
          <w:rStyle w:val="FootnoteReference"/>
          <w:rFonts w:ascii="Times New Roman" w:hAnsi="Times New Roman" w:cs="Times New Roman"/>
        </w:rPr>
        <w:footnoteRef/>
      </w:r>
      <w:r w:rsidRPr="00E701A0">
        <w:rPr>
          <w:rFonts w:ascii="Times New Roman" w:hAnsi="Times New Roman" w:cs="Times New Roman"/>
        </w:rPr>
        <w:t xml:space="preserve"> CIDH. Caso Víctor Rosario Congo Vs Ecuador </w:t>
      </w:r>
      <w:r w:rsidRPr="00E701A0">
        <w:rPr>
          <w:rFonts w:ascii="Times New Roman" w:hAnsi="Times New Roman" w:cs="Times New Roman"/>
          <w:color w:val="000000"/>
          <w:spacing w:val="-2"/>
        </w:rPr>
        <w:t xml:space="preserve">Caso 11.427. </w:t>
      </w:r>
      <w:r w:rsidRPr="00E701A0">
        <w:rPr>
          <w:rFonts w:ascii="Times New Roman" w:hAnsi="Times New Roman" w:cs="Times New Roman"/>
          <w:bCs/>
          <w:color w:val="000000"/>
          <w:spacing w:val="-2"/>
          <w:lang w:val="es-ES_tradnl"/>
        </w:rPr>
        <w:t xml:space="preserve">Informe Nº 63/99. </w:t>
      </w:r>
      <w:r w:rsidRPr="00E701A0">
        <w:rPr>
          <w:rFonts w:ascii="Times New Roman" w:hAnsi="Times New Roman" w:cs="Times New Roman"/>
          <w:color w:val="000000"/>
          <w:spacing w:val="-2"/>
        </w:rPr>
        <w:t>13</w:t>
      </w:r>
      <w:r w:rsidRPr="00E701A0">
        <w:rPr>
          <w:rStyle w:val="apple-converted-space"/>
          <w:rFonts w:ascii="Times New Roman" w:hAnsi="Times New Roman" w:cs="Times New Roman"/>
          <w:color w:val="000000"/>
          <w:spacing w:val="-2"/>
          <w:lang w:val="es-ES_tradnl"/>
        </w:rPr>
        <w:t xml:space="preserve"> </w:t>
      </w:r>
      <w:r w:rsidRPr="00E701A0">
        <w:rPr>
          <w:rFonts w:ascii="Times New Roman" w:hAnsi="Times New Roman" w:cs="Times New Roman"/>
          <w:color w:val="000000"/>
          <w:spacing w:val="-2"/>
          <w:lang w:val="es-ES_tradnl"/>
        </w:rPr>
        <w:t>de</w:t>
      </w:r>
      <w:r w:rsidRPr="00E701A0">
        <w:rPr>
          <w:rStyle w:val="apple-converted-space"/>
          <w:rFonts w:ascii="Times New Roman" w:hAnsi="Times New Roman" w:cs="Times New Roman"/>
          <w:color w:val="000000"/>
          <w:spacing w:val="-2"/>
          <w:lang w:val="es-ES_tradnl"/>
        </w:rPr>
        <w:t xml:space="preserve"> </w:t>
      </w:r>
      <w:r w:rsidRPr="00E701A0">
        <w:rPr>
          <w:rFonts w:ascii="Times New Roman" w:hAnsi="Times New Roman" w:cs="Times New Roman"/>
          <w:color w:val="000000"/>
          <w:spacing w:val="-2"/>
        </w:rPr>
        <w:t>abril</w:t>
      </w:r>
      <w:r w:rsidRPr="00E701A0">
        <w:rPr>
          <w:rStyle w:val="apple-converted-space"/>
          <w:rFonts w:ascii="Times New Roman" w:hAnsi="Times New Roman" w:cs="Times New Roman"/>
          <w:color w:val="000000"/>
          <w:spacing w:val="-2"/>
          <w:lang w:val="es-ES_tradnl"/>
        </w:rPr>
        <w:t xml:space="preserve"> </w:t>
      </w:r>
      <w:r w:rsidRPr="00E701A0">
        <w:rPr>
          <w:rFonts w:ascii="Times New Roman" w:hAnsi="Times New Roman" w:cs="Times New Roman"/>
          <w:color w:val="000000"/>
          <w:spacing w:val="-2"/>
          <w:lang w:val="es-ES_tradnl"/>
        </w:rPr>
        <w:t>de 1999, párr. 55</w:t>
      </w:r>
    </w:p>
  </w:footnote>
  <w:footnote w:id="66">
    <w:p w:rsidR="00131F4B" w:rsidRPr="00E701A0" w:rsidRDefault="00131F4B" w:rsidP="00E701A0">
      <w:pPr>
        <w:pStyle w:val="FootnoteText"/>
        <w:jc w:val="both"/>
        <w:rPr>
          <w:rFonts w:ascii="Times New Roman" w:hAnsi="Times New Roman" w:cs="Times New Roman"/>
        </w:rPr>
      </w:pPr>
      <w:r w:rsidRPr="00E701A0">
        <w:rPr>
          <w:rStyle w:val="FootnoteReference"/>
          <w:rFonts w:ascii="Times New Roman" w:hAnsi="Times New Roman" w:cs="Times New Roman"/>
        </w:rPr>
        <w:footnoteRef/>
      </w:r>
      <w:r w:rsidR="003E57FF">
        <w:rPr>
          <w:rFonts w:ascii="Times New Roman" w:hAnsi="Times New Roman" w:cs="Times New Roman"/>
          <w:i/>
        </w:rPr>
        <w:t xml:space="preserve"> </w:t>
      </w:r>
      <w:r w:rsidRPr="00E701A0">
        <w:rPr>
          <w:rFonts w:ascii="Times New Roman" w:hAnsi="Times New Roman" w:cs="Times New Roman"/>
          <w:i/>
        </w:rPr>
        <w:t xml:space="preserve">Cfr. </w:t>
      </w:r>
      <w:r w:rsidRPr="00E701A0">
        <w:rPr>
          <w:rFonts w:ascii="Times New Roman" w:hAnsi="Times New Roman" w:cs="Times New Roman"/>
        </w:rPr>
        <w:t xml:space="preserve">ONU, Informe del Comité contra la Tortura sobre Turquía, Naciones Unidas, Cuadragésimo octavo </w:t>
      </w:r>
    </w:p>
    <w:p w:rsidR="00131F4B" w:rsidRPr="00E701A0" w:rsidRDefault="00131F4B" w:rsidP="00E701A0">
      <w:pPr>
        <w:pStyle w:val="FootnoteText"/>
        <w:jc w:val="both"/>
        <w:rPr>
          <w:rFonts w:ascii="Times New Roman" w:hAnsi="Times New Roman" w:cs="Times New Roman"/>
        </w:rPr>
      </w:pPr>
      <w:r w:rsidRPr="00E701A0">
        <w:rPr>
          <w:rFonts w:ascii="Times New Roman" w:hAnsi="Times New Roman" w:cs="Times New Roman"/>
        </w:rPr>
        <w:t>Periodo de Sesiones, (A/48/44/Add.1), 1994, párr. 52.</w:t>
      </w:r>
    </w:p>
  </w:footnote>
  <w:footnote w:id="67">
    <w:p w:rsidR="00131F4B" w:rsidRPr="00E701A0" w:rsidRDefault="00131F4B" w:rsidP="00E701A0">
      <w:pPr>
        <w:pStyle w:val="FootnoteText"/>
        <w:jc w:val="both"/>
        <w:rPr>
          <w:rFonts w:ascii="Times New Roman" w:hAnsi="Times New Roman" w:cs="Times New Roman"/>
        </w:rPr>
      </w:pPr>
      <w:r w:rsidRPr="00E701A0">
        <w:rPr>
          <w:rStyle w:val="FootnoteReference"/>
          <w:rFonts w:ascii="Times New Roman" w:hAnsi="Times New Roman" w:cs="Times New Roman"/>
        </w:rPr>
        <w:footnoteRef/>
      </w:r>
      <w:r w:rsidR="003E57FF">
        <w:rPr>
          <w:rFonts w:ascii="Times New Roman" w:hAnsi="Times New Roman" w:cs="Times New Roman"/>
          <w:i/>
        </w:rPr>
        <w:t xml:space="preserve"> </w:t>
      </w:r>
      <w:r w:rsidRPr="00E701A0">
        <w:rPr>
          <w:rFonts w:ascii="Times New Roman" w:hAnsi="Times New Roman" w:cs="Times New Roman"/>
          <w:i/>
        </w:rPr>
        <w:t xml:space="preserve">Cfr. </w:t>
      </w:r>
      <w:r w:rsidRPr="00E701A0">
        <w:rPr>
          <w:rFonts w:ascii="Times New Roman" w:hAnsi="Times New Roman" w:cs="Times New Roman"/>
        </w:rPr>
        <w:t>Corte IDH. Caso Valle Jaramillo y otros Vs. Colombia. Fondo, Reparaciones y Costas. Sentencia de 27 de noviembre de 2008. Serie C No. 192, párr. 100; Corte IDH. Caso Velásquez Rodríguez Vs Honduras. Fondo. Sentencia de 29 de julio de 1988. Serie C No. 4, párr. 177; Corte IDH. Caso Heliodoro Portugal Vs. Panamá. Excepciones Preliminares, Fondo, Reparaciones y Costas. Sentencia de 12 de agosto de 2008. Serie C No. 186, párr. 144</w:t>
      </w:r>
      <w:r w:rsidR="003E57FF">
        <w:rPr>
          <w:rFonts w:ascii="Times New Roman" w:hAnsi="Times New Roman" w:cs="Times New Roman"/>
        </w:rPr>
        <w:t>.</w:t>
      </w:r>
    </w:p>
  </w:footnote>
  <w:footnote w:id="68">
    <w:p w:rsidR="00131F4B" w:rsidRPr="00E701A0" w:rsidRDefault="00131F4B" w:rsidP="00E701A0">
      <w:pPr>
        <w:pStyle w:val="FootnoteText"/>
        <w:jc w:val="both"/>
        <w:rPr>
          <w:rFonts w:ascii="Times New Roman" w:hAnsi="Times New Roman" w:cs="Times New Roman"/>
        </w:rPr>
      </w:pPr>
      <w:r w:rsidRPr="00E701A0">
        <w:rPr>
          <w:rStyle w:val="FootnoteReference"/>
          <w:rFonts w:ascii="Times New Roman" w:hAnsi="Times New Roman" w:cs="Times New Roman"/>
        </w:rPr>
        <w:footnoteRef/>
      </w:r>
      <w:r w:rsidR="003E57FF">
        <w:rPr>
          <w:rFonts w:ascii="Times New Roman" w:hAnsi="Times New Roman" w:cs="Times New Roman"/>
          <w:i/>
        </w:rPr>
        <w:t xml:space="preserve"> </w:t>
      </w:r>
      <w:r w:rsidRPr="00E701A0">
        <w:rPr>
          <w:rFonts w:ascii="Times New Roman" w:hAnsi="Times New Roman" w:cs="Times New Roman"/>
          <w:i/>
        </w:rPr>
        <w:t xml:space="preserve">Cfr. </w:t>
      </w:r>
      <w:r w:rsidRPr="00E701A0">
        <w:rPr>
          <w:rFonts w:ascii="Times New Roman" w:hAnsi="Times New Roman" w:cs="Times New Roman"/>
        </w:rPr>
        <w:t>Hecho del Caso No. 34. Respuesta Aclaratoria 16.</w:t>
      </w:r>
    </w:p>
  </w:footnote>
  <w:footnote w:id="69">
    <w:p w:rsidR="00131F4B" w:rsidRPr="00E701A0" w:rsidRDefault="00131F4B" w:rsidP="00E701A0">
      <w:pPr>
        <w:pStyle w:val="FootnoteText"/>
        <w:jc w:val="both"/>
        <w:rPr>
          <w:rFonts w:ascii="Times New Roman" w:hAnsi="Times New Roman" w:cs="Times New Roman"/>
        </w:rPr>
      </w:pPr>
      <w:r w:rsidRPr="00E701A0">
        <w:rPr>
          <w:rStyle w:val="FootnoteReference"/>
          <w:rFonts w:ascii="Times New Roman" w:hAnsi="Times New Roman" w:cs="Times New Roman"/>
        </w:rPr>
        <w:footnoteRef/>
      </w:r>
      <w:r w:rsidR="003E57FF">
        <w:rPr>
          <w:rFonts w:ascii="Times New Roman" w:hAnsi="Times New Roman" w:cs="Times New Roman"/>
        </w:rPr>
        <w:t xml:space="preserve"> </w:t>
      </w:r>
      <w:r w:rsidRPr="00E701A0">
        <w:rPr>
          <w:rFonts w:ascii="Times New Roman" w:hAnsi="Times New Roman" w:cs="Times New Roman"/>
        </w:rPr>
        <w:t>Corte IDH. Caso Escher y otros Vs. Brasil. Excepciones Preliminares, Fondo, Reparaciones y Costas. Sentencia de 6 de julio de 2009. Serie C. No. 199, párr. 117; Caso Gonzáles y otras (Campo algodonero) Vs. México. Excepción preliminar, Fondo, Reparaciones y Costas. Sentencia de 16 de noviembre de 2009, Serie C. No. 205 párr. 444</w:t>
      </w:r>
      <w:r w:rsidR="003E57FF">
        <w:rPr>
          <w:rFonts w:ascii="Times New Roman" w:hAnsi="Times New Roman" w:cs="Times New Roman"/>
        </w:rPr>
        <w:t>.</w:t>
      </w:r>
    </w:p>
  </w:footnote>
  <w:footnote w:id="70">
    <w:p w:rsidR="00131F4B" w:rsidRPr="00E701A0" w:rsidRDefault="00131F4B" w:rsidP="00E701A0">
      <w:pPr>
        <w:pStyle w:val="FootnoteText"/>
        <w:jc w:val="both"/>
        <w:rPr>
          <w:rFonts w:ascii="Times New Roman" w:hAnsi="Times New Roman" w:cs="Times New Roman"/>
        </w:rPr>
      </w:pPr>
      <w:r w:rsidRPr="00E701A0">
        <w:rPr>
          <w:rStyle w:val="FootnoteReference"/>
          <w:rFonts w:ascii="Times New Roman" w:hAnsi="Times New Roman" w:cs="Times New Roman"/>
        </w:rPr>
        <w:footnoteRef/>
      </w:r>
      <w:r w:rsidR="003E57FF">
        <w:rPr>
          <w:rFonts w:ascii="Times New Roman" w:hAnsi="Times New Roman" w:cs="Times New Roman"/>
        </w:rPr>
        <w:t xml:space="preserve"> </w:t>
      </w:r>
      <w:r w:rsidRPr="00E701A0">
        <w:rPr>
          <w:rFonts w:ascii="Times New Roman" w:hAnsi="Times New Roman" w:cs="Times New Roman"/>
        </w:rPr>
        <w:t>Corte IDH. Caso Rosendo Cantú y otras Vs. México. Excepción Preliminar, Fondo, Reparaciones y Costas. Sentencia de 31 de agosto de 20</w:t>
      </w:r>
      <w:r w:rsidR="003E57FF">
        <w:rPr>
          <w:rFonts w:ascii="Times New Roman" w:hAnsi="Times New Roman" w:cs="Times New Roman"/>
        </w:rPr>
        <w:t>10. Serie C No. 216, párr. 119.</w:t>
      </w:r>
    </w:p>
  </w:footnote>
  <w:footnote w:id="71">
    <w:p w:rsidR="00131F4B" w:rsidRPr="00E701A0" w:rsidRDefault="00131F4B" w:rsidP="00E701A0">
      <w:pPr>
        <w:pStyle w:val="FootnoteText"/>
        <w:jc w:val="both"/>
        <w:rPr>
          <w:rFonts w:ascii="Times New Roman" w:hAnsi="Times New Roman" w:cs="Times New Roman"/>
        </w:rPr>
      </w:pPr>
      <w:r w:rsidRPr="00E701A0">
        <w:rPr>
          <w:rStyle w:val="FootnoteReference"/>
          <w:rFonts w:ascii="Times New Roman" w:hAnsi="Times New Roman" w:cs="Times New Roman"/>
        </w:rPr>
        <w:footnoteRef/>
      </w:r>
      <w:r w:rsidR="003E57FF">
        <w:rPr>
          <w:rFonts w:ascii="Times New Roman" w:hAnsi="Times New Roman" w:cs="Times New Roman"/>
        </w:rPr>
        <w:t xml:space="preserve"> </w:t>
      </w:r>
      <w:r w:rsidRPr="00E701A0">
        <w:rPr>
          <w:rFonts w:ascii="Times New Roman" w:hAnsi="Times New Roman" w:cs="Times New Roman"/>
        </w:rPr>
        <w:t>Corte IDH. Caso Fontevecchia y D’Amico vs. Argentina. Fondo, Reparaciones y Costas. Sentencia de 29 de Noviembre de 2011. Serie C No. 238, párr. 71; Caso Escher y otros Vs. Brasil. Excepciones Preliminares, Fondo, Reparaciones y Costas. Sentencia de 6 de julio de 2009. Serie C No. 199, párr. 117.</w:t>
      </w:r>
    </w:p>
  </w:footnote>
  <w:footnote w:id="72">
    <w:p w:rsidR="00131F4B" w:rsidRPr="00E701A0" w:rsidRDefault="00131F4B" w:rsidP="00E701A0">
      <w:pPr>
        <w:pStyle w:val="FootnoteText"/>
        <w:jc w:val="both"/>
        <w:rPr>
          <w:rFonts w:ascii="Times New Roman" w:hAnsi="Times New Roman" w:cs="Times New Roman"/>
        </w:rPr>
      </w:pPr>
      <w:r w:rsidRPr="00E701A0">
        <w:rPr>
          <w:rStyle w:val="FootnoteReference"/>
          <w:rFonts w:ascii="Times New Roman" w:hAnsi="Times New Roman" w:cs="Times New Roman"/>
        </w:rPr>
        <w:footnoteRef/>
      </w:r>
      <w:r w:rsidR="003E57FF">
        <w:rPr>
          <w:rFonts w:ascii="Times New Roman" w:hAnsi="Times New Roman" w:cs="Times New Roman"/>
        </w:rPr>
        <w:t xml:space="preserve"> </w:t>
      </w:r>
      <w:r w:rsidRPr="00E701A0">
        <w:rPr>
          <w:rFonts w:ascii="Times New Roman" w:hAnsi="Times New Roman" w:cs="Times New Roman"/>
        </w:rPr>
        <w:t>Hecho del Caso No. 18</w:t>
      </w:r>
      <w:r w:rsidR="003E57FF">
        <w:rPr>
          <w:rFonts w:ascii="Times New Roman" w:hAnsi="Times New Roman" w:cs="Times New Roman"/>
        </w:rPr>
        <w:t>.</w:t>
      </w:r>
    </w:p>
  </w:footnote>
  <w:footnote w:id="73">
    <w:p w:rsidR="00131F4B" w:rsidRPr="00E701A0" w:rsidRDefault="00131F4B" w:rsidP="00E701A0">
      <w:pPr>
        <w:pStyle w:val="FootnoteText"/>
        <w:jc w:val="both"/>
        <w:rPr>
          <w:rFonts w:ascii="Times New Roman" w:hAnsi="Times New Roman" w:cs="Times New Roman"/>
        </w:rPr>
      </w:pPr>
      <w:r w:rsidRPr="00E701A0">
        <w:rPr>
          <w:rStyle w:val="FootnoteReference"/>
          <w:rFonts w:ascii="Times New Roman" w:hAnsi="Times New Roman" w:cs="Times New Roman"/>
        </w:rPr>
        <w:footnoteRef/>
      </w:r>
      <w:r w:rsidR="003E57FF">
        <w:rPr>
          <w:rFonts w:ascii="Times New Roman" w:hAnsi="Times New Roman" w:cs="Times New Roman"/>
          <w:i/>
        </w:rPr>
        <w:t xml:space="preserve"> </w:t>
      </w:r>
      <w:r w:rsidRPr="00E701A0">
        <w:rPr>
          <w:rFonts w:ascii="Times New Roman" w:hAnsi="Times New Roman" w:cs="Times New Roman"/>
          <w:i/>
        </w:rPr>
        <w:t xml:space="preserve">Cfr. </w:t>
      </w:r>
      <w:r w:rsidRPr="00E701A0">
        <w:rPr>
          <w:rFonts w:ascii="Times New Roman" w:hAnsi="Times New Roman" w:cs="Times New Roman"/>
        </w:rPr>
        <w:t>Corte IDH. Caso Artavia Murillo y otros (“Fertilización In vitro”) Vs. Costa Rica. Excepciones Preliminares, Fondo, Reparaciones y Costas. Sentencia 28 de noviembre de 2012. Serie C No. 257.</w:t>
      </w:r>
    </w:p>
  </w:footnote>
  <w:footnote w:id="74">
    <w:p w:rsidR="00131F4B" w:rsidRPr="00E701A0" w:rsidRDefault="00131F4B" w:rsidP="00E701A0">
      <w:pPr>
        <w:pStyle w:val="FootnoteText"/>
        <w:jc w:val="both"/>
        <w:rPr>
          <w:rFonts w:ascii="Times New Roman" w:hAnsi="Times New Roman" w:cs="Times New Roman"/>
        </w:rPr>
      </w:pPr>
      <w:r w:rsidRPr="00E701A0">
        <w:rPr>
          <w:rStyle w:val="FootnoteReference"/>
          <w:rFonts w:ascii="Times New Roman" w:hAnsi="Times New Roman" w:cs="Times New Roman"/>
        </w:rPr>
        <w:footnoteRef/>
      </w:r>
      <w:r w:rsidR="003E57FF">
        <w:rPr>
          <w:rFonts w:ascii="Times New Roman" w:hAnsi="Times New Roman" w:cs="Times New Roman"/>
        </w:rPr>
        <w:t xml:space="preserve"> </w:t>
      </w:r>
      <w:r w:rsidRPr="00E701A0">
        <w:rPr>
          <w:rFonts w:ascii="Times New Roman" w:hAnsi="Times New Roman" w:cs="Times New Roman"/>
        </w:rPr>
        <w:t>Hecho del Caso No. 5</w:t>
      </w:r>
      <w:r w:rsidR="003E57FF">
        <w:rPr>
          <w:rFonts w:ascii="Times New Roman" w:hAnsi="Times New Roman" w:cs="Times New Roman"/>
        </w:rPr>
        <w:t>.</w:t>
      </w:r>
    </w:p>
  </w:footnote>
  <w:footnote w:id="75">
    <w:p w:rsidR="00131F4B" w:rsidRPr="00E701A0" w:rsidRDefault="00131F4B" w:rsidP="00E701A0">
      <w:pPr>
        <w:pStyle w:val="FootnoteText"/>
        <w:jc w:val="both"/>
        <w:rPr>
          <w:rFonts w:ascii="Times New Roman" w:hAnsi="Times New Roman" w:cs="Times New Roman"/>
        </w:rPr>
      </w:pPr>
      <w:r w:rsidRPr="00E701A0">
        <w:rPr>
          <w:rStyle w:val="FootnoteReference"/>
          <w:rFonts w:ascii="Times New Roman" w:hAnsi="Times New Roman" w:cs="Times New Roman"/>
        </w:rPr>
        <w:footnoteRef/>
      </w:r>
      <w:r w:rsidRPr="00E701A0">
        <w:rPr>
          <w:rFonts w:ascii="Times New Roman" w:hAnsi="Times New Roman" w:cs="Times New Roman"/>
        </w:rPr>
        <w:t xml:space="preserve"> Corte IDH. Caso Mohamed Vs. Argentina. Excepciones Preliminares, Fondo, Reparaciones y Costas Sentencia de 23 de noviembre de 2012. Serie C No. 255, párr. 82 y Caso Masacre de Río Negro Vs. Guatemala. Excepción Preliminar, Fondo, Reparaciones y Costas Sentencia de 4 de septiembre de 2012. Serie C. No. 250, párr. 191.</w:t>
      </w:r>
    </w:p>
  </w:footnote>
  <w:footnote w:id="76">
    <w:p w:rsidR="00131F4B" w:rsidRPr="00E701A0" w:rsidRDefault="00131F4B" w:rsidP="00E701A0">
      <w:pPr>
        <w:pStyle w:val="FootnoteText"/>
        <w:jc w:val="both"/>
        <w:rPr>
          <w:rFonts w:ascii="Times New Roman" w:hAnsi="Times New Roman" w:cs="Times New Roman"/>
        </w:rPr>
      </w:pPr>
      <w:r w:rsidRPr="00E701A0">
        <w:rPr>
          <w:rStyle w:val="FootnoteReference"/>
          <w:rFonts w:ascii="Times New Roman" w:hAnsi="Times New Roman" w:cs="Times New Roman"/>
        </w:rPr>
        <w:footnoteRef/>
      </w:r>
      <w:r w:rsidRPr="00E701A0">
        <w:rPr>
          <w:rFonts w:ascii="Times New Roman" w:hAnsi="Times New Roman" w:cs="Times New Roman"/>
        </w:rPr>
        <w:t xml:space="preserve"> Corte IDH. Caso </w:t>
      </w:r>
      <w:r w:rsidR="00864B56" w:rsidRPr="00E701A0">
        <w:rPr>
          <w:rFonts w:ascii="Times New Roman" w:hAnsi="Times New Roman" w:cs="Times New Roman"/>
        </w:rPr>
        <w:t xml:space="preserve">Chaparro </w:t>
      </w:r>
      <w:r w:rsidRPr="00E701A0">
        <w:rPr>
          <w:rFonts w:ascii="Times New Roman" w:hAnsi="Times New Roman" w:cs="Times New Roman"/>
        </w:rPr>
        <w:t xml:space="preserve">Álvarez </w:t>
      </w:r>
      <w:r w:rsidR="00864B56" w:rsidRPr="00E701A0">
        <w:rPr>
          <w:rFonts w:ascii="Times New Roman" w:hAnsi="Times New Roman" w:cs="Times New Roman"/>
        </w:rPr>
        <w:t xml:space="preserve">y Lapo </w:t>
      </w:r>
      <w:r w:rsidRPr="00E701A0">
        <w:rPr>
          <w:rFonts w:ascii="Times New Roman" w:hAnsi="Times New Roman" w:cs="Times New Roman"/>
        </w:rPr>
        <w:t>Iñiguez Vs. Ecuador. Excepciones Preliminares, Fondo, Reparaciones y Costas Sentencia de 21 de noviembre de 2007. Serie C No. 170, párr. 54 y Caso Yvon Neptune Vs. Haití. Fondo, Reparaciones y Costas. Sentencia de 6 de mayo de 2008, Serie C No. 180, párr. 91</w:t>
      </w:r>
      <w:r w:rsidR="003E57FF">
        <w:rPr>
          <w:rFonts w:ascii="Times New Roman" w:hAnsi="Times New Roman" w:cs="Times New Roman"/>
        </w:rPr>
        <w:t>.</w:t>
      </w:r>
    </w:p>
  </w:footnote>
  <w:footnote w:id="77">
    <w:p w:rsidR="00131F4B" w:rsidRPr="00E701A0" w:rsidRDefault="00131F4B" w:rsidP="00E701A0">
      <w:pPr>
        <w:pStyle w:val="FootnoteText"/>
        <w:jc w:val="both"/>
        <w:rPr>
          <w:rFonts w:ascii="Times New Roman" w:hAnsi="Times New Roman" w:cs="Times New Roman"/>
        </w:rPr>
      </w:pPr>
      <w:r w:rsidRPr="00E701A0">
        <w:rPr>
          <w:rStyle w:val="FootnoteReference"/>
          <w:rFonts w:ascii="Times New Roman" w:hAnsi="Times New Roman" w:cs="Times New Roman"/>
        </w:rPr>
        <w:footnoteRef/>
      </w:r>
      <w:r w:rsidRPr="00E701A0">
        <w:rPr>
          <w:rFonts w:ascii="Times New Roman" w:hAnsi="Times New Roman" w:cs="Times New Roman"/>
        </w:rPr>
        <w:t xml:space="preserve"> Corte IDH. Genie Lacayo Vs. Nicaragua. Fondo, Reparaciones y Costas. Sentencia de 29 de enero de 1997, Serie C No. 30, párr. 74; CIDH. Informe anual 1997. Recomendaciones a los Estados miembros en áreas en las cuales deben adoptarse medidas para la cabal observancia de los derechos humanos. OEA/Ser.L/V/II.98 Doc. 6, 17 de febrero de 1998.</w:t>
      </w:r>
    </w:p>
  </w:footnote>
  <w:footnote w:id="78">
    <w:p w:rsidR="00131F4B" w:rsidRPr="00E701A0" w:rsidRDefault="00131F4B" w:rsidP="00E701A0">
      <w:pPr>
        <w:pStyle w:val="FootnoteText"/>
        <w:jc w:val="both"/>
        <w:rPr>
          <w:rFonts w:ascii="Times New Roman" w:hAnsi="Times New Roman" w:cs="Times New Roman"/>
        </w:rPr>
      </w:pPr>
      <w:r w:rsidRPr="00E701A0">
        <w:rPr>
          <w:rStyle w:val="FootnoteReference"/>
          <w:rFonts w:ascii="Times New Roman" w:hAnsi="Times New Roman" w:cs="Times New Roman"/>
        </w:rPr>
        <w:footnoteRef/>
      </w:r>
      <w:r w:rsidR="003E57FF">
        <w:rPr>
          <w:rFonts w:ascii="Times New Roman" w:hAnsi="Times New Roman" w:cs="Times New Roman"/>
        </w:rPr>
        <w:t xml:space="preserve"> </w:t>
      </w:r>
      <w:r w:rsidRPr="00E701A0">
        <w:rPr>
          <w:rFonts w:ascii="Times New Roman" w:hAnsi="Times New Roman" w:cs="Times New Roman"/>
        </w:rPr>
        <w:t>Corte IDH. Caso Apitz Barbera (“Corte Primera de lo Contencioso Administrativo”) Vs. Venezuela. Excepción preliminar, Fondo, Reparaciones y Costas. Sentencia de 5 de agosto de 2008. Serie C. No. 182, párr. 50.</w:t>
      </w:r>
    </w:p>
  </w:footnote>
  <w:footnote w:id="79">
    <w:p w:rsidR="00131F4B" w:rsidRPr="00E701A0" w:rsidRDefault="00131F4B" w:rsidP="00E701A0">
      <w:pPr>
        <w:pStyle w:val="FootnoteText"/>
        <w:jc w:val="both"/>
        <w:rPr>
          <w:rFonts w:ascii="Times New Roman" w:hAnsi="Times New Roman" w:cs="Times New Roman"/>
        </w:rPr>
      </w:pPr>
      <w:r w:rsidRPr="00E701A0">
        <w:rPr>
          <w:rStyle w:val="FootnoteReference"/>
          <w:rFonts w:ascii="Times New Roman" w:hAnsi="Times New Roman" w:cs="Times New Roman"/>
        </w:rPr>
        <w:footnoteRef/>
      </w:r>
      <w:r w:rsidRPr="00E701A0">
        <w:rPr>
          <w:rFonts w:ascii="Times New Roman" w:hAnsi="Times New Roman" w:cs="Times New Roman"/>
        </w:rPr>
        <w:t xml:space="preserve"> Corte IDH. Caso Reverón Trujillo Vs. Venezuela. Excepción preliminar, Fondo, Reparaciones y Costas. Sentencia de 30 de junio de 2009. Serie C. No. 197, párr. 146</w:t>
      </w:r>
      <w:r w:rsidR="003E57FF">
        <w:rPr>
          <w:rFonts w:ascii="Times New Roman" w:hAnsi="Times New Roman" w:cs="Times New Roman"/>
        </w:rPr>
        <w:t>.</w:t>
      </w:r>
    </w:p>
  </w:footnote>
  <w:footnote w:id="80">
    <w:p w:rsidR="00131F4B" w:rsidRPr="00E701A0" w:rsidRDefault="00131F4B" w:rsidP="00E701A0">
      <w:pPr>
        <w:pStyle w:val="FootnoteText"/>
        <w:jc w:val="both"/>
        <w:rPr>
          <w:rFonts w:ascii="Times New Roman" w:hAnsi="Times New Roman" w:cs="Times New Roman"/>
        </w:rPr>
      </w:pPr>
      <w:r w:rsidRPr="00E701A0">
        <w:rPr>
          <w:rStyle w:val="FootnoteReference"/>
          <w:rFonts w:ascii="Times New Roman" w:hAnsi="Times New Roman" w:cs="Times New Roman"/>
        </w:rPr>
        <w:footnoteRef/>
      </w:r>
      <w:r w:rsidRPr="00E701A0">
        <w:rPr>
          <w:rFonts w:ascii="Times New Roman" w:hAnsi="Times New Roman" w:cs="Times New Roman"/>
        </w:rPr>
        <w:t xml:space="preserve"> Hecho del Caso No. 32</w:t>
      </w:r>
      <w:r w:rsidR="003E57FF">
        <w:rPr>
          <w:rFonts w:ascii="Times New Roman" w:hAnsi="Times New Roman" w:cs="Times New Roman"/>
        </w:rPr>
        <w:t>.</w:t>
      </w:r>
    </w:p>
  </w:footnote>
  <w:footnote w:id="81">
    <w:p w:rsidR="00131F4B" w:rsidRPr="00E701A0" w:rsidRDefault="00131F4B" w:rsidP="00E701A0">
      <w:pPr>
        <w:pStyle w:val="FootnoteText"/>
        <w:jc w:val="both"/>
        <w:rPr>
          <w:rFonts w:ascii="Times New Roman" w:hAnsi="Times New Roman" w:cs="Times New Roman"/>
        </w:rPr>
      </w:pPr>
      <w:r w:rsidRPr="00E701A0">
        <w:rPr>
          <w:rStyle w:val="FootnoteReference"/>
          <w:rFonts w:ascii="Times New Roman" w:hAnsi="Times New Roman" w:cs="Times New Roman"/>
        </w:rPr>
        <w:footnoteRef/>
      </w:r>
      <w:r w:rsidR="003E57FF">
        <w:rPr>
          <w:rFonts w:ascii="Times New Roman" w:hAnsi="Times New Roman" w:cs="Times New Roman"/>
        </w:rPr>
        <w:t xml:space="preserve"> </w:t>
      </w:r>
      <w:r w:rsidRPr="00E701A0">
        <w:rPr>
          <w:rFonts w:ascii="Times New Roman" w:hAnsi="Times New Roman" w:cs="Times New Roman"/>
          <w:i/>
        </w:rPr>
        <w:t xml:space="preserve">Cfr. </w:t>
      </w:r>
      <w:r w:rsidRPr="00E701A0">
        <w:rPr>
          <w:rFonts w:ascii="Times New Roman" w:hAnsi="Times New Roman" w:cs="Times New Roman"/>
        </w:rPr>
        <w:t>Ferrer Mac-Gregor Eduardo, Sánchez Gil Rubén. El Nuevo Juicio de Amparo. Guía de la Reforma Constitucional y la Nueva Ley de Amparo. México. 2014. págs.42-43</w:t>
      </w:r>
      <w:r w:rsidR="003E57FF">
        <w:rPr>
          <w:rFonts w:ascii="Times New Roman" w:hAnsi="Times New Roman" w:cs="Times New Roman"/>
        </w:rPr>
        <w:t>.</w:t>
      </w:r>
    </w:p>
  </w:footnote>
  <w:footnote w:id="82">
    <w:p w:rsidR="00131F4B" w:rsidRPr="00E701A0" w:rsidRDefault="00131F4B" w:rsidP="00E701A0">
      <w:pPr>
        <w:pStyle w:val="FootnoteText"/>
        <w:jc w:val="both"/>
        <w:rPr>
          <w:rFonts w:ascii="Times New Roman" w:hAnsi="Times New Roman" w:cs="Times New Roman"/>
        </w:rPr>
      </w:pPr>
      <w:r w:rsidRPr="00E701A0">
        <w:rPr>
          <w:rStyle w:val="FootnoteReference"/>
          <w:rFonts w:ascii="Times New Roman" w:hAnsi="Times New Roman" w:cs="Times New Roman"/>
        </w:rPr>
        <w:footnoteRef/>
      </w:r>
      <w:r w:rsidR="003E57FF">
        <w:rPr>
          <w:rFonts w:ascii="Times New Roman" w:hAnsi="Times New Roman" w:cs="Times New Roman"/>
        </w:rPr>
        <w:t xml:space="preserve"> </w:t>
      </w:r>
      <w:r w:rsidRPr="00E701A0">
        <w:rPr>
          <w:rFonts w:ascii="Times New Roman" w:hAnsi="Times New Roman" w:cs="Times New Roman"/>
          <w:i/>
        </w:rPr>
        <w:t>Cfr.</w:t>
      </w:r>
      <w:r w:rsidRPr="00E701A0">
        <w:rPr>
          <w:rFonts w:ascii="Times New Roman" w:hAnsi="Times New Roman" w:cs="Times New Roman"/>
        </w:rPr>
        <w:t xml:space="preserve"> TEDH. Daktaras v. Lithuania, (42095/98)  Sentencia 17 de enero 2001, párr. 26</w:t>
      </w:r>
      <w:r w:rsidR="003E57FF">
        <w:rPr>
          <w:rFonts w:ascii="Times New Roman" w:hAnsi="Times New Roman" w:cs="Times New Roman"/>
        </w:rPr>
        <w:t>.</w:t>
      </w:r>
    </w:p>
  </w:footnote>
  <w:footnote w:id="83">
    <w:p w:rsidR="00131F4B" w:rsidRPr="00E701A0" w:rsidRDefault="00131F4B" w:rsidP="00E701A0">
      <w:pPr>
        <w:pStyle w:val="FootnoteText"/>
        <w:jc w:val="both"/>
        <w:rPr>
          <w:rFonts w:ascii="Times New Roman" w:hAnsi="Times New Roman" w:cs="Times New Roman"/>
        </w:rPr>
      </w:pPr>
      <w:r w:rsidRPr="00E701A0">
        <w:rPr>
          <w:rStyle w:val="FootnoteReference"/>
          <w:rFonts w:ascii="Times New Roman" w:hAnsi="Times New Roman" w:cs="Times New Roman"/>
        </w:rPr>
        <w:footnoteRef/>
      </w:r>
      <w:r w:rsidR="003E57FF">
        <w:rPr>
          <w:rFonts w:ascii="Times New Roman" w:hAnsi="Times New Roman" w:cs="Times New Roman"/>
        </w:rPr>
        <w:t xml:space="preserve"> </w:t>
      </w:r>
      <w:r w:rsidRPr="00E701A0">
        <w:rPr>
          <w:rFonts w:ascii="Times New Roman" w:hAnsi="Times New Roman" w:cs="Times New Roman"/>
          <w:i/>
        </w:rPr>
        <w:t xml:space="preserve">Cfr. </w:t>
      </w:r>
      <w:r w:rsidRPr="00E701A0">
        <w:rPr>
          <w:rFonts w:ascii="Times New Roman" w:hAnsi="Times New Roman" w:cs="Times New Roman"/>
        </w:rPr>
        <w:t xml:space="preserve">Corte IDH. Caso Suárez Rosero Vs. Ecuador. Excepciones Preliminares, Fondo, Reparaciones y Costas. Sentencia de 12 de noviembre de </w:t>
      </w:r>
      <w:r w:rsidR="003E57FF">
        <w:rPr>
          <w:rFonts w:ascii="Times New Roman" w:hAnsi="Times New Roman" w:cs="Times New Roman"/>
        </w:rPr>
        <w:t>1997. Serie C No. 35, párr. 70.</w:t>
      </w:r>
    </w:p>
  </w:footnote>
  <w:footnote w:id="84">
    <w:p w:rsidR="00131F4B" w:rsidRPr="00E701A0" w:rsidRDefault="00131F4B" w:rsidP="00E701A0">
      <w:pPr>
        <w:pStyle w:val="FootnoteText"/>
        <w:jc w:val="both"/>
        <w:rPr>
          <w:rFonts w:ascii="Times New Roman" w:hAnsi="Times New Roman" w:cs="Times New Roman"/>
        </w:rPr>
      </w:pPr>
      <w:r w:rsidRPr="00E701A0">
        <w:rPr>
          <w:rStyle w:val="FootnoteReference"/>
          <w:rFonts w:ascii="Times New Roman" w:hAnsi="Times New Roman" w:cs="Times New Roman"/>
        </w:rPr>
        <w:footnoteRef/>
      </w:r>
      <w:r w:rsidR="003E57FF">
        <w:rPr>
          <w:rFonts w:ascii="Times New Roman" w:hAnsi="Times New Roman" w:cs="Times New Roman"/>
        </w:rPr>
        <w:t xml:space="preserve"> </w:t>
      </w:r>
      <w:r w:rsidRPr="00E701A0">
        <w:rPr>
          <w:rFonts w:ascii="Times New Roman" w:hAnsi="Times New Roman" w:cs="Times New Roman"/>
          <w:i/>
        </w:rPr>
        <w:t xml:space="preserve">Cfr. </w:t>
      </w:r>
      <w:r w:rsidRPr="00E701A0">
        <w:rPr>
          <w:rFonts w:ascii="Times New Roman" w:hAnsi="Times New Roman" w:cs="Times New Roman"/>
        </w:rPr>
        <w:t>Corte IDH. Caso Ricardo Canese Vs. Paraguay. Fondo, Reparaciones y Costas. Sentencia de 31 de agosto de 2004 Serie C No. 111, párr. 141; Caso 19 Comerciantes Vs. Colombia. Fondo, Reparaciones y Costas. Sentencia de 5 de julio de 2004 Serie C No. 109, párr. 190</w:t>
      </w:r>
      <w:r w:rsidR="003E57FF">
        <w:rPr>
          <w:rFonts w:ascii="Times New Roman" w:hAnsi="Times New Roman" w:cs="Times New Roman"/>
        </w:rPr>
        <w:t>.</w:t>
      </w:r>
    </w:p>
  </w:footnote>
  <w:footnote w:id="85">
    <w:p w:rsidR="00131F4B" w:rsidRPr="00E701A0" w:rsidRDefault="00131F4B" w:rsidP="00E701A0">
      <w:pPr>
        <w:pStyle w:val="FootnoteText"/>
        <w:jc w:val="both"/>
        <w:rPr>
          <w:rFonts w:ascii="Times New Roman" w:hAnsi="Times New Roman" w:cs="Times New Roman"/>
        </w:rPr>
      </w:pPr>
      <w:r w:rsidRPr="00E701A0">
        <w:rPr>
          <w:rStyle w:val="FootnoteReference"/>
          <w:rFonts w:ascii="Times New Roman" w:hAnsi="Times New Roman" w:cs="Times New Roman"/>
        </w:rPr>
        <w:footnoteRef/>
      </w:r>
      <w:r w:rsidR="003E57FF">
        <w:rPr>
          <w:rFonts w:ascii="Times New Roman" w:hAnsi="Times New Roman" w:cs="Times New Roman"/>
        </w:rPr>
        <w:t xml:space="preserve"> </w:t>
      </w:r>
      <w:r w:rsidRPr="00E701A0">
        <w:rPr>
          <w:rFonts w:ascii="Times New Roman" w:hAnsi="Times New Roman" w:cs="Times New Roman"/>
          <w:i/>
        </w:rPr>
        <w:t xml:space="preserve">Cfr. </w:t>
      </w:r>
      <w:r w:rsidRPr="00E701A0">
        <w:rPr>
          <w:rFonts w:ascii="Times New Roman" w:hAnsi="Times New Roman" w:cs="Times New Roman"/>
        </w:rPr>
        <w:t>Corte IDH. Valle Jaramillo y otros Vs. Colombia. Fondo, Reparaciones y Costas. Sentencia de 27 de noviembre de 2008 Serie C No. 192, párr. 155</w:t>
      </w:r>
      <w:r w:rsidR="003E57FF">
        <w:rPr>
          <w:rFonts w:ascii="Times New Roman" w:hAnsi="Times New Roman" w:cs="Times New Roman"/>
        </w:rPr>
        <w:t>.</w:t>
      </w:r>
    </w:p>
  </w:footnote>
  <w:footnote w:id="86">
    <w:p w:rsidR="00131F4B" w:rsidRPr="00E701A0" w:rsidRDefault="00131F4B" w:rsidP="00E701A0">
      <w:pPr>
        <w:pStyle w:val="FootnoteText"/>
        <w:jc w:val="both"/>
        <w:rPr>
          <w:rFonts w:ascii="Times New Roman" w:hAnsi="Times New Roman" w:cs="Times New Roman"/>
        </w:rPr>
      </w:pPr>
      <w:r w:rsidRPr="00E701A0">
        <w:rPr>
          <w:rStyle w:val="FootnoteReference"/>
          <w:rFonts w:ascii="Times New Roman" w:hAnsi="Times New Roman" w:cs="Times New Roman"/>
        </w:rPr>
        <w:footnoteRef/>
      </w:r>
      <w:r w:rsidRPr="00E701A0">
        <w:rPr>
          <w:rFonts w:ascii="Times New Roman" w:hAnsi="Times New Roman" w:cs="Times New Roman"/>
        </w:rPr>
        <w:t xml:space="preserve"> Hecho del Caso No. 33</w:t>
      </w:r>
      <w:r w:rsidR="003E57FF">
        <w:rPr>
          <w:rFonts w:ascii="Times New Roman" w:hAnsi="Times New Roman" w:cs="Times New Roman"/>
        </w:rPr>
        <w:t>.</w:t>
      </w:r>
    </w:p>
  </w:footnote>
  <w:footnote w:id="87">
    <w:p w:rsidR="00131F4B" w:rsidRPr="00E701A0" w:rsidRDefault="00131F4B" w:rsidP="00E701A0">
      <w:pPr>
        <w:pStyle w:val="FootnoteText"/>
        <w:jc w:val="both"/>
        <w:rPr>
          <w:rFonts w:ascii="Times New Roman" w:hAnsi="Times New Roman" w:cs="Times New Roman"/>
        </w:rPr>
      </w:pPr>
      <w:r w:rsidRPr="00E701A0">
        <w:rPr>
          <w:rStyle w:val="FootnoteReference"/>
          <w:rFonts w:ascii="Times New Roman" w:hAnsi="Times New Roman" w:cs="Times New Roman"/>
        </w:rPr>
        <w:footnoteRef/>
      </w:r>
      <w:r w:rsidR="003E57FF">
        <w:rPr>
          <w:rFonts w:ascii="Times New Roman" w:hAnsi="Times New Roman" w:cs="Times New Roman"/>
        </w:rPr>
        <w:t xml:space="preserve"> </w:t>
      </w:r>
      <w:r w:rsidRPr="00E701A0">
        <w:rPr>
          <w:rFonts w:ascii="Times New Roman" w:hAnsi="Times New Roman" w:cs="Times New Roman"/>
          <w:i/>
        </w:rPr>
        <w:t xml:space="preserve">Cfr. </w:t>
      </w:r>
      <w:r w:rsidRPr="00E701A0">
        <w:rPr>
          <w:rFonts w:ascii="Times New Roman" w:hAnsi="Times New Roman" w:cs="Times New Roman"/>
        </w:rPr>
        <w:t>Corte IDH. Caso Genie Lacayo Vs. Nicaragua. Fondo, Reparaciones y Costas. Sentencia de 29 de enero de 1997. Serie C No. 30, párr. 81</w:t>
      </w:r>
      <w:r w:rsidR="003E57FF">
        <w:rPr>
          <w:rFonts w:ascii="Times New Roman" w:hAnsi="Times New Roman" w:cs="Times New Roman"/>
        </w:rPr>
        <w:t>.</w:t>
      </w:r>
    </w:p>
  </w:footnote>
  <w:footnote w:id="88">
    <w:p w:rsidR="00131F4B" w:rsidRPr="00E701A0" w:rsidRDefault="00131F4B" w:rsidP="00E701A0">
      <w:pPr>
        <w:pStyle w:val="FootnoteText"/>
        <w:jc w:val="both"/>
        <w:rPr>
          <w:rFonts w:ascii="Times New Roman" w:hAnsi="Times New Roman" w:cs="Times New Roman"/>
        </w:rPr>
      </w:pPr>
      <w:r w:rsidRPr="00E701A0">
        <w:rPr>
          <w:rStyle w:val="FootnoteReference"/>
          <w:rFonts w:ascii="Times New Roman" w:hAnsi="Times New Roman" w:cs="Times New Roman"/>
        </w:rPr>
        <w:footnoteRef/>
      </w:r>
      <w:r w:rsidRPr="00E701A0">
        <w:rPr>
          <w:rFonts w:ascii="Times New Roman" w:hAnsi="Times New Roman" w:cs="Times New Roman"/>
        </w:rPr>
        <w:t xml:space="preserve"> Corte IDH. Caso Tibi Vs. Ecuador. Excepciones preliminares, Fondo, Reparaciones y Costas. Sentencia del 7 de noviembre de 2004. Serie C No. 114, párr. 131; Caso del Tribunal Constitucional Vs. Perú. Fondo, Reparaciones y Costas. Sentencia del 31 de enero de 2001. Serie C. No. 71, párr. 89.</w:t>
      </w:r>
    </w:p>
  </w:footnote>
  <w:footnote w:id="89">
    <w:p w:rsidR="00131F4B" w:rsidRPr="00E701A0" w:rsidRDefault="00131F4B" w:rsidP="00E701A0">
      <w:pPr>
        <w:pStyle w:val="FootnoteText"/>
        <w:jc w:val="both"/>
        <w:rPr>
          <w:rFonts w:ascii="Times New Roman" w:hAnsi="Times New Roman" w:cs="Times New Roman"/>
        </w:rPr>
      </w:pPr>
      <w:r w:rsidRPr="00E701A0">
        <w:rPr>
          <w:rStyle w:val="FootnoteReference"/>
          <w:rFonts w:ascii="Times New Roman" w:hAnsi="Times New Roman" w:cs="Times New Roman"/>
        </w:rPr>
        <w:footnoteRef/>
      </w:r>
      <w:r w:rsidRPr="00E701A0">
        <w:rPr>
          <w:rFonts w:ascii="Times New Roman" w:hAnsi="Times New Roman" w:cs="Times New Roman"/>
        </w:rPr>
        <w:t xml:space="preserve"> Hecho del Caso No. 33.</w:t>
      </w:r>
    </w:p>
  </w:footnote>
  <w:footnote w:id="90">
    <w:p w:rsidR="00131F4B" w:rsidRPr="00E701A0" w:rsidRDefault="00131F4B" w:rsidP="00E701A0">
      <w:pPr>
        <w:pStyle w:val="FootnoteText"/>
        <w:jc w:val="both"/>
        <w:rPr>
          <w:rFonts w:ascii="Times New Roman" w:hAnsi="Times New Roman" w:cs="Times New Roman"/>
        </w:rPr>
      </w:pPr>
      <w:r w:rsidRPr="00E701A0">
        <w:rPr>
          <w:rStyle w:val="FootnoteReference"/>
          <w:rFonts w:ascii="Times New Roman" w:hAnsi="Times New Roman" w:cs="Times New Roman"/>
        </w:rPr>
        <w:footnoteRef/>
      </w:r>
      <w:r w:rsidRPr="00E701A0">
        <w:rPr>
          <w:rFonts w:ascii="Times New Roman" w:hAnsi="Times New Roman" w:cs="Times New Roman"/>
        </w:rPr>
        <w:t xml:space="preserve"> Corte IDH, Caso Velásquez Rodríguez Vs. Honduras. Fondo. Sentencia de 29 de julio de 1988. Serie C No. 4, párr. 66; Caso Godínez Cruz Vs. Honduras. Fondo. Sentencia de 20 de enero de 1989. Serie C No. 5, párr. 91; Caso Artavia Murillo y Otros (Fertilización in vitro) Vs. Costa Rica. Excepciones Preliminares, Fondo, Reparaciones y Costas. Sentencia de 28 de noviembre de 2012. Serie C No. 257, párr. 22.</w:t>
      </w:r>
    </w:p>
  </w:footnote>
  <w:footnote w:id="91">
    <w:p w:rsidR="00131F4B" w:rsidRPr="00E701A0" w:rsidRDefault="00131F4B" w:rsidP="00E701A0">
      <w:pPr>
        <w:pStyle w:val="FootnoteText"/>
        <w:jc w:val="both"/>
        <w:rPr>
          <w:rFonts w:ascii="Times New Roman" w:hAnsi="Times New Roman" w:cs="Times New Roman"/>
        </w:rPr>
      </w:pPr>
      <w:r w:rsidRPr="00E701A0">
        <w:rPr>
          <w:rStyle w:val="FootnoteReference"/>
          <w:rFonts w:ascii="Times New Roman" w:hAnsi="Times New Roman" w:cs="Times New Roman"/>
        </w:rPr>
        <w:footnoteRef/>
      </w:r>
      <w:r w:rsidRPr="00E701A0">
        <w:rPr>
          <w:rFonts w:ascii="Times New Roman" w:hAnsi="Times New Roman" w:cs="Times New Roman"/>
        </w:rPr>
        <w:t xml:space="preserve"> Respuesta Aclaratoria No. 20.</w:t>
      </w:r>
    </w:p>
  </w:footnote>
  <w:footnote w:id="92">
    <w:p w:rsidR="00131F4B" w:rsidRPr="00E701A0" w:rsidRDefault="00131F4B" w:rsidP="00E701A0">
      <w:pPr>
        <w:pStyle w:val="FootnoteText"/>
        <w:jc w:val="both"/>
        <w:rPr>
          <w:rFonts w:ascii="Times New Roman" w:hAnsi="Times New Roman" w:cs="Times New Roman"/>
        </w:rPr>
      </w:pPr>
      <w:r w:rsidRPr="00E701A0">
        <w:rPr>
          <w:rStyle w:val="FootnoteReference"/>
          <w:rFonts w:ascii="Times New Roman" w:hAnsi="Times New Roman" w:cs="Times New Roman"/>
        </w:rPr>
        <w:footnoteRef/>
      </w:r>
      <w:r w:rsidRPr="00E701A0">
        <w:rPr>
          <w:rFonts w:ascii="Times New Roman" w:hAnsi="Times New Roman" w:cs="Times New Roman"/>
        </w:rPr>
        <w:t xml:space="preserve"> Corte Constitucional de la República de Colombia, Sentencia C-OO6 de 2012, Magistrada Ponente María Victoria Calle Correa.</w:t>
      </w:r>
    </w:p>
  </w:footnote>
  <w:footnote w:id="93">
    <w:p w:rsidR="00131F4B" w:rsidRPr="00E701A0" w:rsidRDefault="00131F4B" w:rsidP="00E701A0">
      <w:pPr>
        <w:pStyle w:val="FootnoteText"/>
        <w:jc w:val="both"/>
        <w:rPr>
          <w:rFonts w:ascii="Times New Roman" w:hAnsi="Times New Roman" w:cs="Times New Roman"/>
        </w:rPr>
      </w:pPr>
      <w:r w:rsidRPr="00E701A0">
        <w:rPr>
          <w:rStyle w:val="FootnoteReference"/>
          <w:rFonts w:ascii="Times New Roman" w:hAnsi="Times New Roman" w:cs="Times New Roman"/>
        </w:rPr>
        <w:footnoteRef/>
      </w:r>
      <w:r w:rsidRPr="00E701A0">
        <w:rPr>
          <w:rFonts w:ascii="Times New Roman" w:hAnsi="Times New Roman" w:cs="Times New Roman"/>
        </w:rPr>
        <w:t xml:space="preserve"> Corte IDH, Caso Ivcher Bronstein Vs. Perú. Fondo, Reparaciones y costas. Sentencia del 6 de febrero de 2001. Serie C No. 74, párr. 136; Caso de la Comunidad Mayagna (Sumo) Awas Tingni Vs. Nicaragua. Fondo, Reparaciones y Costas. Sentencia del 31 de agosto de 2001. Serie C No. 79, párr. 113 y Cfr. Faúndez Ledesma, Héctor. “El Sistema Interamericano de Protección de los Derechos Humanos: aspectos institucionales y procesales”. Instituto Interamericano de Derechos Humanos (IIDH). 3° Edición, San José. 2004. págs. </w:t>
      </w:r>
      <w:r w:rsidRPr="00E701A0">
        <w:rPr>
          <w:rFonts w:ascii="Times New Roman" w:hAnsi="Times New Roman" w:cs="Times New Roman"/>
          <w:color w:val="222222"/>
          <w:lang w:val="es-ES"/>
        </w:rPr>
        <w:t>304-305.</w:t>
      </w:r>
    </w:p>
  </w:footnote>
  <w:footnote w:id="94">
    <w:p w:rsidR="00131F4B" w:rsidRPr="00E701A0" w:rsidRDefault="00131F4B" w:rsidP="00E701A0">
      <w:pPr>
        <w:pStyle w:val="FootnoteText"/>
        <w:jc w:val="both"/>
        <w:rPr>
          <w:rFonts w:ascii="Times New Roman" w:hAnsi="Times New Roman" w:cs="Times New Roman"/>
        </w:rPr>
      </w:pPr>
      <w:r w:rsidRPr="00E701A0">
        <w:rPr>
          <w:rStyle w:val="FootnoteReference"/>
          <w:rFonts w:ascii="Times New Roman" w:hAnsi="Times New Roman" w:cs="Times New Roman"/>
        </w:rPr>
        <w:footnoteRef/>
      </w:r>
      <w:r w:rsidRPr="00E701A0">
        <w:rPr>
          <w:rFonts w:ascii="Times New Roman" w:hAnsi="Times New Roman" w:cs="Times New Roman"/>
        </w:rPr>
        <w:t xml:space="preserve"> Hecho del Caso No. 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F4B" w:rsidRDefault="00131F4B">
    <w:pPr>
      <w:pStyle w:val="Header"/>
    </w:pPr>
    <w:r>
      <w:ptab w:relativeTo="margin" w:alignment="center" w:leader="none"/>
    </w:r>
    <w:r w:rsidRPr="00A44DDD">
      <w:rPr>
        <w:rFonts w:ascii="Times New Roman" w:hAnsi="Times New Roman" w:cs="Times New Roman"/>
        <w:sz w:val="24"/>
        <w:szCs w:val="24"/>
      </w:rPr>
      <w:ptab w:relativeTo="margin" w:alignment="right" w:leader="none"/>
    </w:r>
    <w:r w:rsidRPr="00A44DDD">
      <w:rPr>
        <w:rFonts w:ascii="Times New Roman" w:hAnsi="Times New Roman" w:cs="Times New Roman"/>
        <w:sz w:val="24"/>
        <w:szCs w:val="24"/>
      </w:rPr>
      <w:t>Equipo 236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DDD"/>
    <w:rsid w:val="00093A0B"/>
    <w:rsid w:val="000D204A"/>
    <w:rsid w:val="000D30C3"/>
    <w:rsid w:val="000D37AB"/>
    <w:rsid w:val="000D443C"/>
    <w:rsid w:val="00101B4C"/>
    <w:rsid w:val="00131F4B"/>
    <w:rsid w:val="00141D01"/>
    <w:rsid w:val="001D1B7A"/>
    <w:rsid w:val="00286EFD"/>
    <w:rsid w:val="002C0F73"/>
    <w:rsid w:val="002F6B23"/>
    <w:rsid w:val="00304C82"/>
    <w:rsid w:val="00304FB5"/>
    <w:rsid w:val="0035031F"/>
    <w:rsid w:val="0036545E"/>
    <w:rsid w:val="003E57FF"/>
    <w:rsid w:val="0041027F"/>
    <w:rsid w:val="004B30E6"/>
    <w:rsid w:val="005424E7"/>
    <w:rsid w:val="005B1225"/>
    <w:rsid w:val="005F41BD"/>
    <w:rsid w:val="00600E13"/>
    <w:rsid w:val="006441FA"/>
    <w:rsid w:val="006802DD"/>
    <w:rsid w:val="006E0A51"/>
    <w:rsid w:val="006F3ED2"/>
    <w:rsid w:val="0070199D"/>
    <w:rsid w:val="00782986"/>
    <w:rsid w:val="00783767"/>
    <w:rsid w:val="00790713"/>
    <w:rsid w:val="007B7C91"/>
    <w:rsid w:val="007D408D"/>
    <w:rsid w:val="007F3464"/>
    <w:rsid w:val="00852D2A"/>
    <w:rsid w:val="00864B56"/>
    <w:rsid w:val="008A6376"/>
    <w:rsid w:val="008B4EE2"/>
    <w:rsid w:val="008C3B2C"/>
    <w:rsid w:val="008D2836"/>
    <w:rsid w:val="008D7F5D"/>
    <w:rsid w:val="008F6B49"/>
    <w:rsid w:val="009458EA"/>
    <w:rsid w:val="009464B7"/>
    <w:rsid w:val="009610F7"/>
    <w:rsid w:val="00962BBE"/>
    <w:rsid w:val="00991798"/>
    <w:rsid w:val="009972EA"/>
    <w:rsid w:val="009D3D84"/>
    <w:rsid w:val="00A108A3"/>
    <w:rsid w:val="00A267EA"/>
    <w:rsid w:val="00A44DDD"/>
    <w:rsid w:val="00A73747"/>
    <w:rsid w:val="00A970EC"/>
    <w:rsid w:val="00AA1828"/>
    <w:rsid w:val="00AE7FD7"/>
    <w:rsid w:val="00AF30CC"/>
    <w:rsid w:val="00AF47B9"/>
    <w:rsid w:val="00B83414"/>
    <w:rsid w:val="00B96080"/>
    <w:rsid w:val="00BD09EC"/>
    <w:rsid w:val="00C119E4"/>
    <w:rsid w:val="00C40296"/>
    <w:rsid w:val="00C662FE"/>
    <w:rsid w:val="00C81B13"/>
    <w:rsid w:val="00CB11FB"/>
    <w:rsid w:val="00CD575B"/>
    <w:rsid w:val="00CD5816"/>
    <w:rsid w:val="00CF04BF"/>
    <w:rsid w:val="00D02E01"/>
    <w:rsid w:val="00D15E6F"/>
    <w:rsid w:val="00D27194"/>
    <w:rsid w:val="00D27F38"/>
    <w:rsid w:val="00D557B5"/>
    <w:rsid w:val="00D6235F"/>
    <w:rsid w:val="00D6704D"/>
    <w:rsid w:val="00D720EB"/>
    <w:rsid w:val="00D978AD"/>
    <w:rsid w:val="00DA3B0D"/>
    <w:rsid w:val="00DC28FC"/>
    <w:rsid w:val="00DD62CB"/>
    <w:rsid w:val="00DF1144"/>
    <w:rsid w:val="00E00698"/>
    <w:rsid w:val="00E1343E"/>
    <w:rsid w:val="00E13C3B"/>
    <w:rsid w:val="00E455D8"/>
    <w:rsid w:val="00E6065F"/>
    <w:rsid w:val="00E701A0"/>
    <w:rsid w:val="00E82BB1"/>
    <w:rsid w:val="00EC2993"/>
    <w:rsid w:val="00ED5CDF"/>
    <w:rsid w:val="00F034AE"/>
    <w:rsid w:val="00F354C8"/>
    <w:rsid w:val="00F35FEA"/>
    <w:rsid w:val="00F457A8"/>
    <w:rsid w:val="00F463D9"/>
    <w:rsid w:val="00F5213E"/>
    <w:rsid w:val="00F577C2"/>
    <w:rsid w:val="00F75298"/>
    <w:rsid w:val="00FE0A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C64FCF-C9F9-4EFF-BBA7-49194B52B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4DDD"/>
    <w:pPr>
      <w:tabs>
        <w:tab w:val="center" w:pos="4419"/>
        <w:tab w:val="right" w:pos="8838"/>
      </w:tabs>
      <w:spacing w:after="0" w:line="240" w:lineRule="auto"/>
    </w:pPr>
  </w:style>
  <w:style w:type="character" w:customStyle="1" w:styleId="HeaderChar">
    <w:name w:val="Header Char"/>
    <w:basedOn w:val="DefaultParagraphFont"/>
    <w:link w:val="Header"/>
    <w:uiPriority w:val="99"/>
    <w:rsid w:val="00A44DDD"/>
  </w:style>
  <w:style w:type="paragraph" w:styleId="Footer">
    <w:name w:val="footer"/>
    <w:basedOn w:val="Normal"/>
    <w:link w:val="FooterChar"/>
    <w:uiPriority w:val="99"/>
    <w:unhideWhenUsed/>
    <w:rsid w:val="00A44DDD"/>
    <w:pPr>
      <w:tabs>
        <w:tab w:val="center" w:pos="4419"/>
        <w:tab w:val="right" w:pos="8838"/>
      </w:tabs>
      <w:spacing w:after="0" w:line="240" w:lineRule="auto"/>
    </w:pPr>
  </w:style>
  <w:style w:type="character" w:customStyle="1" w:styleId="FooterChar">
    <w:name w:val="Footer Char"/>
    <w:basedOn w:val="DefaultParagraphFont"/>
    <w:link w:val="Footer"/>
    <w:uiPriority w:val="99"/>
    <w:rsid w:val="00A44DDD"/>
  </w:style>
  <w:style w:type="paragraph" w:customStyle="1" w:styleId="Default">
    <w:name w:val="Default"/>
    <w:rsid w:val="008A6376"/>
    <w:pPr>
      <w:autoSpaceDE w:val="0"/>
      <w:autoSpaceDN w:val="0"/>
      <w:adjustRightInd w:val="0"/>
      <w:spacing w:after="0" w:line="240" w:lineRule="auto"/>
    </w:pPr>
    <w:rPr>
      <w:rFonts w:ascii="FLFCOK+TimesNewRoman" w:hAnsi="FLFCOK+TimesNewRoman" w:cs="FLFCOK+TimesNewRoman"/>
      <w:color w:val="000000"/>
      <w:sz w:val="24"/>
      <w:szCs w:val="24"/>
    </w:rPr>
  </w:style>
  <w:style w:type="table" w:styleId="TableGrid">
    <w:name w:val="Table Grid"/>
    <w:basedOn w:val="TableNormal"/>
    <w:uiPriority w:val="59"/>
    <w:rsid w:val="008A63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 Char Char Char,Footnote Text Char Char Char Char,Footnote reference,FA Fu,Footnote Text Char Char Char,Footnote Text Cha,FA Fußnotentext,FA Fuﬂnotentext,Footnote Text Char Char,FA Fu?notente,FA Fu?notentext,Ca,C,ft"/>
    <w:basedOn w:val="Normal"/>
    <w:link w:val="FootnoteTextChar"/>
    <w:unhideWhenUsed/>
    <w:qFormat/>
    <w:rsid w:val="008A6376"/>
    <w:pPr>
      <w:spacing w:after="0" w:line="240" w:lineRule="auto"/>
    </w:pPr>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C Char"/>
    <w:basedOn w:val="DefaultParagraphFont"/>
    <w:link w:val="FootnoteText"/>
    <w:rsid w:val="008A6376"/>
    <w:rPr>
      <w:sz w:val="20"/>
      <w:szCs w:val="20"/>
    </w:rPr>
  </w:style>
  <w:style w:type="character" w:customStyle="1" w:styleId="apple-converted-space">
    <w:name w:val="apple-converted-space"/>
    <w:basedOn w:val="DefaultParagraphFont"/>
    <w:rsid w:val="008A6376"/>
  </w:style>
  <w:style w:type="character" w:customStyle="1" w:styleId="apple-style-span">
    <w:name w:val="apple-style-span"/>
    <w:basedOn w:val="DefaultParagraphFont"/>
    <w:rsid w:val="008A6376"/>
  </w:style>
  <w:style w:type="character" w:styleId="FootnoteReference">
    <w:name w:val="footnote reference"/>
    <w:aliases w:val="Texto de nota al pie,Footnotes refss,Appel note de bas de page,Footnote number,referencia nota al pie,BVI fnr,f,4_G,16 Point,Superscript 6 Point,Footnote Reference Char3,Footnote Reference Char1 Char,Footnote Reference Char Char Char"/>
    <w:basedOn w:val="DefaultParagraphFont"/>
    <w:uiPriority w:val="99"/>
    <w:semiHidden/>
    <w:unhideWhenUsed/>
    <w:rsid w:val="008A63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280C3-AB97-446B-95EE-AC0B33F8B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8620</Words>
  <Characters>49134</Characters>
  <Application>Microsoft Office Word</Application>
  <DocSecurity>0</DocSecurity>
  <Lines>409</Lines>
  <Paragraphs>115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Toshiba</Company>
  <LinksUpToDate>false</LinksUpToDate>
  <CharactersWithSpaces>57639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Lulu</dc:creator>
  <cp:keywords/>
  <dc:description/>
  <cp:lastModifiedBy>Inter-American HR Moot Court Competition</cp:lastModifiedBy>
  <cp:revision>2</cp:revision>
  <dcterms:created xsi:type="dcterms:W3CDTF">2017-09-21T15:54:00Z</dcterms:created>
  <dcterms:modified xsi:type="dcterms:W3CDTF">2017-09-21T15:54:00Z</dcterms:modified>
</cp:coreProperties>
</file>