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325282076"/>
        <w:docPartObj>
          <w:docPartGallery w:val="Cover Pages"/>
          <w:docPartUnique/>
        </w:docPartObj>
      </w:sdtPr>
      <w:sdtEndPr>
        <w:rPr>
          <w:rFonts w:cs="Times New Roman"/>
          <w:b/>
          <w:szCs w:val="24"/>
          <w:u w:val="single"/>
        </w:rPr>
      </w:sdtEndPr>
      <w:sdtContent>
        <w:p w:rsidR="00D52501" w:rsidRDefault="00D52501"/>
        <w:p w:rsidR="00D52501" w:rsidRDefault="00D52501"/>
        <w:tbl>
          <w:tblPr>
            <w:tblpPr w:leftFromText="187" w:rightFromText="187" w:horzAnchor="margin" w:tblpXSpec="center" w:tblpYSpec="bottom"/>
            <w:tblW w:w="4000" w:type="pct"/>
            <w:tblLook w:val="04A0" w:firstRow="1" w:lastRow="0" w:firstColumn="1" w:lastColumn="0" w:noHBand="0" w:noVBand="1"/>
          </w:tblPr>
          <w:tblGrid>
            <w:gridCol w:w="7672"/>
          </w:tblGrid>
          <w:tr w:rsidR="00D52501">
            <w:tc>
              <w:tcPr>
                <w:tcW w:w="7672" w:type="dxa"/>
                <w:tcMar>
                  <w:top w:w="216" w:type="dxa"/>
                  <w:left w:w="115" w:type="dxa"/>
                  <w:bottom w:w="216" w:type="dxa"/>
                  <w:right w:w="115" w:type="dxa"/>
                </w:tcMar>
              </w:tcPr>
              <w:p w:rsidR="00D52501" w:rsidRDefault="00D52501">
                <w:pPr>
                  <w:pStyle w:val="NoSpacing"/>
                  <w:rPr>
                    <w:color w:val="4F81BD" w:themeColor="accent1"/>
                  </w:rPr>
                </w:pPr>
              </w:p>
            </w:tc>
          </w:tr>
        </w:tbl>
        <w:p w:rsidR="00D52501" w:rsidRDefault="00D52501" w:rsidP="00EA1A6B">
          <w:pPr>
            <w:spacing w:line="480" w:lineRule="auto"/>
          </w:pPr>
        </w:p>
        <w:p w:rsidR="00D52501" w:rsidRDefault="00D52501" w:rsidP="00EA1A6B">
          <w:pPr>
            <w:pBdr>
              <w:bottom w:val="single" w:sz="12" w:space="1" w:color="auto"/>
            </w:pBdr>
            <w:spacing w:line="480" w:lineRule="auto"/>
            <w:rPr>
              <w:rFonts w:cs="Times New Roman"/>
              <w:b/>
              <w:szCs w:val="24"/>
              <w:u w:val="single"/>
            </w:rPr>
          </w:pPr>
          <w:r>
            <w:rPr>
              <w:rFonts w:cs="Times New Roman"/>
              <w:b/>
              <w:szCs w:val="24"/>
              <w:u w:val="single"/>
            </w:rPr>
            <w:t xml:space="preserve"> </w:t>
          </w:r>
        </w:p>
        <w:p w:rsidR="00EA1A6B" w:rsidRDefault="00EA1A6B" w:rsidP="00EA1A6B">
          <w:pPr>
            <w:spacing w:line="480" w:lineRule="auto"/>
            <w:jc w:val="center"/>
            <w:rPr>
              <w:rFonts w:cs="Times New Roman"/>
              <w:b/>
              <w:szCs w:val="24"/>
            </w:rPr>
          </w:pPr>
        </w:p>
        <w:p w:rsidR="00D52501" w:rsidRDefault="00EA1A6B" w:rsidP="00EA1A6B">
          <w:pPr>
            <w:spacing w:line="480" w:lineRule="auto"/>
            <w:jc w:val="center"/>
            <w:rPr>
              <w:rFonts w:cs="Times New Roman"/>
              <w:b/>
              <w:szCs w:val="24"/>
            </w:rPr>
          </w:pPr>
          <w:r>
            <w:rPr>
              <w:rFonts w:cs="Times New Roman"/>
              <w:b/>
              <w:szCs w:val="24"/>
            </w:rPr>
            <w:t>INTER-AMERICAN COURT OF HUMAN RIGHTS</w:t>
          </w:r>
        </w:p>
        <w:p w:rsidR="00EA1A6B" w:rsidRPr="00EA1A6B" w:rsidRDefault="00EA1A6B" w:rsidP="00EA1A6B">
          <w:pPr>
            <w:pBdr>
              <w:bottom w:val="single" w:sz="12" w:space="1" w:color="auto"/>
            </w:pBdr>
            <w:spacing w:line="480" w:lineRule="auto"/>
            <w:jc w:val="center"/>
            <w:rPr>
              <w:rFonts w:cs="Times New Roman"/>
              <w:b/>
              <w:szCs w:val="24"/>
            </w:rPr>
          </w:pPr>
          <w:r>
            <w:rPr>
              <w:rFonts w:cs="Times New Roman"/>
              <w:b/>
              <w:szCs w:val="24"/>
            </w:rPr>
            <w:t>SAN JOSE, COSTA RICA</w:t>
          </w:r>
        </w:p>
        <w:p w:rsidR="00D52501" w:rsidRDefault="00D52501" w:rsidP="00EA1A6B">
          <w:pPr>
            <w:spacing w:line="480" w:lineRule="auto"/>
            <w:rPr>
              <w:rFonts w:cs="Times New Roman"/>
              <w:b/>
              <w:szCs w:val="24"/>
              <w:u w:val="single"/>
            </w:rPr>
          </w:pPr>
        </w:p>
        <w:p w:rsidR="00A70D98" w:rsidRDefault="00A70D98" w:rsidP="00EA1A6B">
          <w:pPr>
            <w:spacing w:line="480" w:lineRule="auto"/>
            <w:jc w:val="center"/>
            <w:rPr>
              <w:rFonts w:cs="Times New Roman"/>
              <w:b/>
              <w:szCs w:val="24"/>
            </w:rPr>
          </w:pPr>
        </w:p>
        <w:p w:rsidR="00A70D98" w:rsidRDefault="00EA1A6B" w:rsidP="00EA1A6B">
          <w:pPr>
            <w:spacing w:line="480" w:lineRule="auto"/>
            <w:jc w:val="center"/>
            <w:rPr>
              <w:rFonts w:cs="Times New Roman"/>
              <w:b/>
              <w:szCs w:val="24"/>
            </w:rPr>
          </w:pPr>
          <w:r w:rsidRPr="00D52501">
            <w:rPr>
              <w:rFonts w:cs="Times New Roman"/>
              <w:b/>
              <w:szCs w:val="24"/>
            </w:rPr>
            <w:t>SERAFINA CONEJO GALLO AND ADRIANA TIMOR</w:t>
          </w:r>
        </w:p>
        <w:p w:rsidR="00EA1A6B" w:rsidRPr="0091573B" w:rsidRDefault="00EA1A6B" w:rsidP="00EA1A6B">
          <w:pPr>
            <w:spacing w:line="480" w:lineRule="auto"/>
            <w:jc w:val="right"/>
            <w:rPr>
              <w:rFonts w:cs="Times New Roman"/>
              <w:b/>
              <w:i/>
              <w:szCs w:val="24"/>
            </w:rPr>
          </w:pPr>
          <w:r w:rsidRPr="0091573B">
            <w:rPr>
              <w:rFonts w:cs="Times New Roman"/>
              <w:b/>
              <w:i/>
              <w:szCs w:val="24"/>
            </w:rPr>
            <w:t xml:space="preserve">Petitioner </w:t>
          </w:r>
        </w:p>
        <w:p w:rsidR="00EA1A6B" w:rsidRDefault="00EA1A6B" w:rsidP="00EA1A6B">
          <w:pPr>
            <w:spacing w:line="480" w:lineRule="auto"/>
            <w:rPr>
              <w:rFonts w:cs="Times New Roman"/>
              <w:b/>
              <w:szCs w:val="24"/>
            </w:rPr>
          </w:pPr>
        </w:p>
        <w:p w:rsidR="00A70D98" w:rsidRDefault="00EA1A6B" w:rsidP="00EA1A6B">
          <w:pPr>
            <w:spacing w:line="480" w:lineRule="auto"/>
            <w:jc w:val="center"/>
            <w:rPr>
              <w:rFonts w:cs="Times New Roman"/>
              <w:b/>
              <w:szCs w:val="24"/>
            </w:rPr>
          </w:pPr>
          <w:r w:rsidRPr="00D52501">
            <w:rPr>
              <w:rFonts w:cs="Times New Roman"/>
              <w:b/>
              <w:szCs w:val="24"/>
            </w:rPr>
            <w:t xml:space="preserve">V </w:t>
          </w:r>
        </w:p>
        <w:p w:rsidR="00A70D98" w:rsidRDefault="00A70D98" w:rsidP="00EA1A6B">
          <w:pPr>
            <w:spacing w:line="480" w:lineRule="auto"/>
            <w:rPr>
              <w:rFonts w:cs="Times New Roman"/>
              <w:b/>
              <w:szCs w:val="24"/>
            </w:rPr>
          </w:pPr>
        </w:p>
        <w:p w:rsidR="00D52501" w:rsidRDefault="00EA1A6B" w:rsidP="00EA1A6B">
          <w:pPr>
            <w:spacing w:line="480" w:lineRule="auto"/>
            <w:jc w:val="center"/>
            <w:rPr>
              <w:rFonts w:cs="Times New Roman"/>
              <w:b/>
              <w:szCs w:val="24"/>
            </w:rPr>
          </w:pPr>
          <w:r>
            <w:rPr>
              <w:rFonts w:cs="Times New Roman"/>
              <w:b/>
              <w:szCs w:val="24"/>
            </w:rPr>
            <w:t xml:space="preserve">THE STATE OF </w:t>
          </w:r>
          <w:r w:rsidRPr="00D52501">
            <w:rPr>
              <w:rFonts w:cs="Times New Roman"/>
              <w:b/>
              <w:szCs w:val="24"/>
            </w:rPr>
            <w:t>ELIZABETIA</w:t>
          </w:r>
          <w:r>
            <w:rPr>
              <w:rFonts w:cs="Times New Roman"/>
              <w:b/>
              <w:szCs w:val="24"/>
            </w:rPr>
            <w:t xml:space="preserve"> </w:t>
          </w:r>
        </w:p>
        <w:p w:rsidR="00E71640" w:rsidRDefault="00EA1A6B" w:rsidP="0091573B">
          <w:pPr>
            <w:spacing w:line="480" w:lineRule="auto"/>
            <w:jc w:val="right"/>
            <w:rPr>
              <w:rFonts w:cs="Times New Roman"/>
              <w:b/>
              <w:szCs w:val="24"/>
            </w:rPr>
          </w:pPr>
          <w:r w:rsidRPr="00EA1A6B">
            <w:rPr>
              <w:rFonts w:cs="Times New Roman"/>
              <w:b/>
              <w:i/>
              <w:szCs w:val="24"/>
            </w:rPr>
            <w:t>Respondent</w:t>
          </w:r>
        </w:p>
        <w:p w:rsidR="00E71640" w:rsidRDefault="00E71640" w:rsidP="00EA1A6B">
          <w:pPr>
            <w:spacing w:line="480" w:lineRule="auto"/>
            <w:jc w:val="center"/>
            <w:rPr>
              <w:rFonts w:cs="Times New Roman"/>
              <w:b/>
              <w:szCs w:val="24"/>
            </w:rPr>
          </w:pPr>
        </w:p>
        <w:p w:rsidR="0091573B" w:rsidRDefault="0091573B" w:rsidP="0091573B">
          <w:pPr>
            <w:pBdr>
              <w:top w:val="single" w:sz="12" w:space="1" w:color="auto"/>
              <w:bottom w:val="single" w:sz="12" w:space="1" w:color="auto"/>
            </w:pBdr>
            <w:spacing w:line="480" w:lineRule="auto"/>
            <w:jc w:val="center"/>
            <w:rPr>
              <w:rFonts w:cs="Times New Roman"/>
              <w:b/>
              <w:szCs w:val="24"/>
            </w:rPr>
          </w:pPr>
        </w:p>
        <w:p w:rsidR="0091573B" w:rsidRDefault="0091573B" w:rsidP="0091573B">
          <w:pPr>
            <w:pBdr>
              <w:top w:val="single" w:sz="12" w:space="1" w:color="auto"/>
              <w:bottom w:val="single" w:sz="12" w:space="1" w:color="auto"/>
            </w:pBdr>
            <w:spacing w:line="480" w:lineRule="auto"/>
            <w:jc w:val="center"/>
            <w:rPr>
              <w:rFonts w:cs="Times New Roman"/>
              <w:b/>
              <w:szCs w:val="24"/>
            </w:rPr>
          </w:pPr>
          <w:r>
            <w:rPr>
              <w:rFonts w:cs="Times New Roman"/>
              <w:b/>
              <w:szCs w:val="24"/>
            </w:rPr>
            <w:t xml:space="preserve">MEMORIAL FOR </w:t>
          </w:r>
        </w:p>
        <w:p w:rsidR="0091573B" w:rsidRDefault="0091573B" w:rsidP="0091573B">
          <w:pPr>
            <w:pBdr>
              <w:top w:val="single" w:sz="12" w:space="1" w:color="auto"/>
              <w:bottom w:val="single" w:sz="12" w:space="1" w:color="auto"/>
            </w:pBdr>
            <w:spacing w:line="480" w:lineRule="auto"/>
            <w:jc w:val="center"/>
            <w:rPr>
              <w:rFonts w:cs="Times New Roman"/>
              <w:b/>
              <w:szCs w:val="24"/>
            </w:rPr>
          </w:pPr>
          <w:r>
            <w:rPr>
              <w:rFonts w:cs="Times New Roman"/>
              <w:b/>
              <w:szCs w:val="24"/>
            </w:rPr>
            <w:t>THE REPRESENTATIVES OF THE VICTIMS</w:t>
          </w:r>
        </w:p>
        <w:p w:rsidR="0091573B" w:rsidRDefault="0091573B" w:rsidP="0091573B">
          <w:pPr>
            <w:pBdr>
              <w:top w:val="single" w:sz="12" w:space="1" w:color="auto"/>
              <w:bottom w:val="single" w:sz="12" w:space="1" w:color="auto"/>
            </w:pBdr>
            <w:spacing w:line="480" w:lineRule="auto"/>
            <w:jc w:val="center"/>
            <w:rPr>
              <w:rFonts w:cs="Times New Roman"/>
              <w:b/>
              <w:szCs w:val="24"/>
            </w:rPr>
          </w:pPr>
        </w:p>
        <w:p w:rsidR="0091573B" w:rsidRDefault="0091573B" w:rsidP="0091573B">
          <w:pPr>
            <w:spacing w:line="480" w:lineRule="auto"/>
            <w:rPr>
              <w:rFonts w:cs="Times New Roman"/>
              <w:b/>
              <w:szCs w:val="24"/>
            </w:rPr>
          </w:pPr>
          <w:r>
            <w:rPr>
              <w:rFonts w:cs="Times New Roman"/>
              <w:b/>
              <w:szCs w:val="24"/>
            </w:rPr>
            <w:softHyphen/>
          </w:r>
        </w:p>
        <w:p w:rsidR="0091573B" w:rsidRDefault="0091573B">
          <w:pPr>
            <w:rPr>
              <w:rFonts w:cs="Times New Roman"/>
              <w:b/>
              <w:szCs w:val="24"/>
            </w:rPr>
          </w:pPr>
          <w:r>
            <w:rPr>
              <w:rFonts w:cs="Times New Roman"/>
              <w:b/>
              <w:szCs w:val="24"/>
            </w:rPr>
            <w:br w:type="page"/>
          </w:r>
        </w:p>
        <w:sdt>
          <w:sdtPr>
            <w:rPr>
              <w:rFonts w:ascii="Times New Roman" w:eastAsiaTheme="minorHAnsi" w:hAnsi="Times New Roman" w:cs="Times New Roman"/>
              <w:b w:val="0"/>
              <w:bCs w:val="0"/>
              <w:color w:val="auto"/>
              <w:sz w:val="24"/>
              <w:szCs w:val="24"/>
              <w:lang w:eastAsia="en-US"/>
            </w:rPr>
            <w:id w:val="-923567472"/>
            <w:docPartObj>
              <w:docPartGallery w:val="Table of Contents"/>
              <w:docPartUnique/>
            </w:docPartObj>
          </w:sdtPr>
          <w:sdtEndPr>
            <w:rPr>
              <w:noProof/>
            </w:rPr>
          </w:sdtEndPr>
          <w:sdtContent>
            <w:p w:rsidR="00D8178D" w:rsidRPr="001674E8" w:rsidRDefault="00D8178D" w:rsidP="001674E8">
              <w:pPr>
                <w:pStyle w:val="TOCHeading"/>
                <w:spacing w:line="480" w:lineRule="auto"/>
                <w:jc w:val="center"/>
                <w:rPr>
                  <w:rFonts w:ascii="Times New Roman" w:hAnsi="Times New Roman" w:cs="Times New Roman"/>
                  <w:color w:val="auto"/>
                  <w:sz w:val="24"/>
                  <w:szCs w:val="24"/>
                  <w:u w:val="single"/>
                </w:rPr>
              </w:pPr>
              <w:r w:rsidRPr="001674E8">
                <w:rPr>
                  <w:rFonts w:ascii="Times New Roman" w:hAnsi="Times New Roman" w:cs="Times New Roman"/>
                  <w:color w:val="auto"/>
                  <w:sz w:val="24"/>
                  <w:szCs w:val="24"/>
                  <w:u w:val="single"/>
                </w:rPr>
                <w:t>TABLE OF CONTENTS</w:t>
              </w:r>
              <w:r w:rsidRPr="001674E8">
                <w:rPr>
                  <w:rFonts w:ascii="Times New Roman" w:hAnsi="Times New Roman" w:cs="Times New Roman"/>
                  <w:sz w:val="24"/>
                  <w:szCs w:val="24"/>
                </w:rPr>
                <w:tab/>
              </w:r>
            </w:p>
            <w:p w:rsidR="00D8178D" w:rsidRPr="001674E8" w:rsidRDefault="00D8178D" w:rsidP="001674E8">
              <w:pPr>
                <w:spacing w:line="480" w:lineRule="auto"/>
                <w:rPr>
                  <w:rFonts w:cs="Times New Roman"/>
                  <w:szCs w:val="24"/>
                  <w:lang w:eastAsia="ja-JP"/>
                </w:rPr>
              </w:pPr>
            </w:p>
            <w:p w:rsidR="000D3A9F" w:rsidRDefault="00820DC0">
              <w:pPr>
                <w:pStyle w:val="TOC1"/>
                <w:rPr>
                  <w:rFonts w:asciiTheme="minorHAnsi" w:eastAsiaTheme="minorEastAsia" w:hAnsiTheme="minorHAnsi"/>
                  <w:b w:val="0"/>
                  <w:noProof/>
                  <w:sz w:val="22"/>
                  <w:lang w:val="en-GB" w:eastAsia="en-GB"/>
                </w:rPr>
              </w:pPr>
              <w:r>
                <w:rPr>
                  <w:rFonts w:cs="Times New Roman"/>
                  <w:szCs w:val="24"/>
                </w:rPr>
                <w:fldChar w:fldCharType="begin"/>
              </w:r>
              <w:r w:rsidR="00EA1A6B">
                <w:rPr>
                  <w:rFonts w:cs="Times New Roman"/>
                  <w:szCs w:val="24"/>
                </w:rPr>
                <w:instrText xml:space="preserve"> TOC \o "1-3" \h \z \u </w:instrText>
              </w:r>
              <w:r>
                <w:rPr>
                  <w:rFonts w:cs="Times New Roman"/>
                  <w:szCs w:val="24"/>
                </w:rPr>
                <w:fldChar w:fldCharType="separate"/>
              </w:r>
              <w:hyperlink w:anchor="_Toc352007819" w:history="1">
                <w:r w:rsidR="000D3A9F" w:rsidRPr="000D20E2">
                  <w:rPr>
                    <w:rStyle w:val="Hyperlink"/>
                    <w:noProof/>
                  </w:rPr>
                  <w:t>I.</w:t>
                </w:r>
                <w:r w:rsidR="000D3A9F">
                  <w:rPr>
                    <w:rFonts w:asciiTheme="minorHAnsi" w:eastAsiaTheme="minorEastAsia" w:hAnsiTheme="minorHAnsi"/>
                    <w:b w:val="0"/>
                    <w:noProof/>
                    <w:sz w:val="22"/>
                    <w:lang w:val="en-GB" w:eastAsia="en-GB"/>
                  </w:rPr>
                  <w:tab/>
                </w:r>
                <w:r w:rsidR="000D3A9F" w:rsidRPr="000D20E2">
                  <w:rPr>
                    <w:rStyle w:val="Hyperlink"/>
                    <w:noProof/>
                  </w:rPr>
                  <w:t>INDEX OF AUTHORITIES</w:t>
                </w:r>
                <w:r w:rsidR="000D3A9F">
                  <w:rPr>
                    <w:noProof/>
                    <w:webHidden/>
                  </w:rPr>
                  <w:tab/>
                </w:r>
                <w:r>
                  <w:rPr>
                    <w:noProof/>
                    <w:webHidden/>
                  </w:rPr>
                  <w:fldChar w:fldCharType="begin"/>
                </w:r>
                <w:r w:rsidR="000D3A9F">
                  <w:rPr>
                    <w:noProof/>
                    <w:webHidden/>
                  </w:rPr>
                  <w:instrText xml:space="preserve"> PAGEREF _Toc352007819 \h </w:instrText>
                </w:r>
                <w:r>
                  <w:rPr>
                    <w:noProof/>
                    <w:webHidden/>
                  </w:rPr>
                </w:r>
                <w:r>
                  <w:rPr>
                    <w:noProof/>
                    <w:webHidden/>
                  </w:rPr>
                  <w:fldChar w:fldCharType="separate"/>
                </w:r>
                <w:r w:rsidR="006E2970">
                  <w:rPr>
                    <w:noProof/>
                    <w:webHidden/>
                  </w:rPr>
                  <w:t>2</w:t>
                </w:r>
                <w:r>
                  <w:rPr>
                    <w:noProof/>
                    <w:webHidden/>
                  </w:rPr>
                  <w:fldChar w:fldCharType="end"/>
                </w:r>
              </w:hyperlink>
            </w:p>
            <w:p w:rsidR="000D3A9F" w:rsidRDefault="00B72F85">
              <w:pPr>
                <w:pStyle w:val="TOC1"/>
                <w:rPr>
                  <w:rFonts w:asciiTheme="minorHAnsi" w:eastAsiaTheme="minorEastAsia" w:hAnsiTheme="minorHAnsi"/>
                  <w:b w:val="0"/>
                  <w:noProof/>
                  <w:sz w:val="22"/>
                  <w:lang w:val="en-GB" w:eastAsia="en-GB"/>
                </w:rPr>
              </w:pPr>
              <w:hyperlink w:anchor="_Toc352007820" w:history="1">
                <w:r w:rsidR="000D3A9F" w:rsidRPr="000D20E2">
                  <w:rPr>
                    <w:rStyle w:val="Hyperlink"/>
                    <w:noProof/>
                  </w:rPr>
                  <w:t>II.</w:t>
                </w:r>
                <w:r w:rsidR="000D3A9F">
                  <w:rPr>
                    <w:rFonts w:asciiTheme="minorHAnsi" w:eastAsiaTheme="minorEastAsia" w:hAnsiTheme="minorHAnsi"/>
                    <w:b w:val="0"/>
                    <w:noProof/>
                    <w:sz w:val="22"/>
                    <w:lang w:val="en-GB" w:eastAsia="en-GB"/>
                  </w:rPr>
                  <w:tab/>
                </w:r>
                <w:r w:rsidR="000D3A9F" w:rsidRPr="000D20E2">
                  <w:rPr>
                    <w:rStyle w:val="Hyperlink"/>
                    <w:noProof/>
                  </w:rPr>
                  <w:t>STATEMENT OF FACTS</w:t>
                </w:r>
                <w:r w:rsidR="000D3A9F">
                  <w:rPr>
                    <w:noProof/>
                    <w:webHidden/>
                  </w:rPr>
                  <w:tab/>
                </w:r>
                <w:r w:rsidR="00820DC0">
                  <w:rPr>
                    <w:noProof/>
                    <w:webHidden/>
                  </w:rPr>
                  <w:fldChar w:fldCharType="begin"/>
                </w:r>
                <w:r w:rsidR="000D3A9F">
                  <w:rPr>
                    <w:noProof/>
                    <w:webHidden/>
                  </w:rPr>
                  <w:instrText xml:space="preserve"> PAGEREF _Toc352007820 \h </w:instrText>
                </w:r>
                <w:r w:rsidR="00820DC0">
                  <w:rPr>
                    <w:noProof/>
                    <w:webHidden/>
                  </w:rPr>
                </w:r>
                <w:r w:rsidR="00820DC0">
                  <w:rPr>
                    <w:noProof/>
                    <w:webHidden/>
                  </w:rPr>
                  <w:fldChar w:fldCharType="separate"/>
                </w:r>
                <w:r w:rsidR="006E2970">
                  <w:rPr>
                    <w:noProof/>
                    <w:webHidden/>
                  </w:rPr>
                  <w:t>11</w:t>
                </w:r>
                <w:r w:rsidR="00820DC0">
                  <w:rPr>
                    <w:noProof/>
                    <w:webHidden/>
                  </w:rPr>
                  <w:fldChar w:fldCharType="end"/>
                </w:r>
              </w:hyperlink>
            </w:p>
            <w:p w:rsidR="000D3A9F" w:rsidRDefault="00B72F85">
              <w:pPr>
                <w:pStyle w:val="TOC1"/>
                <w:rPr>
                  <w:rFonts w:asciiTheme="minorHAnsi" w:eastAsiaTheme="minorEastAsia" w:hAnsiTheme="minorHAnsi"/>
                  <w:b w:val="0"/>
                  <w:noProof/>
                  <w:sz w:val="22"/>
                  <w:lang w:val="en-GB" w:eastAsia="en-GB"/>
                </w:rPr>
              </w:pPr>
              <w:hyperlink w:anchor="_Toc352007821" w:history="1">
                <w:r w:rsidR="000D3A9F" w:rsidRPr="000D20E2">
                  <w:rPr>
                    <w:rStyle w:val="Hyperlink"/>
                    <w:noProof/>
                  </w:rPr>
                  <w:t>III.</w:t>
                </w:r>
                <w:r w:rsidR="000D3A9F">
                  <w:rPr>
                    <w:rFonts w:asciiTheme="minorHAnsi" w:eastAsiaTheme="minorEastAsia" w:hAnsiTheme="minorHAnsi"/>
                    <w:b w:val="0"/>
                    <w:noProof/>
                    <w:sz w:val="22"/>
                    <w:lang w:val="en-GB" w:eastAsia="en-GB"/>
                  </w:rPr>
                  <w:tab/>
                </w:r>
                <w:r w:rsidR="000D3A9F" w:rsidRPr="000D20E2">
                  <w:rPr>
                    <w:rStyle w:val="Hyperlink"/>
                    <w:noProof/>
                  </w:rPr>
                  <w:t>LEGAL ANALYSIS</w:t>
                </w:r>
                <w:r w:rsidR="000D3A9F">
                  <w:rPr>
                    <w:noProof/>
                    <w:webHidden/>
                  </w:rPr>
                  <w:tab/>
                </w:r>
                <w:r w:rsidR="00820DC0">
                  <w:rPr>
                    <w:noProof/>
                    <w:webHidden/>
                  </w:rPr>
                  <w:fldChar w:fldCharType="begin"/>
                </w:r>
                <w:r w:rsidR="000D3A9F">
                  <w:rPr>
                    <w:noProof/>
                    <w:webHidden/>
                  </w:rPr>
                  <w:instrText xml:space="preserve"> PAGEREF _Toc352007821 \h </w:instrText>
                </w:r>
                <w:r w:rsidR="00820DC0">
                  <w:rPr>
                    <w:noProof/>
                    <w:webHidden/>
                  </w:rPr>
                </w:r>
                <w:r w:rsidR="00820DC0">
                  <w:rPr>
                    <w:noProof/>
                    <w:webHidden/>
                  </w:rPr>
                  <w:fldChar w:fldCharType="separate"/>
                </w:r>
                <w:r w:rsidR="006E2970">
                  <w:rPr>
                    <w:noProof/>
                    <w:webHidden/>
                  </w:rPr>
                  <w:t>15</w:t>
                </w:r>
                <w:r w:rsidR="00820DC0">
                  <w:rPr>
                    <w:noProof/>
                    <w:webHidden/>
                  </w:rPr>
                  <w:fldChar w:fldCharType="end"/>
                </w:r>
              </w:hyperlink>
            </w:p>
            <w:p w:rsidR="000D3A9F" w:rsidRDefault="00B72F85">
              <w:pPr>
                <w:pStyle w:val="TOC2"/>
                <w:rPr>
                  <w:rFonts w:asciiTheme="minorHAnsi" w:eastAsiaTheme="minorEastAsia" w:hAnsiTheme="minorHAnsi"/>
                  <w:noProof/>
                  <w:sz w:val="22"/>
                  <w:lang w:val="en-GB" w:eastAsia="en-GB"/>
                </w:rPr>
              </w:pPr>
              <w:hyperlink w:anchor="_Toc352007822" w:history="1">
                <w:r w:rsidR="000D3A9F" w:rsidRPr="000D20E2">
                  <w:rPr>
                    <w:rStyle w:val="Hyperlink"/>
                    <w:noProof/>
                  </w:rPr>
                  <w:t>A.</w:t>
                </w:r>
                <w:r w:rsidR="000D3A9F">
                  <w:rPr>
                    <w:rFonts w:asciiTheme="minorHAnsi" w:eastAsiaTheme="minorEastAsia" w:hAnsiTheme="minorHAnsi"/>
                    <w:noProof/>
                    <w:sz w:val="22"/>
                    <w:lang w:val="en-GB" w:eastAsia="en-GB"/>
                  </w:rPr>
                  <w:tab/>
                </w:r>
                <w:r w:rsidR="000D3A9F" w:rsidRPr="000D20E2">
                  <w:rPr>
                    <w:rStyle w:val="Hyperlink"/>
                    <w:noProof/>
                  </w:rPr>
                  <w:t>ADMISSIBILITY</w:t>
                </w:r>
                <w:r w:rsidR="000D3A9F">
                  <w:rPr>
                    <w:noProof/>
                    <w:webHidden/>
                  </w:rPr>
                  <w:tab/>
                </w:r>
                <w:r w:rsidR="00820DC0">
                  <w:rPr>
                    <w:noProof/>
                    <w:webHidden/>
                  </w:rPr>
                  <w:fldChar w:fldCharType="begin"/>
                </w:r>
                <w:r w:rsidR="000D3A9F">
                  <w:rPr>
                    <w:noProof/>
                    <w:webHidden/>
                  </w:rPr>
                  <w:instrText xml:space="preserve"> PAGEREF _Toc352007822 \h </w:instrText>
                </w:r>
                <w:r w:rsidR="00820DC0">
                  <w:rPr>
                    <w:noProof/>
                    <w:webHidden/>
                  </w:rPr>
                </w:r>
                <w:r w:rsidR="00820DC0">
                  <w:rPr>
                    <w:noProof/>
                    <w:webHidden/>
                  </w:rPr>
                  <w:fldChar w:fldCharType="separate"/>
                </w:r>
                <w:r w:rsidR="006E2970">
                  <w:rPr>
                    <w:noProof/>
                    <w:webHidden/>
                  </w:rPr>
                  <w:t>15</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23" w:history="1">
                <w:r w:rsidR="000D3A9F" w:rsidRPr="000D20E2">
                  <w:rPr>
                    <w:rStyle w:val="Hyperlink"/>
                    <w:noProof/>
                  </w:rPr>
                  <w:t>Statement of Jurisdiction</w:t>
                </w:r>
                <w:r w:rsidR="000D3A9F">
                  <w:rPr>
                    <w:noProof/>
                    <w:webHidden/>
                  </w:rPr>
                  <w:tab/>
                </w:r>
                <w:r w:rsidR="00820DC0">
                  <w:rPr>
                    <w:noProof/>
                    <w:webHidden/>
                  </w:rPr>
                  <w:fldChar w:fldCharType="begin"/>
                </w:r>
                <w:r w:rsidR="000D3A9F">
                  <w:rPr>
                    <w:noProof/>
                    <w:webHidden/>
                  </w:rPr>
                  <w:instrText xml:space="preserve"> PAGEREF _Toc352007823 \h </w:instrText>
                </w:r>
                <w:r w:rsidR="00820DC0">
                  <w:rPr>
                    <w:noProof/>
                    <w:webHidden/>
                  </w:rPr>
                </w:r>
                <w:r w:rsidR="00820DC0">
                  <w:rPr>
                    <w:noProof/>
                    <w:webHidden/>
                  </w:rPr>
                  <w:fldChar w:fldCharType="separate"/>
                </w:r>
                <w:r w:rsidR="006E2970">
                  <w:rPr>
                    <w:noProof/>
                    <w:webHidden/>
                  </w:rPr>
                  <w:t>15</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24" w:history="1">
                <w:r w:rsidR="000D3A9F" w:rsidRPr="000D20E2">
                  <w:rPr>
                    <w:rStyle w:val="Hyperlink"/>
                    <w:noProof/>
                  </w:rPr>
                  <w:t>Iura Novit Curia</w:t>
                </w:r>
                <w:r w:rsidR="000D3A9F">
                  <w:rPr>
                    <w:noProof/>
                    <w:webHidden/>
                  </w:rPr>
                  <w:tab/>
                </w:r>
                <w:r w:rsidR="00820DC0">
                  <w:rPr>
                    <w:noProof/>
                    <w:webHidden/>
                  </w:rPr>
                  <w:fldChar w:fldCharType="begin"/>
                </w:r>
                <w:r w:rsidR="000D3A9F">
                  <w:rPr>
                    <w:noProof/>
                    <w:webHidden/>
                  </w:rPr>
                  <w:instrText xml:space="preserve"> PAGEREF _Toc352007824 \h </w:instrText>
                </w:r>
                <w:r w:rsidR="00820DC0">
                  <w:rPr>
                    <w:noProof/>
                    <w:webHidden/>
                  </w:rPr>
                </w:r>
                <w:r w:rsidR="00820DC0">
                  <w:rPr>
                    <w:noProof/>
                    <w:webHidden/>
                  </w:rPr>
                  <w:fldChar w:fldCharType="separate"/>
                </w:r>
                <w:r w:rsidR="006E2970">
                  <w:rPr>
                    <w:noProof/>
                    <w:webHidden/>
                  </w:rPr>
                  <w:t>15</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25" w:history="1">
                <w:r w:rsidR="000D3A9F" w:rsidRPr="000D20E2">
                  <w:rPr>
                    <w:rStyle w:val="Hyperlink"/>
                    <w:rFonts w:eastAsia="Calibri"/>
                    <w:noProof/>
                  </w:rPr>
                  <w:t>Exhaustion of Domestic Remedies</w:t>
                </w:r>
                <w:r w:rsidR="000D3A9F">
                  <w:rPr>
                    <w:noProof/>
                    <w:webHidden/>
                  </w:rPr>
                  <w:tab/>
                </w:r>
                <w:r w:rsidR="00820DC0">
                  <w:rPr>
                    <w:noProof/>
                    <w:webHidden/>
                  </w:rPr>
                  <w:fldChar w:fldCharType="begin"/>
                </w:r>
                <w:r w:rsidR="000D3A9F">
                  <w:rPr>
                    <w:noProof/>
                    <w:webHidden/>
                  </w:rPr>
                  <w:instrText xml:space="preserve"> PAGEREF _Toc352007825 \h </w:instrText>
                </w:r>
                <w:r w:rsidR="00820DC0">
                  <w:rPr>
                    <w:noProof/>
                    <w:webHidden/>
                  </w:rPr>
                </w:r>
                <w:r w:rsidR="00820DC0">
                  <w:rPr>
                    <w:noProof/>
                    <w:webHidden/>
                  </w:rPr>
                  <w:fldChar w:fldCharType="separate"/>
                </w:r>
                <w:r w:rsidR="006E2970">
                  <w:rPr>
                    <w:noProof/>
                    <w:webHidden/>
                  </w:rPr>
                  <w:t>16</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26" w:history="1">
                <w:r w:rsidR="000D3A9F" w:rsidRPr="000D20E2">
                  <w:rPr>
                    <w:rStyle w:val="Hyperlink"/>
                    <w:noProof/>
                  </w:rPr>
                  <w:t>The Submission of the Petition</w:t>
                </w:r>
                <w:r w:rsidR="000D3A9F">
                  <w:rPr>
                    <w:noProof/>
                    <w:webHidden/>
                  </w:rPr>
                  <w:tab/>
                </w:r>
                <w:r w:rsidR="00820DC0">
                  <w:rPr>
                    <w:noProof/>
                    <w:webHidden/>
                  </w:rPr>
                  <w:fldChar w:fldCharType="begin"/>
                </w:r>
                <w:r w:rsidR="000D3A9F">
                  <w:rPr>
                    <w:noProof/>
                    <w:webHidden/>
                  </w:rPr>
                  <w:instrText xml:space="preserve"> PAGEREF _Toc352007826 \h </w:instrText>
                </w:r>
                <w:r w:rsidR="00820DC0">
                  <w:rPr>
                    <w:noProof/>
                    <w:webHidden/>
                  </w:rPr>
                </w:r>
                <w:r w:rsidR="00820DC0">
                  <w:rPr>
                    <w:noProof/>
                    <w:webHidden/>
                  </w:rPr>
                  <w:fldChar w:fldCharType="separate"/>
                </w:r>
                <w:r w:rsidR="006E2970">
                  <w:rPr>
                    <w:noProof/>
                    <w:webHidden/>
                  </w:rPr>
                  <w:t>18</w:t>
                </w:r>
                <w:r w:rsidR="00820DC0">
                  <w:rPr>
                    <w:noProof/>
                    <w:webHidden/>
                  </w:rPr>
                  <w:fldChar w:fldCharType="end"/>
                </w:r>
              </w:hyperlink>
            </w:p>
            <w:p w:rsidR="000D3A9F" w:rsidRDefault="00B72F85">
              <w:pPr>
                <w:pStyle w:val="TOC2"/>
                <w:rPr>
                  <w:rFonts w:asciiTheme="minorHAnsi" w:eastAsiaTheme="minorEastAsia" w:hAnsiTheme="minorHAnsi"/>
                  <w:noProof/>
                  <w:sz w:val="22"/>
                  <w:lang w:val="en-GB" w:eastAsia="en-GB"/>
                </w:rPr>
              </w:pPr>
              <w:hyperlink w:anchor="_Toc352007827" w:history="1">
                <w:r w:rsidR="000D3A9F" w:rsidRPr="000D20E2">
                  <w:rPr>
                    <w:rStyle w:val="Hyperlink"/>
                    <w:rFonts w:eastAsia="Calibri"/>
                    <w:noProof/>
                  </w:rPr>
                  <w:t>B.</w:t>
                </w:r>
                <w:r w:rsidR="000D3A9F">
                  <w:rPr>
                    <w:rFonts w:asciiTheme="minorHAnsi" w:eastAsiaTheme="minorEastAsia" w:hAnsiTheme="minorHAnsi"/>
                    <w:noProof/>
                    <w:sz w:val="22"/>
                    <w:lang w:val="en-GB" w:eastAsia="en-GB"/>
                  </w:rPr>
                  <w:tab/>
                </w:r>
                <w:r w:rsidR="000D3A9F" w:rsidRPr="000D20E2">
                  <w:rPr>
                    <w:rStyle w:val="Hyperlink"/>
                    <w:rFonts w:eastAsia="Calibri"/>
                    <w:noProof/>
                  </w:rPr>
                  <w:t>REQUEST FOR PROVISIONAL MEASURES</w:t>
                </w:r>
                <w:r w:rsidR="000D3A9F">
                  <w:rPr>
                    <w:noProof/>
                    <w:webHidden/>
                  </w:rPr>
                  <w:tab/>
                </w:r>
                <w:r w:rsidR="00820DC0">
                  <w:rPr>
                    <w:noProof/>
                    <w:webHidden/>
                  </w:rPr>
                  <w:fldChar w:fldCharType="begin"/>
                </w:r>
                <w:r w:rsidR="000D3A9F">
                  <w:rPr>
                    <w:noProof/>
                    <w:webHidden/>
                  </w:rPr>
                  <w:instrText xml:space="preserve"> PAGEREF _Toc352007827 \h </w:instrText>
                </w:r>
                <w:r w:rsidR="00820DC0">
                  <w:rPr>
                    <w:noProof/>
                    <w:webHidden/>
                  </w:rPr>
                </w:r>
                <w:r w:rsidR="00820DC0">
                  <w:rPr>
                    <w:noProof/>
                    <w:webHidden/>
                  </w:rPr>
                  <w:fldChar w:fldCharType="separate"/>
                </w:r>
                <w:r w:rsidR="006E2970">
                  <w:rPr>
                    <w:noProof/>
                    <w:webHidden/>
                  </w:rPr>
                  <w:t>18</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28" w:history="1">
                <w:r w:rsidR="000D3A9F" w:rsidRPr="000D20E2">
                  <w:rPr>
                    <w:rStyle w:val="Hyperlink"/>
                    <w:rFonts w:eastAsia="Calibri"/>
                    <w:noProof/>
                  </w:rPr>
                  <w:t>Extreme gravity</w:t>
                </w:r>
                <w:r w:rsidR="000D3A9F">
                  <w:rPr>
                    <w:noProof/>
                    <w:webHidden/>
                  </w:rPr>
                  <w:tab/>
                </w:r>
                <w:r w:rsidR="00820DC0">
                  <w:rPr>
                    <w:noProof/>
                    <w:webHidden/>
                  </w:rPr>
                  <w:fldChar w:fldCharType="begin"/>
                </w:r>
                <w:r w:rsidR="000D3A9F">
                  <w:rPr>
                    <w:noProof/>
                    <w:webHidden/>
                  </w:rPr>
                  <w:instrText xml:space="preserve"> PAGEREF _Toc352007828 \h </w:instrText>
                </w:r>
                <w:r w:rsidR="00820DC0">
                  <w:rPr>
                    <w:noProof/>
                    <w:webHidden/>
                  </w:rPr>
                </w:r>
                <w:r w:rsidR="00820DC0">
                  <w:rPr>
                    <w:noProof/>
                    <w:webHidden/>
                  </w:rPr>
                  <w:fldChar w:fldCharType="separate"/>
                </w:r>
                <w:r w:rsidR="006E2970">
                  <w:rPr>
                    <w:noProof/>
                    <w:webHidden/>
                  </w:rPr>
                  <w:t>19</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29" w:history="1">
                <w:r w:rsidR="000D3A9F" w:rsidRPr="000D20E2">
                  <w:rPr>
                    <w:rStyle w:val="Hyperlink"/>
                    <w:rFonts w:eastAsia="Calibri"/>
                    <w:noProof/>
                  </w:rPr>
                  <w:t>Urgency</w:t>
                </w:r>
                <w:r w:rsidR="000D3A9F">
                  <w:rPr>
                    <w:noProof/>
                    <w:webHidden/>
                  </w:rPr>
                  <w:tab/>
                </w:r>
                <w:r w:rsidR="00820DC0">
                  <w:rPr>
                    <w:noProof/>
                    <w:webHidden/>
                  </w:rPr>
                  <w:fldChar w:fldCharType="begin"/>
                </w:r>
                <w:r w:rsidR="000D3A9F">
                  <w:rPr>
                    <w:noProof/>
                    <w:webHidden/>
                  </w:rPr>
                  <w:instrText xml:space="preserve"> PAGEREF _Toc352007829 \h </w:instrText>
                </w:r>
                <w:r w:rsidR="00820DC0">
                  <w:rPr>
                    <w:noProof/>
                    <w:webHidden/>
                  </w:rPr>
                </w:r>
                <w:r w:rsidR="00820DC0">
                  <w:rPr>
                    <w:noProof/>
                    <w:webHidden/>
                  </w:rPr>
                  <w:fldChar w:fldCharType="separate"/>
                </w:r>
                <w:r w:rsidR="006E2970">
                  <w:rPr>
                    <w:noProof/>
                    <w:webHidden/>
                  </w:rPr>
                  <w:t>19</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30" w:history="1">
                <w:r w:rsidR="000D3A9F" w:rsidRPr="000D20E2">
                  <w:rPr>
                    <w:rStyle w:val="Hyperlink"/>
                    <w:rFonts w:eastAsia="Calibri"/>
                    <w:noProof/>
                  </w:rPr>
                  <w:t>Irreparable Damage</w:t>
                </w:r>
                <w:r w:rsidR="000D3A9F">
                  <w:rPr>
                    <w:noProof/>
                    <w:webHidden/>
                  </w:rPr>
                  <w:tab/>
                </w:r>
                <w:r w:rsidR="00820DC0">
                  <w:rPr>
                    <w:noProof/>
                    <w:webHidden/>
                  </w:rPr>
                  <w:fldChar w:fldCharType="begin"/>
                </w:r>
                <w:r w:rsidR="000D3A9F">
                  <w:rPr>
                    <w:noProof/>
                    <w:webHidden/>
                  </w:rPr>
                  <w:instrText xml:space="preserve"> PAGEREF _Toc352007830 \h </w:instrText>
                </w:r>
                <w:r w:rsidR="00820DC0">
                  <w:rPr>
                    <w:noProof/>
                    <w:webHidden/>
                  </w:rPr>
                </w:r>
                <w:r w:rsidR="00820DC0">
                  <w:rPr>
                    <w:noProof/>
                    <w:webHidden/>
                  </w:rPr>
                  <w:fldChar w:fldCharType="separate"/>
                </w:r>
                <w:r w:rsidR="006E2970">
                  <w:rPr>
                    <w:noProof/>
                    <w:webHidden/>
                  </w:rPr>
                  <w:t>20</w:t>
                </w:r>
                <w:r w:rsidR="00820DC0">
                  <w:rPr>
                    <w:noProof/>
                    <w:webHidden/>
                  </w:rPr>
                  <w:fldChar w:fldCharType="end"/>
                </w:r>
              </w:hyperlink>
            </w:p>
            <w:p w:rsidR="000D3A9F" w:rsidRDefault="00B72F85">
              <w:pPr>
                <w:pStyle w:val="TOC2"/>
                <w:rPr>
                  <w:rFonts w:asciiTheme="minorHAnsi" w:eastAsiaTheme="minorEastAsia" w:hAnsiTheme="minorHAnsi"/>
                  <w:noProof/>
                  <w:sz w:val="22"/>
                  <w:lang w:val="en-GB" w:eastAsia="en-GB"/>
                </w:rPr>
              </w:pPr>
              <w:hyperlink w:anchor="_Toc352007831" w:history="1">
                <w:r w:rsidR="000D3A9F" w:rsidRPr="000D20E2">
                  <w:rPr>
                    <w:rStyle w:val="Hyperlink"/>
                    <w:noProof/>
                  </w:rPr>
                  <w:t>C.</w:t>
                </w:r>
                <w:r w:rsidR="000D3A9F">
                  <w:rPr>
                    <w:rFonts w:asciiTheme="minorHAnsi" w:eastAsiaTheme="minorEastAsia" w:hAnsiTheme="minorHAnsi"/>
                    <w:noProof/>
                    <w:sz w:val="22"/>
                    <w:lang w:val="en-GB" w:eastAsia="en-GB"/>
                  </w:rPr>
                  <w:tab/>
                </w:r>
                <w:r w:rsidR="000D3A9F" w:rsidRPr="000D20E2">
                  <w:rPr>
                    <w:rStyle w:val="Hyperlink"/>
                    <w:noProof/>
                  </w:rPr>
                  <w:t>MERITS</w:t>
                </w:r>
                <w:r w:rsidR="000D3A9F">
                  <w:rPr>
                    <w:noProof/>
                    <w:webHidden/>
                  </w:rPr>
                  <w:tab/>
                </w:r>
                <w:r w:rsidR="00820DC0">
                  <w:rPr>
                    <w:noProof/>
                    <w:webHidden/>
                  </w:rPr>
                  <w:fldChar w:fldCharType="begin"/>
                </w:r>
                <w:r w:rsidR="000D3A9F">
                  <w:rPr>
                    <w:noProof/>
                    <w:webHidden/>
                  </w:rPr>
                  <w:instrText xml:space="preserve"> PAGEREF _Toc352007831 \h </w:instrText>
                </w:r>
                <w:r w:rsidR="00820DC0">
                  <w:rPr>
                    <w:noProof/>
                    <w:webHidden/>
                  </w:rPr>
                </w:r>
                <w:r w:rsidR="00820DC0">
                  <w:rPr>
                    <w:noProof/>
                    <w:webHidden/>
                  </w:rPr>
                  <w:fldChar w:fldCharType="separate"/>
                </w:r>
                <w:r w:rsidR="006E2970">
                  <w:rPr>
                    <w:noProof/>
                    <w:webHidden/>
                  </w:rPr>
                  <w:t>21</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32" w:history="1">
                <w:r w:rsidR="006E4FC0">
                  <w:rPr>
                    <w:rStyle w:val="Hyperlink"/>
                    <w:noProof/>
                  </w:rPr>
                  <w:t>Article</w:t>
                </w:r>
                <w:r w:rsidR="000D3A9F" w:rsidRPr="000D20E2">
                  <w:rPr>
                    <w:rStyle w:val="Hyperlink"/>
                    <w:noProof/>
                  </w:rPr>
                  <w:t xml:space="preserve"> 24 </w:t>
                </w:r>
                <w:r w:rsidR="006E4FC0">
                  <w:rPr>
                    <w:rStyle w:val="Hyperlink"/>
                    <w:noProof/>
                  </w:rPr>
                  <w:t>and</w:t>
                </w:r>
                <w:r w:rsidR="000D3A9F" w:rsidRPr="000D20E2">
                  <w:rPr>
                    <w:rStyle w:val="Hyperlink"/>
                    <w:noProof/>
                  </w:rPr>
                  <w:t xml:space="preserve"> A</w:t>
                </w:r>
                <w:r w:rsidR="006E4FC0">
                  <w:rPr>
                    <w:rStyle w:val="Hyperlink"/>
                    <w:noProof/>
                  </w:rPr>
                  <w:t>rticle</w:t>
                </w:r>
                <w:r w:rsidR="000D3A9F" w:rsidRPr="000D20E2">
                  <w:rPr>
                    <w:rStyle w:val="Hyperlink"/>
                    <w:noProof/>
                  </w:rPr>
                  <w:t xml:space="preserve"> 1(1): </w:t>
                </w:r>
                <w:r w:rsidR="006C76BE">
                  <w:rPr>
                    <w:rStyle w:val="Hyperlink"/>
                    <w:noProof/>
                  </w:rPr>
                  <w:t>Equality and Non-discrimination</w:t>
                </w:r>
                <w:r w:rsidR="000D3A9F">
                  <w:rPr>
                    <w:noProof/>
                    <w:webHidden/>
                  </w:rPr>
                  <w:tab/>
                </w:r>
                <w:r w:rsidR="00820DC0">
                  <w:rPr>
                    <w:noProof/>
                    <w:webHidden/>
                  </w:rPr>
                  <w:fldChar w:fldCharType="begin"/>
                </w:r>
                <w:r w:rsidR="000D3A9F">
                  <w:rPr>
                    <w:noProof/>
                    <w:webHidden/>
                  </w:rPr>
                  <w:instrText xml:space="preserve"> PAGEREF _Toc352007832 \h </w:instrText>
                </w:r>
                <w:r w:rsidR="00820DC0">
                  <w:rPr>
                    <w:noProof/>
                    <w:webHidden/>
                  </w:rPr>
                </w:r>
                <w:r w:rsidR="00820DC0">
                  <w:rPr>
                    <w:noProof/>
                    <w:webHidden/>
                  </w:rPr>
                  <w:fldChar w:fldCharType="separate"/>
                </w:r>
                <w:r w:rsidR="006E2970">
                  <w:rPr>
                    <w:noProof/>
                    <w:webHidden/>
                  </w:rPr>
                  <w:t>21</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33" w:history="1">
                <w:r w:rsidR="006C76BE">
                  <w:rPr>
                    <w:rStyle w:val="Hyperlink"/>
                    <w:rFonts w:eastAsia="Calibri"/>
                    <w:noProof/>
                  </w:rPr>
                  <w:t>Article 17</w:t>
                </w:r>
                <w:r w:rsidR="000D3A9F" w:rsidRPr="000D20E2">
                  <w:rPr>
                    <w:rStyle w:val="Hyperlink"/>
                    <w:rFonts w:eastAsia="Calibri"/>
                    <w:noProof/>
                  </w:rPr>
                  <w:t xml:space="preserve">: </w:t>
                </w:r>
                <w:r w:rsidR="006C76BE">
                  <w:rPr>
                    <w:rStyle w:val="Hyperlink"/>
                    <w:rFonts w:eastAsia="Calibri"/>
                    <w:noProof/>
                  </w:rPr>
                  <w:t>Right to Marry and Right to Family</w:t>
                </w:r>
                <w:r w:rsidR="000D3A9F">
                  <w:rPr>
                    <w:noProof/>
                    <w:webHidden/>
                  </w:rPr>
                  <w:tab/>
                </w:r>
                <w:r w:rsidR="00820DC0">
                  <w:rPr>
                    <w:noProof/>
                    <w:webHidden/>
                  </w:rPr>
                  <w:fldChar w:fldCharType="begin"/>
                </w:r>
                <w:r w:rsidR="000D3A9F">
                  <w:rPr>
                    <w:noProof/>
                    <w:webHidden/>
                  </w:rPr>
                  <w:instrText xml:space="preserve"> PAGEREF _Toc352007833 \h </w:instrText>
                </w:r>
                <w:r w:rsidR="00820DC0">
                  <w:rPr>
                    <w:noProof/>
                    <w:webHidden/>
                  </w:rPr>
                </w:r>
                <w:r w:rsidR="00820DC0">
                  <w:rPr>
                    <w:noProof/>
                    <w:webHidden/>
                  </w:rPr>
                  <w:fldChar w:fldCharType="separate"/>
                </w:r>
                <w:r w:rsidR="006E2970">
                  <w:rPr>
                    <w:noProof/>
                    <w:webHidden/>
                  </w:rPr>
                  <w:t>28</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34" w:history="1">
                <w:r w:rsidR="006C76BE">
                  <w:rPr>
                    <w:rStyle w:val="Hyperlink"/>
                    <w:rFonts w:eastAsia="Calibri"/>
                    <w:noProof/>
                  </w:rPr>
                  <w:t>Article 11: Right to Privacy</w:t>
                </w:r>
                <w:r w:rsidR="000D3A9F">
                  <w:rPr>
                    <w:noProof/>
                    <w:webHidden/>
                  </w:rPr>
                  <w:tab/>
                </w:r>
                <w:r w:rsidR="00820DC0">
                  <w:rPr>
                    <w:noProof/>
                    <w:webHidden/>
                  </w:rPr>
                  <w:fldChar w:fldCharType="begin"/>
                </w:r>
                <w:r w:rsidR="000D3A9F">
                  <w:rPr>
                    <w:noProof/>
                    <w:webHidden/>
                  </w:rPr>
                  <w:instrText xml:space="preserve"> PAGEREF _Toc352007834 \h </w:instrText>
                </w:r>
                <w:r w:rsidR="00820DC0">
                  <w:rPr>
                    <w:noProof/>
                    <w:webHidden/>
                  </w:rPr>
                </w:r>
                <w:r w:rsidR="00820DC0">
                  <w:rPr>
                    <w:noProof/>
                    <w:webHidden/>
                  </w:rPr>
                  <w:fldChar w:fldCharType="separate"/>
                </w:r>
                <w:r w:rsidR="006E2970">
                  <w:rPr>
                    <w:noProof/>
                    <w:webHidden/>
                  </w:rPr>
                  <w:t>32</w:t>
                </w:r>
                <w:r w:rsidR="00820DC0">
                  <w:rPr>
                    <w:noProof/>
                    <w:webHidden/>
                  </w:rPr>
                  <w:fldChar w:fldCharType="end"/>
                </w:r>
              </w:hyperlink>
            </w:p>
            <w:p w:rsidR="000D3A9F" w:rsidRDefault="00B72F85">
              <w:pPr>
                <w:pStyle w:val="TOC3"/>
                <w:tabs>
                  <w:tab w:val="right" w:leader="dot" w:pos="9350"/>
                </w:tabs>
                <w:rPr>
                  <w:rFonts w:asciiTheme="minorHAnsi" w:eastAsiaTheme="minorEastAsia" w:hAnsiTheme="minorHAnsi"/>
                  <w:i w:val="0"/>
                  <w:noProof/>
                  <w:sz w:val="22"/>
                  <w:lang w:val="en-GB" w:eastAsia="en-GB"/>
                </w:rPr>
              </w:pPr>
              <w:hyperlink w:anchor="_Toc352007835" w:history="1">
                <w:r w:rsidR="006C76BE">
                  <w:rPr>
                    <w:rStyle w:val="Hyperlink"/>
                    <w:noProof/>
                  </w:rPr>
                  <w:t>Article 8 and Article 25</w:t>
                </w:r>
                <w:r w:rsidR="000D3A9F">
                  <w:rPr>
                    <w:rStyle w:val="Hyperlink"/>
                    <w:noProof/>
                  </w:rPr>
                  <w:t xml:space="preserve">: </w:t>
                </w:r>
                <w:r w:rsidR="006C76BE">
                  <w:rPr>
                    <w:rStyle w:val="Hyperlink"/>
                    <w:noProof/>
                  </w:rPr>
                  <w:t>Judicial Protection and Due Process</w:t>
                </w:r>
                <w:r w:rsidR="000D3A9F">
                  <w:rPr>
                    <w:noProof/>
                    <w:webHidden/>
                  </w:rPr>
                  <w:tab/>
                </w:r>
                <w:r w:rsidR="00820DC0">
                  <w:rPr>
                    <w:noProof/>
                    <w:webHidden/>
                  </w:rPr>
                  <w:fldChar w:fldCharType="begin"/>
                </w:r>
                <w:r w:rsidR="000D3A9F">
                  <w:rPr>
                    <w:noProof/>
                    <w:webHidden/>
                  </w:rPr>
                  <w:instrText xml:space="preserve"> PAGEREF _Toc352007835 \h </w:instrText>
                </w:r>
                <w:r w:rsidR="00820DC0">
                  <w:rPr>
                    <w:noProof/>
                    <w:webHidden/>
                  </w:rPr>
                </w:r>
                <w:r w:rsidR="00820DC0">
                  <w:rPr>
                    <w:noProof/>
                    <w:webHidden/>
                  </w:rPr>
                  <w:fldChar w:fldCharType="separate"/>
                </w:r>
                <w:r w:rsidR="006E2970">
                  <w:rPr>
                    <w:noProof/>
                    <w:webHidden/>
                  </w:rPr>
                  <w:t>36</w:t>
                </w:r>
                <w:r w:rsidR="00820DC0">
                  <w:rPr>
                    <w:noProof/>
                    <w:webHidden/>
                  </w:rPr>
                  <w:fldChar w:fldCharType="end"/>
                </w:r>
              </w:hyperlink>
            </w:p>
            <w:p w:rsidR="000D3A9F" w:rsidRDefault="00B72F85">
              <w:pPr>
                <w:pStyle w:val="TOC1"/>
                <w:rPr>
                  <w:rFonts w:asciiTheme="minorHAnsi" w:eastAsiaTheme="minorEastAsia" w:hAnsiTheme="minorHAnsi"/>
                  <w:b w:val="0"/>
                  <w:noProof/>
                  <w:sz w:val="22"/>
                  <w:lang w:val="en-GB" w:eastAsia="en-GB"/>
                </w:rPr>
              </w:pPr>
              <w:hyperlink w:anchor="_Toc352007836" w:history="1">
                <w:r w:rsidR="000D3A9F" w:rsidRPr="000D20E2">
                  <w:rPr>
                    <w:rStyle w:val="Hyperlink"/>
                    <w:noProof/>
                  </w:rPr>
                  <w:t>IV.</w:t>
                </w:r>
                <w:r w:rsidR="000D3A9F">
                  <w:rPr>
                    <w:rFonts w:asciiTheme="minorHAnsi" w:eastAsiaTheme="minorEastAsia" w:hAnsiTheme="minorHAnsi"/>
                    <w:b w:val="0"/>
                    <w:noProof/>
                    <w:sz w:val="22"/>
                    <w:lang w:val="en-GB" w:eastAsia="en-GB"/>
                  </w:rPr>
                  <w:tab/>
                </w:r>
                <w:r w:rsidR="000D3A9F" w:rsidRPr="000D20E2">
                  <w:rPr>
                    <w:rStyle w:val="Hyperlink"/>
                    <w:noProof/>
                  </w:rPr>
                  <w:t>PRAYER FOR RELIEF</w:t>
                </w:r>
                <w:r w:rsidR="000D3A9F">
                  <w:rPr>
                    <w:noProof/>
                    <w:webHidden/>
                  </w:rPr>
                  <w:tab/>
                </w:r>
                <w:r w:rsidR="00820DC0">
                  <w:rPr>
                    <w:noProof/>
                    <w:webHidden/>
                  </w:rPr>
                  <w:fldChar w:fldCharType="begin"/>
                </w:r>
                <w:r w:rsidR="000D3A9F">
                  <w:rPr>
                    <w:noProof/>
                    <w:webHidden/>
                  </w:rPr>
                  <w:instrText xml:space="preserve"> PAGEREF _Toc352007836 \h </w:instrText>
                </w:r>
                <w:r w:rsidR="00820DC0">
                  <w:rPr>
                    <w:noProof/>
                    <w:webHidden/>
                  </w:rPr>
                </w:r>
                <w:r w:rsidR="00820DC0">
                  <w:rPr>
                    <w:noProof/>
                    <w:webHidden/>
                  </w:rPr>
                  <w:fldChar w:fldCharType="separate"/>
                </w:r>
                <w:r w:rsidR="006E2970">
                  <w:rPr>
                    <w:noProof/>
                    <w:webHidden/>
                  </w:rPr>
                  <w:t>40</w:t>
                </w:r>
                <w:r w:rsidR="00820DC0">
                  <w:rPr>
                    <w:noProof/>
                    <w:webHidden/>
                  </w:rPr>
                  <w:fldChar w:fldCharType="end"/>
                </w:r>
              </w:hyperlink>
            </w:p>
            <w:p w:rsidR="00D8178D" w:rsidRPr="00F80F44" w:rsidRDefault="00820DC0" w:rsidP="001674E8">
              <w:pPr>
                <w:spacing w:line="480" w:lineRule="auto"/>
                <w:rPr>
                  <w:rFonts w:cs="Times New Roman"/>
                  <w:szCs w:val="24"/>
                </w:rPr>
              </w:pPr>
              <w:r>
                <w:rPr>
                  <w:rFonts w:cs="Times New Roman"/>
                  <w:szCs w:val="24"/>
                </w:rPr>
                <w:fldChar w:fldCharType="end"/>
              </w:r>
            </w:p>
          </w:sdtContent>
        </w:sdt>
        <w:p w:rsidR="00E71640" w:rsidRPr="00E71640" w:rsidRDefault="00B72F85" w:rsidP="00E71640">
          <w:pPr>
            <w:rPr>
              <w:rFonts w:cs="Times New Roman"/>
              <w:b/>
              <w:szCs w:val="24"/>
              <w:u w:val="single"/>
            </w:rPr>
          </w:pPr>
        </w:p>
      </w:sdtContent>
    </w:sdt>
    <w:p w:rsidR="00E71640" w:rsidRDefault="00F80F44" w:rsidP="00E71640">
      <w:pPr>
        <w:pStyle w:val="Heading1"/>
        <w:numPr>
          <w:ilvl w:val="0"/>
          <w:numId w:val="2"/>
        </w:numPr>
      </w:pPr>
      <w:bookmarkStart w:id="1" w:name="_Toc352007819"/>
      <w:r w:rsidRPr="0091573B">
        <w:rPr>
          <w:u w:val="none"/>
        </w:rPr>
        <w:lastRenderedPageBreak/>
        <w:t>INDEX</w:t>
      </w:r>
      <w:r w:rsidR="00E71640" w:rsidRPr="0091573B">
        <w:rPr>
          <w:u w:val="none"/>
        </w:rPr>
        <w:t xml:space="preserve"> OF AUTHORITIES</w:t>
      </w:r>
      <w:bookmarkEnd w:id="1"/>
    </w:p>
    <w:p w:rsidR="00A6208A" w:rsidRPr="009B2577" w:rsidRDefault="00820DC0" w:rsidP="009B2577">
      <w:pPr>
        <w:pStyle w:val="TOAHeading"/>
      </w:pPr>
      <w:r>
        <w:fldChar w:fldCharType="begin"/>
      </w:r>
      <w:r w:rsidR="009969AC">
        <w:instrText xml:space="preserve"> TOA \h \c "1" </w:instrText>
      </w:r>
      <w:r>
        <w:fldChar w:fldCharType="separate"/>
      </w:r>
      <w:r w:rsidR="00A6208A">
        <w:t>Cases</w:t>
      </w:r>
    </w:p>
    <w:p w:rsidR="00A6208A" w:rsidRPr="00A6208A" w:rsidRDefault="00A6208A" w:rsidP="00A6208A"/>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 xml:space="preserve">Clift v United Kingdom, </w:t>
      </w:r>
      <w:r w:rsidRPr="00056541">
        <w:rPr>
          <w:rFonts w:cs="Times New Roman"/>
          <w:noProof/>
        </w:rPr>
        <w:t>Application No. 7205/07, July 13, 2010</w:t>
      </w:r>
      <w:r>
        <w:rPr>
          <w:noProof/>
        </w:rPr>
        <w:tab/>
        <w:t>22</w:t>
      </w:r>
    </w:p>
    <w:p w:rsidR="00A6208A" w:rsidRDefault="00A6208A">
      <w:pPr>
        <w:pStyle w:val="TableofAuthorities"/>
        <w:tabs>
          <w:tab w:val="right" w:leader="dot" w:pos="9350"/>
        </w:tabs>
        <w:rPr>
          <w:noProof/>
        </w:rPr>
      </w:pPr>
      <w:r w:rsidRPr="00056541">
        <w:rPr>
          <w:rFonts w:cs="Times New Roman"/>
          <w:noProof/>
        </w:rPr>
        <w:t>ECtHR, Dudgeon v. The United Kingdom, Application No. 7525/76, October 22, 1981</w:t>
      </w:r>
      <w:r>
        <w:rPr>
          <w:noProof/>
        </w:rPr>
        <w:tab/>
        <w:t>34</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 xml:space="preserve">EB v France, </w:t>
      </w:r>
      <w:r w:rsidRPr="00056541">
        <w:rPr>
          <w:rFonts w:cs="Times New Roman"/>
          <w:noProof/>
        </w:rPr>
        <w:t>Application No. 43546/02, January, 22, 2008</w:t>
      </w:r>
      <w:r>
        <w:rPr>
          <w:noProof/>
        </w:rPr>
        <w:tab/>
        <w:t>22</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García Ruiz v. Spain</w:t>
      </w:r>
      <w:r w:rsidRPr="00056541">
        <w:rPr>
          <w:rFonts w:cs="Times New Roman"/>
          <w:noProof/>
        </w:rPr>
        <w:t>, Application No.</w:t>
      </w:r>
      <w:r>
        <w:rPr>
          <w:noProof/>
        </w:rPr>
        <w:t xml:space="preserve"> </w:t>
      </w:r>
      <w:r w:rsidRPr="00056541">
        <w:rPr>
          <w:rFonts w:cs="Times New Roman"/>
          <w:noProof/>
        </w:rPr>
        <w:t>30544/96, January 21, 1999</w:t>
      </w:r>
      <w:r>
        <w:rPr>
          <w:noProof/>
        </w:rPr>
        <w:tab/>
        <w:t>39</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Goodwin v UK</w:t>
      </w:r>
      <w:r w:rsidRPr="00056541">
        <w:rPr>
          <w:rFonts w:cs="Times New Roman"/>
          <w:noProof/>
        </w:rPr>
        <w:t>, Application No. 28957/95, July 11, 2002</w:t>
      </w:r>
      <w:r>
        <w:rPr>
          <w:noProof/>
        </w:rPr>
        <w:tab/>
        <w:t>30</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H v Belgium</w:t>
      </w:r>
      <w:r w:rsidRPr="00056541">
        <w:rPr>
          <w:rFonts w:cs="Times New Roman"/>
          <w:noProof/>
        </w:rPr>
        <w:t>, Application No. 8950/80, November 30, 1987</w:t>
      </w:r>
      <w:r>
        <w:rPr>
          <w:noProof/>
        </w:rPr>
        <w:tab/>
        <w:t>39</w:t>
      </w:r>
    </w:p>
    <w:p w:rsidR="00A6208A" w:rsidRDefault="00A6208A">
      <w:pPr>
        <w:pStyle w:val="TableofAuthorities"/>
        <w:tabs>
          <w:tab w:val="right" w:leader="dot" w:pos="9350"/>
        </w:tabs>
        <w:rPr>
          <w:noProof/>
        </w:rPr>
      </w:pPr>
      <w:r>
        <w:rPr>
          <w:noProof/>
        </w:rPr>
        <w:t>ECtHR, Handyside v the UK, (Application No. 5493/72),November 4, 1976</w:t>
      </w:r>
      <w:r>
        <w:rPr>
          <w:noProof/>
        </w:rPr>
        <w:tab/>
        <w:t>15</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Karner v Austria</w:t>
      </w:r>
      <w:r w:rsidRPr="00056541">
        <w:rPr>
          <w:rFonts w:cs="Times New Roman"/>
          <w:noProof/>
        </w:rPr>
        <w:t>, Application No. 40016/98, July 24, 2003</w:t>
      </w:r>
      <w:r>
        <w:rPr>
          <w:noProof/>
        </w:rPr>
        <w:tab/>
        <w:t>24</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 xml:space="preserve">P.B. and J.S. v Austria, </w:t>
      </w:r>
      <w:r w:rsidRPr="00056541">
        <w:rPr>
          <w:rFonts w:cs="Times New Roman"/>
          <w:noProof/>
        </w:rPr>
        <w:t>Application No. 18984/02, July 22, 2010</w:t>
      </w:r>
      <w:r>
        <w:rPr>
          <w:noProof/>
        </w:rPr>
        <w:tab/>
        <w:t>28</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Peck v. United Kingdom</w:t>
      </w:r>
      <w:r w:rsidRPr="00056541">
        <w:rPr>
          <w:rFonts w:cs="Times New Roman"/>
          <w:noProof/>
        </w:rPr>
        <w:t>, Application No. 44647/98, January 28, 2003</w:t>
      </w:r>
      <w:r>
        <w:rPr>
          <w:noProof/>
        </w:rPr>
        <w:tab/>
        <w:t>33</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 xml:space="preserve">Salguiero de Silva Mouta v Portugal, </w:t>
      </w:r>
      <w:r w:rsidRPr="00056541">
        <w:rPr>
          <w:rFonts w:cs="Times New Roman"/>
          <w:noProof/>
        </w:rPr>
        <w:t>Application No. 33290/96, December 21, 1999</w:t>
      </w:r>
      <w:r>
        <w:rPr>
          <w:noProof/>
        </w:rPr>
        <w:tab/>
        <w:t>22</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Schalk and Kopf v Austria</w:t>
      </w:r>
      <w:r w:rsidRPr="00056541">
        <w:rPr>
          <w:rFonts w:cs="Times New Roman"/>
          <w:noProof/>
        </w:rPr>
        <w:t>, Application No. 30141/04, June 24, 2010</w:t>
      </w:r>
      <w:r>
        <w:rPr>
          <w:noProof/>
        </w:rPr>
        <w:tab/>
        <w:t>24, 25, 28, 31, 34</w:t>
      </w:r>
    </w:p>
    <w:p w:rsidR="00A6208A" w:rsidRDefault="00A6208A">
      <w:pPr>
        <w:pStyle w:val="TableofAuthorities"/>
        <w:tabs>
          <w:tab w:val="right" w:leader="dot" w:pos="9350"/>
        </w:tabs>
        <w:rPr>
          <w:noProof/>
        </w:rPr>
      </w:pPr>
      <w:r w:rsidRPr="00056541">
        <w:rPr>
          <w:rFonts w:cs="Times New Roman"/>
          <w:noProof/>
        </w:rPr>
        <w:t xml:space="preserve">ECtHR, </w:t>
      </w:r>
      <w:r w:rsidRPr="00056541">
        <w:rPr>
          <w:rFonts w:cs="Times New Roman"/>
          <w:i/>
          <w:noProof/>
        </w:rPr>
        <w:t>SL v Austria</w:t>
      </w:r>
      <w:r w:rsidRPr="00056541">
        <w:rPr>
          <w:rFonts w:cs="Times New Roman"/>
          <w:noProof/>
        </w:rPr>
        <w:t>, Application No. 45330/99, January 9, 2003</w:t>
      </w:r>
      <w:r>
        <w:rPr>
          <w:noProof/>
        </w:rPr>
        <w:tab/>
        <w:t>22</w:t>
      </w:r>
    </w:p>
    <w:p w:rsidR="00A6208A" w:rsidRDefault="00A6208A">
      <w:pPr>
        <w:pStyle w:val="TableofAuthorities"/>
        <w:tabs>
          <w:tab w:val="right" w:leader="dot" w:pos="9350"/>
        </w:tabs>
        <w:rPr>
          <w:noProof/>
        </w:rPr>
      </w:pPr>
      <w:r w:rsidRPr="00056541">
        <w:rPr>
          <w:rFonts w:cs="Times New Roman"/>
          <w:noProof/>
        </w:rPr>
        <w:t>ECtHR,</w:t>
      </w:r>
      <w:r w:rsidRPr="00056541">
        <w:rPr>
          <w:rFonts w:cs="Times New Roman"/>
          <w:i/>
          <w:noProof/>
        </w:rPr>
        <w:t xml:space="preserve"> X, Y, and Z v United Kingdom</w:t>
      </w:r>
      <w:r w:rsidRPr="00056541">
        <w:rPr>
          <w:rFonts w:cs="Times New Roman"/>
          <w:noProof/>
        </w:rPr>
        <w:t>, Application No.</w:t>
      </w:r>
      <w:r>
        <w:rPr>
          <w:noProof/>
        </w:rPr>
        <w:t xml:space="preserve"> </w:t>
      </w:r>
      <w:r w:rsidRPr="00056541">
        <w:rPr>
          <w:rFonts w:cs="Times New Roman"/>
          <w:noProof/>
        </w:rPr>
        <w:t>21830/93, April 22, 1997</w:t>
      </w:r>
      <w:r>
        <w:rPr>
          <w:noProof/>
        </w:rPr>
        <w:tab/>
        <w:t>25</w:t>
      </w:r>
    </w:p>
    <w:p w:rsidR="00A6208A" w:rsidRDefault="00A6208A">
      <w:pPr>
        <w:pStyle w:val="TableofAuthorities"/>
        <w:tabs>
          <w:tab w:val="right" w:leader="dot" w:pos="9350"/>
        </w:tabs>
        <w:rPr>
          <w:noProof/>
        </w:rPr>
      </w:pPr>
      <w:r>
        <w:rPr>
          <w:noProof/>
        </w:rPr>
        <w:t>ECtHR, Y.F. v. Turkey (Application No. 24209/94) July 22, 2003</w:t>
      </w:r>
      <w:r>
        <w:rPr>
          <w:noProof/>
        </w:rPr>
        <w:tab/>
        <w:t>21</w:t>
      </w:r>
    </w:p>
    <w:p w:rsidR="00A6208A" w:rsidRDefault="00A6208A">
      <w:pPr>
        <w:pStyle w:val="TableofAuthorities"/>
        <w:tabs>
          <w:tab w:val="right" w:leader="dot" w:pos="9350"/>
        </w:tabs>
        <w:rPr>
          <w:noProof/>
        </w:rPr>
      </w:pPr>
      <w:r>
        <w:rPr>
          <w:noProof/>
        </w:rPr>
        <w:t>Four Ngöbe Indigenous Communities and Their Members (Panama), Provisional Measures,  IACtHR, 28 May 2010, "Considering" 10</w:t>
      </w:r>
      <w:r>
        <w:rPr>
          <w:noProof/>
        </w:rPr>
        <w:tab/>
        <w:t>20</w:t>
      </w:r>
    </w:p>
    <w:p w:rsidR="00A6208A" w:rsidRDefault="00A6208A">
      <w:pPr>
        <w:pStyle w:val="TableofAuthorities"/>
        <w:tabs>
          <w:tab w:val="right" w:leader="dot" w:pos="9350"/>
        </w:tabs>
        <w:rPr>
          <w:noProof/>
        </w:rPr>
      </w:pPr>
      <w:r w:rsidRPr="00056541">
        <w:rPr>
          <w:rFonts w:cs="Times New Roman"/>
          <w:i/>
          <w:noProof/>
        </w:rPr>
        <w:t>Goodridge v Department of Public Health</w:t>
      </w:r>
      <w:r w:rsidRPr="00056541">
        <w:rPr>
          <w:rFonts w:cs="Times New Roman"/>
          <w:noProof/>
        </w:rPr>
        <w:t xml:space="preserve"> 798 N.E.2d 941 (Mass. 2003)</w:t>
      </w:r>
      <w:r>
        <w:rPr>
          <w:noProof/>
        </w:rPr>
        <w:tab/>
        <w:t>35</w:t>
      </w:r>
    </w:p>
    <w:p w:rsidR="00A6208A" w:rsidRDefault="00A6208A">
      <w:pPr>
        <w:pStyle w:val="TableofAuthorities"/>
        <w:tabs>
          <w:tab w:val="right" w:leader="dot" w:pos="9350"/>
        </w:tabs>
        <w:rPr>
          <w:noProof/>
        </w:rPr>
      </w:pPr>
      <w:r w:rsidRPr="00056541">
        <w:rPr>
          <w:rFonts w:cs="Times New Roman"/>
          <w:i/>
          <w:noProof/>
        </w:rPr>
        <w:t>Halpern v Canada</w:t>
      </w:r>
      <w:r w:rsidRPr="00056541">
        <w:rPr>
          <w:rFonts w:cs="Times New Roman"/>
          <w:noProof/>
        </w:rPr>
        <w:t xml:space="preserve"> [2003] O.J. No. 2268,</w:t>
      </w:r>
      <w:r>
        <w:rPr>
          <w:noProof/>
        </w:rPr>
        <w:tab/>
        <w:t>27</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Chitay Nech et al v. Guatemala</w:t>
      </w:r>
      <w:r w:rsidRPr="00056541">
        <w:rPr>
          <w:rFonts w:cs="Times New Roman"/>
          <w:noProof/>
        </w:rPr>
        <w:t>. Preliminary Objections, Merits, Reparations and Costs. Judgment of May 25, 2010. Series C No. 212</w:t>
      </w:r>
      <w:r>
        <w:rPr>
          <w:noProof/>
        </w:rPr>
        <w:tab/>
        <w:t>36</w:t>
      </w:r>
    </w:p>
    <w:p w:rsidR="00A6208A" w:rsidRDefault="00A6208A">
      <w:pPr>
        <w:pStyle w:val="TableofAuthorities"/>
        <w:tabs>
          <w:tab w:val="right" w:leader="dot" w:pos="9350"/>
        </w:tabs>
        <w:rPr>
          <w:noProof/>
        </w:rPr>
      </w:pPr>
      <w:r w:rsidRPr="00056541">
        <w:rPr>
          <w:rFonts w:cs="Times New Roman"/>
          <w:noProof/>
        </w:rPr>
        <w:lastRenderedPageBreak/>
        <w:t xml:space="preserve">I/A Court H.R </w:t>
      </w:r>
      <w:r w:rsidRPr="00056541">
        <w:rPr>
          <w:rFonts w:cs="Times New Roman"/>
          <w:i/>
          <w:noProof/>
        </w:rPr>
        <w:t>Case of the “Las Dos Erres" Massacre v. Guatemala</w:t>
      </w:r>
      <w:r w:rsidRPr="00056541">
        <w:rPr>
          <w:rFonts w:cs="Times New Roman"/>
          <w:noProof/>
        </w:rPr>
        <w:t>. Preliminary Objections, Merits, Reparations and Costs. Judgment of November 24, 2009. Series C No. 211</w:t>
      </w:r>
      <w:r>
        <w:rPr>
          <w:noProof/>
        </w:rPr>
        <w:tab/>
        <w:t>36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 xml:space="preserve">Case of Hilaire, Constantine and Benjamin et al. v. Trinidad and Tobago. </w:t>
      </w:r>
      <w:r w:rsidRPr="00056541">
        <w:rPr>
          <w:rFonts w:cs="Times New Roman"/>
          <w:noProof/>
        </w:rPr>
        <w:t>Merits, Reparations and Costs. Judgment of June 21, 2002. Series C No. 94</w:t>
      </w:r>
      <w:r>
        <w:rPr>
          <w:noProof/>
        </w:rPr>
        <w:tab/>
        <w:t>15</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 xml:space="preserve">Case of Mejía-Idrovo v. Ecuador. </w:t>
      </w:r>
      <w:r w:rsidRPr="00056541">
        <w:rPr>
          <w:rFonts w:cs="Times New Roman"/>
          <w:noProof/>
        </w:rPr>
        <w:t>Preliminary Objections, Merits, Reparations, and Costs. Judgment of July 5, 2011. Series C No. 228,</w:t>
      </w:r>
      <w:r>
        <w:rPr>
          <w:noProof/>
        </w:rPr>
        <w:tab/>
        <w:t>15</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Velásquez-Rodríguez v. Honduras</w:t>
      </w:r>
      <w:r w:rsidRPr="00056541">
        <w:rPr>
          <w:rFonts w:cs="Times New Roman"/>
          <w:noProof/>
        </w:rPr>
        <w:t>. Merits. Judgment of July 29, 1988. Series C No. 4,</w:t>
      </w:r>
      <w:r>
        <w:rPr>
          <w:noProof/>
        </w:rPr>
        <w:tab/>
        <w:t>15</w:t>
      </w:r>
    </w:p>
    <w:p w:rsidR="00A6208A" w:rsidRDefault="00A6208A">
      <w:pPr>
        <w:pStyle w:val="TableofAuthorities"/>
        <w:tabs>
          <w:tab w:val="right" w:leader="dot" w:pos="9350"/>
        </w:tabs>
        <w:rPr>
          <w:noProof/>
        </w:rPr>
      </w:pPr>
      <w:r w:rsidRPr="00056541">
        <w:rPr>
          <w:rFonts w:cs="Times New Roman"/>
          <w:noProof/>
        </w:rPr>
        <w:t>I/A Court H.R</w:t>
      </w:r>
      <w:r w:rsidRPr="00056541">
        <w:rPr>
          <w:rFonts w:cs="Times New Roman"/>
          <w:i/>
          <w:noProof/>
        </w:rPr>
        <w:t>., "Other treaties” subject to the advisory jurisdiction of the Court (Art. 64 American Convention on Human Rights).</w:t>
      </w:r>
      <w:r w:rsidRPr="00056541">
        <w:rPr>
          <w:rFonts w:cs="Times New Roman"/>
          <w:noProof/>
        </w:rPr>
        <w:t xml:space="preserve"> Advisory Opinion OC-1/82 of September 24, 1982. Series A No. 1</w:t>
      </w:r>
      <w:r>
        <w:rPr>
          <w:noProof/>
        </w:rPr>
        <w:tab/>
        <w:t>32</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Acosta-Calderón v. Ecuador.</w:t>
      </w:r>
      <w:r w:rsidRPr="00056541">
        <w:rPr>
          <w:rFonts w:cs="Times New Roman"/>
          <w:noProof/>
        </w:rPr>
        <w:t xml:space="preserve"> Merits, Reparations and Costs. Judgment of June 24, 2005. Series C No. 129</w:t>
      </w:r>
      <w:r>
        <w:rPr>
          <w:noProof/>
        </w:rPr>
        <w:tab/>
        <w:t>36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Artavia Murillo et al ("In vitro fertilization") v. Costa Rica</w:t>
      </w:r>
      <w:r w:rsidRPr="00056541">
        <w:rPr>
          <w:rFonts w:cs="Times New Roman"/>
          <w:noProof/>
        </w:rPr>
        <w:t>. Preliminary Objections, Merits, Reparations and Costs. Judgment of November 28, 2012. Series C No. 257</w:t>
      </w:r>
      <w:r>
        <w:rPr>
          <w:noProof/>
        </w:rPr>
        <w:tab/>
        <w:t>25, 33</w:t>
      </w:r>
    </w:p>
    <w:p w:rsidR="00A6208A" w:rsidRDefault="00A6208A">
      <w:pPr>
        <w:pStyle w:val="TableofAuthorities"/>
        <w:tabs>
          <w:tab w:val="right" w:leader="dot" w:pos="9350"/>
        </w:tabs>
        <w:rPr>
          <w:noProof/>
        </w:rPr>
      </w:pPr>
      <w:r>
        <w:rPr>
          <w:noProof/>
        </w:rPr>
        <w:t>I</w:t>
      </w:r>
      <w:r w:rsidRPr="00056541">
        <w:rPr>
          <w:rFonts w:cs="Times New Roman"/>
          <w:noProof/>
        </w:rPr>
        <w:t>/A Court H.R</w:t>
      </w:r>
      <w:r w:rsidRPr="00056541">
        <w:rPr>
          <w:rFonts w:cs="Times New Roman"/>
          <w:i/>
          <w:noProof/>
        </w:rPr>
        <w:t>., Case of Atala Riffo and daughters v. Chile</w:t>
      </w:r>
      <w:r w:rsidRPr="00056541">
        <w:rPr>
          <w:rFonts w:cs="Times New Roman"/>
          <w:noProof/>
        </w:rPr>
        <w:t>. Merits, Reparations and Costs. Judgment of February 24, 2012 Series C No. 239</w:t>
      </w:r>
      <w:r>
        <w:rPr>
          <w:noProof/>
        </w:rPr>
        <w:tab/>
        <w:t>21, 22, 25, 28, 33, 34</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Baena-Ricardo et al. v. Panama</w:t>
      </w:r>
      <w:r w:rsidRPr="00056541">
        <w:rPr>
          <w:rFonts w:cs="Times New Roman"/>
          <w:noProof/>
        </w:rPr>
        <w:t>. Merits, Reparations and Costs. Judgment of February 2, 2001. Series C No. 72</w:t>
      </w:r>
      <w:r>
        <w:rPr>
          <w:noProof/>
        </w:rPr>
        <w:tab/>
        <w:t>38</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Cantos v. Argentina</w:t>
      </w:r>
      <w:r w:rsidRPr="00056541">
        <w:rPr>
          <w:rFonts w:cs="Times New Roman"/>
          <w:noProof/>
        </w:rPr>
        <w:t>. Merits, Reparations and Costs. Judgment of November 28, 2002. Series C No. 97</w:t>
      </w:r>
      <w:r>
        <w:rPr>
          <w:noProof/>
        </w:rPr>
        <w:tab/>
        <w:t>36</w:t>
      </w:r>
    </w:p>
    <w:p w:rsidR="00A6208A" w:rsidRDefault="00A6208A">
      <w:pPr>
        <w:pStyle w:val="TableofAuthorities"/>
        <w:tabs>
          <w:tab w:val="right" w:leader="dot" w:pos="9350"/>
        </w:tabs>
        <w:rPr>
          <w:noProof/>
        </w:rPr>
      </w:pPr>
      <w:r w:rsidRPr="00056541">
        <w:rPr>
          <w:rFonts w:cs="Times New Roman"/>
          <w:noProof/>
        </w:rPr>
        <w:lastRenderedPageBreak/>
        <w:t xml:space="preserve">I/A Court H.R., </w:t>
      </w:r>
      <w:r w:rsidRPr="00056541">
        <w:rPr>
          <w:rFonts w:cs="Times New Roman"/>
          <w:i/>
          <w:noProof/>
        </w:rPr>
        <w:t>Case of Castañeda-Gutman v. Mexico</w:t>
      </w:r>
      <w:r w:rsidRPr="00056541">
        <w:rPr>
          <w:rFonts w:cs="Times New Roman"/>
          <w:noProof/>
        </w:rPr>
        <w:t>. Preliminary Objections, Merits, Reparations, and Costs. Judgment of August 6, 2008. Series C No. 184</w:t>
      </w:r>
      <w:r>
        <w:rPr>
          <w:noProof/>
        </w:rPr>
        <w:tab/>
        <w:t>24</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Castillo-Petruzzi et al v. Peru</w:t>
      </w:r>
      <w:r w:rsidRPr="00056541">
        <w:rPr>
          <w:rFonts w:cs="Times New Roman"/>
          <w:noProof/>
        </w:rPr>
        <w:t>. Preliminary Objections. Judgment of September 4, 1998. Series C No. 41</w:t>
      </w:r>
      <w:r>
        <w:rPr>
          <w:noProof/>
        </w:rPr>
        <w:tab/>
        <w:t>18</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Claude-Reyes et al. v. Chile</w:t>
      </w:r>
      <w:r w:rsidRPr="00056541">
        <w:rPr>
          <w:rFonts w:cs="Times New Roman"/>
          <w:noProof/>
        </w:rPr>
        <w:t>. Merits, Reparations and Costs. Judgment of September 19, 2006. Series C No. 151</w:t>
      </w:r>
      <w:r>
        <w:rPr>
          <w:noProof/>
        </w:rPr>
        <w:tab/>
        <w:t>39</w:t>
      </w:r>
    </w:p>
    <w:p w:rsidR="00A6208A" w:rsidRDefault="00A6208A">
      <w:pPr>
        <w:pStyle w:val="TableofAuthorities"/>
        <w:tabs>
          <w:tab w:val="right" w:leader="dot" w:pos="9350"/>
        </w:tabs>
        <w:rPr>
          <w:noProof/>
        </w:rPr>
      </w:pPr>
      <w:r w:rsidRPr="00056541">
        <w:rPr>
          <w:rFonts w:cs="Times New Roman"/>
          <w:noProof/>
        </w:rPr>
        <w:t>I/A Court H.R., Case of Escher et al. v. Brazil. Preliminary Objections, Merits, Reparations, and Costs. Judgment of July 6, 2009</w:t>
      </w:r>
      <w:r>
        <w:rPr>
          <w:noProof/>
        </w:rPr>
        <w:tab/>
        <w:t>33</w:t>
      </w:r>
    </w:p>
    <w:p w:rsidR="00A6208A" w:rsidRDefault="00A6208A">
      <w:pPr>
        <w:pStyle w:val="TableofAuthorities"/>
        <w:tabs>
          <w:tab w:val="right" w:leader="dot" w:pos="9350"/>
        </w:tabs>
        <w:rPr>
          <w:noProof/>
        </w:rPr>
      </w:pPr>
      <w:r w:rsidRPr="00056541">
        <w:rPr>
          <w:rFonts w:cs="Times New Roman"/>
          <w:noProof/>
        </w:rPr>
        <w:t>I/A Court H.R., Case of Fernández Ortega et al. v. Mexico. Preliminary Objection, Merits, Reparations, and Costs. Judgment of August 30, 2010  Series C No. 215</w:t>
      </w:r>
      <w:r>
        <w:rPr>
          <w:noProof/>
        </w:rPr>
        <w:tab/>
        <w:t>33</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Herrera-Ulloa v. Costa Rica</w:t>
      </w:r>
      <w:r w:rsidRPr="00056541">
        <w:rPr>
          <w:rFonts w:cs="Times New Roman"/>
          <w:noProof/>
        </w:rPr>
        <w:t>. Preliminary Objections, Merits, Reparations and Costs. Judgment of July 2, 2004. Series C No. 107</w:t>
      </w:r>
      <w:r>
        <w:rPr>
          <w:noProof/>
        </w:rPr>
        <w:tab/>
        <w:t>17, 30, 39</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Ivcher-Bronstein v. Peru</w:t>
      </w:r>
      <w:r w:rsidRPr="00056541">
        <w:rPr>
          <w:rFonts w:cs="Times New Roman"/>
          <w:noProof/>
        </w:rPr>
        <w:t>. Merits, Reparations and Costs. Judgment February 6, 2001. Series C No. 74</w:t>
      </w:r>
      <w:r>
        <w:rPr>
          <w:noProof/>
        </w:rPr>
        <w:tab/>
        <w:t>36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Juan Humberto Sánchez v. Honduras</w:t>
      </w:r>
      <w:r w:rsidRPr="00056541">
        <w:rPr>
          <w:rFonts w:cs="Times New Roman"/>
          <w:noProof/>
        </w:rPr>
        <w:t>. Preliminary Objection, Merits, Reparations and Costs. Judgment of June 7, 2003. Series C No. 99</w:t>
      </w:r>
      <w:r>
        <w:rPr>
          <w:noProof/>
        </w:rPr>
        <w:tab/>
        <w:t>16, 17, 37</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Las Palmeras v. Colombia</w:t>
      </w:r>
      <w:r w:rsidRPr="00056541">
        <w:rPr>
          <w:rFonts w:cs="Times New Roman"/>
          <w:noProof/>
        </w:rPr>
        <w:t>. Merits. Judgment of December 6, 2001. Series C No. 90</w:t>
      </w:r>
      <w:r>
        <w:rPr>
          <w:noProof/>
        </w:rPr>
        <w:tab/>
        <w:t>16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Ricardo Canese v. Paraguay</w:t>
      </w:r>
      <w:r w:rsidRPr="00056541">
        <w:rPr>
          <w:rFonts w:cs="Times New Roman"/>
          <w:noProof/>
        </w:rPr>
        <w:t>, Merits, Reparations, and Costs, Judgment of 31 Aug. 2004, Series C No. 111</w:t>
      </w:r>
      <w:r>
        <w:rPr>
          <w:noProof/>
        </w:rPr>
        <w:tab/>
        <w:t>30</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Rosendo-Cantú et al. v. Mexico</w:t>
      </w:r>
      <w:r w:rsidRPr="00056541">
        <w:rPr>
          <w:rFonts w:cs="Times New Roman"/>
          <w:noProof/>
        </w:rPr>
        <w:t>. Preliminary Objection, Merits, Reparations, and Costs. Judgment of August 31, 2010. Series C No. 216</w:t>
      </w:r>
      <w:r>
        <w:rPr>
          <w:noProof/>
        </w:rPr>
        <w:tab/>
        <w:t>33</w:t>
      </w:r>
    </w:p>
    <w:p w:rsidR="00A6208A" w:rsidRDefault="00A6208A">
      <w:pPr>
        <w:pStyle w:val="TableofAuthorities"/>
        <w:tabs>
          <w:tab w:val="right" w:leader="dot" w:pos="9350"/>
        </w:tabs>
        <w:rPr>
          <w:noProof/>
        </w:rPr>
      </w:pPr>
      <w:r w:rsidRPr="00056541">
        <w:rPr>
          <w:rFonts w:cs="Times New Roman"/>
          <w:noProof/>
        </w:rPr>
        <w:lastRenderedPageBreak/>
        <w:t>I/A Court H.R</w:t>
      </w:r>
      <w:r w:rsidRPr="00056541">
        <w:rPr>
          <w:rFonts w:cs="Times New Roman"/>
          <w:i/>
          <w:noProof/>
        </w:rPr>
        <w:t>., Case of Suárez-Rosero v. Ecuador</w:t>
      </w:r>
      <w:r w:rsidRPr="00056541">
        <w:rPr>
          <w:rFonts w:cs="Times New Roman"/>
          <w:noProof/>
        </w:rPr>
        <w:t>. Merits. Judgment of November 12, 1997. Series C No. 35</w:t>
      </w:r>
      <w:r>
        <w:rPr>
          <w:noProof/>
        </w:rPr>
        <w:tab/>
        <w:t>36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the Constitutional Court v. Peru.</w:t>
      </w:r>
      <w:r w:rsidRPr="00056541">
        <w:rPr>
          <w:rFonts w:cs="Times New Roman"/>
          <w:noProof/>
        </w:rPr>
        <w:t xml:space="preserve"> Merits, Reparations and Costs. Judgment of January 31, 2001. Series C No. 71</w:t>
      </w:r>
      <w:r>
        <w:rPr>
          <w:noProof/>
        </w:rPr>
        <w:tab/>
        <w:t>37, 38</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the Mapiripán Massacre v. Colombia</w:t>
      </w:r>
      <w:r w:rsidRPr="00056541">
        <w:rPr>
          <w:rFonts w:cs="Times New Roman"/>
          <w:noProof/>
        </w:rPr>
        <w:t>. Merits, Reparations and Costs. Judgment of September 15, 2005. Series C No. 134</w:t>
      </w:r>
      <w:r>
        <w:rPr>
          <w:noProof/>
        </w:rPr>
        <w:tab/>
        <w:t>36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the Plan de Sánchez Massacre v. Guatemala</w:t>
      </w:r>
      <w:r w:rsidRPr="00056541">
        <w:rPr>
          <w:rFonts w:cs="Times New Roman"/>
          <w:noProof/>
        </w:rPr>
        <w:t>. Merits. Judgment of April 29, 2004. Series C No. 105</w:t>
      </w:r>
      <w:r>
        <w:rPr>
          <w:noProof/>
        </w:rPr>
        <w:tab/>
        <w:t>23</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the Pueblo Bello Massacre v. Colombia</w:t>
      </w:r>
      <w:r w:rsidRPr="00056541">
        <w:rPr>
          <w:rFonts w:cs="Times New Roman"/>
          <w:noProof/>
        </w:rPr>
        <w:t>. Judgment of January 31, 2006. Series C No. 140</w:t>
      </w:r>
      <w:r>
        <w:rPr>
          <w:noProof/>
        </w:rPr>
        <w:tab/>
        <w:t>36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the Xákmok Kásek Indigenous Community. v. Paraguay</w:t>
      </w:r>
      <w:r w:rsidRPr="00056541">
        <w:rPr>
          <w:rFonts w:cs="Times New Roman"/>
          <w:noProof/>
        </w:rPr>
        <w:t>. Merits, Reparations and Costs. Judgment of August 24, 2010. Series C No. 214</w:t>
      </w:r>
      <w:r>
        <w:rPr>
          <w:noProof/>
        </w:rPr>
        <w:tab/>
        <w:t>22</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Tristán-Donoso v. Panama</w:t>
      </w:r>
      <w:r w:rsidRPr="00056541">
        <w:rPr>
          <w:rFonts w:cs="Times New Roman"/>
          <w:noProof/>
        </w:rPr>
        <w:t>. Preliminary Objection, Merits, Reparations and Costs. Judgment of January 27, 2009. Series C No. 193</w:t>
      </w:r>
      <w:r>
        <w:rPr>
          <w:noProof/>
        </w:rPr>
        <w:tab/>
        <w:t>33</w:t>
      </w:r>
    </w:p>
    <w:p w:rsidR="00A6208A" w:rsidRDefault="00A6208A">
      <w:pPr>
        <w:pStyle w:val="TableofAuthorities"/>
        <w:tabs>
          <w:tab w:val="right" w:leader="dot" w:pos="9350"/>
        </w:tabs>
        <w:rPr>
          <w:noProof/>
        </w:rPr>
      </w:pPr>
      <w:r w:rsidRPr="00056541">
        <w:rPr>
          <w:rFonts w:cs="Times New Roman"/>
          <w:noProof/>
        </w:rPr>
        <w:t>I/A Court H.R., Case of Vargas-Areco v. Paraguay. Judgment of September 26, 2006. Series C No. 155</w:t>
      </w:r>
      <w:r>
        <w:rPr>
          <w:noProof/>
        </w:rPr>
        <w:tab/>
        <w:t>29</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Velásquez-Rodríguez v. Honduras</w:t>
      </w:r>
      <w:r w:rsidRPr="00056541">
        <w:rPr>
          <w:rFonts w:cs="Times New Roman"/>
          <w:noProof/>
        </w:rPr>
        <w:t>. Preliminary Objections. Judgment of June 26, 1987. Series C No. 1</w:t>
      </w:r>
      <w:r>
        <w:rPr>
          <w:noProof/>
        </w:rPr>
        <w:tab/>
        <w:t>16, 36</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Case of Yatama v. Nicaragua.</w:t>
      </w:r>
      <w:r w:rsidRPr="00056541">
        <w:rPr>
          <w:rFonts w:cs="Times New Roman"/>
          <w:noProof/>
        </w:rPr>
        <w:t xml:space="preserve"> Preliminary Objections, Merits, Reparations and Costs. Judgment of June 23, 2005. Series C No. 127</w:t>
      </w:r>
      <w:r>
        <w:rPr>
          <w:noProof/>
        </w:rPr>
        <w:tab/>
        <w:t>23, 24</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Habeas corpus in Emergency Situations (Arts. 27(2), 25(1) and 7(6) American Convention on Human Rights).</w:t>
      </w:r>
      <w:r w:rsidRPr="00056541">
        <w:rPr>
          <w:rFonts w:cs="Times New Roman"/>
          <w:noProof/>
        </w:rPr>
        <w:t xml:space="preserve"> Advisory Opinion OC-8/87 of January 30, 1987. Series A No. 8,</w:t>
      </w:r>
      <w:r>
        <w:rPr>
          <w:noProof/>
        </w:rPr>
        <w:tab/>
        <w:t>36</w:t>
      </w:r>
    </w:p>
    <w:p w:rsidR="00A6208A" w:rsidRDefault="00A6208A">
      <w:pPr>
        <w:pStyle w:val="TableofAuthorities"/>
        <w:tabs>
          <w:tab w:val="right" w:leader="dot" w:pos="9350"/>
        </w:tabs>
        <w:rPr>
          <w:noProof/>
        </w:rPr>
      </w:pPr>
      <w:r w:rsidRPr="00056541">
        <w:rPr>
          <w:rFonts w:cs="Times New Roman"/>
          <w:noProof/>
        </w:rPr>
        <w:lastRenderedPageBreak/>
        <w:t xml:space="preserve">I/A Court H.R., I/A Court H.R., </w:t>
      </w:r>
      <w:r w:rsidRPr="00056541">
        <w:rPr>
          <w:rFonts w:cs="Times New Roman"/>
          <w:i/>
          <w:noProof/>
        </w:rPr>
        <w:t>Case of the Mayagna (Sumo) Awas Tingni Community v. Nicaragua</w:t>
      </w:r>
      <w:r w:rsidRPr="00056541">
        <w:rPr>
          <w:rFonts w:cs="Times New Roman"/>
          <w:noProof/>
        </w:rPr>
        <w:t>. Merits, Reparations and Costs. Judgment of August 31, 2001. Series C No. 79</w:t>
      </w:r>
      <w:r>
        <w:rPr>
          <w:noProof/>
        </w:rPr>
        <w:tab/>
        <w:t>39</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In the matter of Viviana Gallardo et al</w:t>
      </w:r>
      <w:r w:rsidRPr="00056541">
        <w:rPr>
          <w:rFonts w:cs="Times New Roman"/>
          <w:noProof/>
        </w:rPr>
        <w:t>. Advisory Opinion of July 15, 1981, Series A No. 101</w:t>
      </w:r>
      <w:r>
        <w:rPr>
          <w:noProof/>
        </w:rPr>
        <w:tab/>
        <w:t>29</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Interpretation of the American Declaration of the Rights and Duties of Man within the Framework of Article 64 of the American Convention on Human Rights</w:t>
      </w:r>
      <w:r w:rsidRPr="00056541">
        <w:rPr>
          <w:rFonts w:cs="Times New Roman"/>
          <w:noProof/>
        </w:rPr>
        <w:t>. Advisory Opinion OC-10/89 of July 14,1989. Series A No. 10</w:t>
      </w:r>
      <w:r>
        <w:rPr>
          <w:noProof/>
        </w:rPr>
        <w:tab/>
        <w:t>29</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Judicial Guarantees in States of Emergency (Arts. 27(2), 25 and (8) American Convention on Human Rights</w:t>
      </w:r>
      <w:r w:rsidRPr="00056541">
        <w:rPr>
          <w:rFonts w:cs="Times New Roman"/>
          <w:noProof/>
        </w:rPr>
        <w:t>). Advisory Opinion OC-9/87 of October 6, 1987. Series A No. 9</w:t>
      </w:r>
      <w:r>
        <w:rPr>
          <w:noProof/>
        </w:rPr>
        <w:tab/>
        <w:t>36, 37, 38</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Juridical Condition and Human Rights of the Child</w:t>
      </w:r>
      <w:r w:rsidRPr="00056541">
        <w:rPr>
          <w:rFonts w:cs="Times New Roman"/>
          <w:noProof/>
        </w:rPr>
        <w:t>. Advisory Opinion OC-17/02 of August 28, 2002. Series A No. 17</w:t>
      </w:r>
      <w:r>
        <w:rPr>
          <w:noProof/>
        </w:rPr>
        <w:tab/>
        <w:t>28</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Juridical Condition and Rights of Undocumented Migrants</w:t>
      </w:r>
      <w:r w:rsidRPr="00056541">
        <w:rPr>
          <w:rFonts w:cs="Times New Roman"/>
          <w:noProof/>
        </w:rPr>
        <w:t>. Advisory Opinion OC-18 of September 17, 2003. Series A No. 18</w:t>
      </w:r>
      <w:r>
        <w:rPr>
          <w:noProof/>
        </w:rPr>
        <w:tab/>
        <w:t>21, 23, 24, 26, 38</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Proposed Amendments of the Naturalization Provisions of the Constitution of Costa Rica</w:t>
      </w:r>
      <w:r w:rsidRPr="00056541">
        <w:rPr>
          <w:rFonts w:cs="Times New Roman"/>
          <w:noProof/>
        </w:rPr>
        <w:t>. Advisory Opinion OC-4/84 of January 19, 1984. Series A No. 4,</w:t>
      </w:r>
      <w:r>
        <w:rPr>
          <w:noProof/>
        </w:rPr>
        <w:tab/>
        <w:t>22, 24</w:t>
      </w:r>
    </w:p>
    <w:p w:rsidR="00A6208A" w:rsidRDefault="00A6208A">
      <w:pPr>
        <w:pStyle w:val="TableofAuthorities"/>
        <w:tabs>
          <w:tab w:val="right" w:leader="dot" w:pos="9350"/>
        </w:tabs>
        <w:rPr>
          <w:noProof/>
        </w:rPr>
      </w:pPr>
      <w:r w:rsidRPr="00056541">
        <w:rPr>
          <w:rFonts w:cs="Times New Roman"/>
          <w:noProof/>
        </w:rPr>
        <w:t xml:space="preserve">I/A Court H.R., </w:t>
      </w:r>
      <w:r w:rsidRPr="00056541">
        <w:rPr>
          <w:rFonts w:cs="Times New Roman"/>
          <w:i/>
          <w:noProof/>
        </w:rPr>
        <w:t>The Right to Information on Consular Assistance. In the Framework of the Guarantees of the due Process of Law</w:t>
      </w:r>
      <w:r w:rsidRPr="00056541">
        <w:rPr>
          <w:rFonts w:cs="Times New Roman"/>
          <w:noProof/>
        </w:rPr>
        <w:t>. Advisory Opinion OC-16/99 of October 1, 1999. Series A No. 16</w:t>
      </w:r>
      <w:r>
        <w:rPr>
          <w:noProof/>
        </w:rPr>
        <w:tab/>
        <w:t>29, 30</w:t>
      </w:r>
    </w:p>
    <w:p w:rsidR="00A6208A" w:rsidRDefault="00A6208A">
      <w:pPr>
        <w:pStyle w:val="TableofAuthorities"/>
        <w:tabs>
          <w:tab w:val="right" w:leader="dot" w:pos="9350"/>
        </w:tabs>
        <w:rPr>
          <w:noProof/>
        </w:rPr>
      </w:pPr>
      <w:r w:rsidRPr="00056541">
        <w:rPr>
          <w:rFonts w:cs="Times New Roman"/>
          <w:noProof/>
        </w:rPr>
        <w:t>I/A Court H.R.,</w:t>
      </w:r>
      <w:r w:rsidRPr="00056541">
        <w:rPr>
          <w:rFonts w:cs="Times New Roman"/>
          <w:i/>
          <w:noProof/>
        </w:rPr>
        <w:t>Case of Las Palmeras v. Colombia.</w:t>
      </w:r>
      <w:r w:rsidRPr="00056541">
        <w:rPr>
          <w:rFonts w:cs="Times New Roman"/>
          <w:noProof/>
        </w:rPr>
        <w:t xml:space="preserve"> Merits. Judgment of December 6, 2001. Series C No. 90</w:t>
      </w:r>
      <w:r>
        <w:rPr>
          <w:noProof/>
        </w:rPr>
        <w:tab/>
        <w:t>17</w:t>
      </w:r>
    </w:p>
    <w:p w:rsidR="00A6208A" w:rsidRDefault="00A6208A">
      <w:pPr>
        <w:pStyle w:val="TableofAuthorities"/>
        <w:tabs>
          <w:tab w:val="right" w:leader="dot" w:pos="9350"/>
        </w:tabs>
        <w:rPr>
          <w:noProof/>
        </w:rPr>
      </w:pPr>
      <w:r w:rsidRPr="00056541">
        <w:rPr>
          <w:rFonts w:cs="Times New Roman"/>
          <w:noProof/>
        </w:rPr>
        <w:t xml:space="preserve">IACHR Report No. 20/05, Petition 714/00 </w:t>
      </w:r>
      <w:r w:rsidRPr="00056541">
        <w:rPr>
          <w:rFonts w:cs="Times New Roman"/>
          <w:i/>
          <w:noProof/>
        </w:rPr>
        <w:t>Rafael Correa Díaz (Peru)</w:t>
      </w:r>
      <w:r w:rsidRPr="00056541">
        <w:rPr>
          <w:rFonts w:cs="Times New Roman"/>
          <w:noProof/>
        </w:rPr>
        <w:t>, February 25, 2005</w:t>
      </w:r>
      <w:r>
        <w:rPr>
          <w:noProof/>
        </w:rPr>
        <w:tab/>
        <w:t>18</w:t>
      </w:r>
    </w:p>
    <w:p w:rsidR="00A6208A" w:rsidRDefault="00A6208A">
      <w:pPr>
        <w:pStyle w:val="TableofAuthorities"/>
        <w:tabs>
          <w:tab w:val="right" w:leader="dot" w:pos="9350"/>
        </w:tabs>
        <w:rPr>
          <w:noProof/>
        </w:rPr>
      </w:pPr>
      <w:r w:rsidRPr="00056541">
        <w:rPr>
          <w:rFonts w:cs="Times New Roman"/>
          <w:noProof/>
        </w:rPr>
        <w:lastRenderedPageBreak/>
        <w:t>IACHR,</w:t>
      </w:r>
      <w:r w:rsidRPr="00056541">
        <w:rPr>
          <w:rFonts w:cs="Times New Roman"/>
          <w:i/>
          <w:noProof/>
        </w:rPr>
        <w:t xml:space="preserve"> Access to Justice as a Guarantee of Economic, Social and Cultural Rights. A Review of the Standards Adopted by the Inter-American System of Human Rights, </w:t>
      </w:r>
      <w:r w:rsidRPr="00056541">
        <w:rPr>
          <w:rFonts w:cs="Times New Roman"/>
          <w:noProof/>
        </w:rPr>
        <w:t xml:space="preserve"> September 7, 2007, OEA/Ser.L/V/II.129,</w:t>
      </w:r>
      <w:r>
        <w:rPr>
          <w:noProof/>
        </w:rPr>
        <w:tab/>
        <w:t>38</w:t>
      </w:r>
    </w:p>
    <w:p w:rsidR="00A6208A" w:rsidRDefault="00A6208A">
      <w:pPr>
        <w:pStyle w:val="TableofAuthorities"/>
        <w:tabs>
          <w:tab w:val="right" w:leader="dot" w:pos="9350"/>
        </w:tabs>
        <w:rPr>
          <w:noProof/>
        </w:rPr>
      </w:pPr>
      <w:r w:rsidRPr="00056541">
        <w:rPr>
          <w:rFonts w:cs="Times New Roman"/>
          <w:noProof/>
        </w:rPr>
        <w:t xml:space="preserve">IACHR, </w:t>
      </w:r>
      <w:r w:rsidRPr="00056541">
        <w:rPr>
          <w:rFonts w:cs="Times New Roman"/>
          <w:i/>
          <w:noProof/>
        </w:rPr>
        <w:t>Access to Justice for Women Victims of Violence in the Americas</w:t>
      </w:r>
      <w:r w:rsidRPr="00056541">
        <w:rPr>
          <w:rFonts w:cs="Times New Roman"/>
          <w:noProof/>
        </w:rPr>
        <w:t>, OEA/Ser. L/V/II. doc. 68, January 20, 200</w:t>
      </w:r>
      <w:r>
        <w:rPr>
          <w:noProof/>
        </w:rPr>
        <w:tab/>
        <w:t>24</w:t>
      </w:r>
    </w:p>
    <w:p w:rsidR="00A6208A" w:rsidRDefault="00A6208A">
      <w:pPr>
        <w:pStyle w:val="TableofAuthorities"/>
        <w:tabs>
          <w:tab w:val="right" w:leader="dot" w:pos="9350"/>
        </w:tabs>
        <w:rPr>
          <w:noProof/>
        </w:rPr>
      </w:pPr>
      <w:r w:rsidRPr="00056541">
        <w:rPr>
          <w:rFonts w:cs="Times New Roman"/>
          <w:noProof/>
        </w:rPr>
        <w:t xml:space="preserve">IACHR, Report No. 178/10, Petition 469-05 </w:t>
      </w:r>
      <w:r w:rsidRPr="00056541">
        <w:rPr>
          <w:rFonts w:cs="Times New Roman"/>
          <w:i/>
          <w:noProof/>
        </w:rPr>
        <w:t>Cistoria Jimenez Morgan and Sergio Jimenez (Costa Rica)</w:t>
      </w:r>
      <w:r w:rsidRPr="00056541">
        <w:rPr>
          <w:rFonts w:cs="Times New Roman"/>
          <w:noProof/>
        </w:rPr>
        <w:t>, November 24, 2010</w:t>
      </w:r>
      <w:r>
        <w:rPr>
          <w:noProof/>
        </w:rPr>
        <w:tab/>
        <w:t>18</w:t>
      </w:r>
    </w:p>
    <w:p w:rsidR="00A6208A" w:rsidRDefault="00A6208A">
      <w:pPr>
        <w:pStyle w:val="TableofAuthorities"/>
        <w:tabs>
          <w:tab w:val="right" w:leader="dot" w:pos="9350"/>
        </w:tabs>
        <w:rPr>
          <w:noProof/>
        </w:rPr>
      </w:pPr>
      <w:r w:rsidRPr="00056541">
        <w:rPr>
          <w:rFonts w:cs="Times New Roman"/>
          <w:noProof/>
        </w:rPr>
        <w:t xml:space="preserve">IACHR, Report No. 25/04, Case 12.361 </w:t>
      </w:r>
      <w:r w:rsidRPr="00056541">
        <w:rPr>
          <w:rFonts w:cs="Times New Roman"/>
          <w:i/>
          <w:noProof/>
        </w:rPr>
        <w:t xml:space="preserve">Ana Victoria Sánchez Villalobos et al. (Costa Rica), </w:t>
      </w:r>
      <w:r w:rsidRPr="00056541">
        <w:rPr>
          <w:rFonts w:cs="Times New Roman"/>
          <w:noProof/>
        </w:rPr>
        <w:t>March 11, 2004</w:t>
      </w:r>
      <w:r>
        <w:rPr>
          <w:noProof/>
        </w:rPr>
        <w:tab/>
        <w:t>18</w:t>
      </w:r>
    </w:p>
    <w:p w:rsidR="00A6208A" w:rsidRDefault="00A6208A">
      <w:pPr>
        <w:pStyle w:val="TableofAuthorities"/>
        <w:tabs>
          <w:tab w:val="right" w:leader="dot" w:pos="9350"/>
        </w:tabs>
        <w:rPr>
          <w:noProof/>
        </w:rPr>
      </w:pPr>
      <w:r w:rsidRPr="00056541">
        <w:rPr>
          <w:rFonts w:cs="Times New Roman"/>
          <w:noProof/>
        </w:rPr>
        <w:t xml:space="preserve">IACHR, Report No. 26/08, </w:t>
      </w:r>
      <w:r w:rsidRPr="00056541">
        <w:rPr>
          <w:rFonts w:cs="Times New Roman"/>
          <w:i/>
          <w:noProof/>
        </w:rPr>
        <w:t>Cesar Alberto Mendoza et al.(</w:t>
      </w:r>
      <w:r w:rsidRPr="00056541">
        <w:rPr>
          <w:rFonts w:cs="Times New Roman"/>
          <w:noProof/>
        </w:rPr>
        <w:t>Argentina), November 18, 1997. para 269</w:t>
      </w:r>
      <w:r>
        <w:rPr>
          <w:noProof/>
        </w:rPr>
        <w:tab/>
        <w:t>16</w:t>
      </w:r>
    </w:p>
    <w:p w:rsidR="00A6208A" w:rsidRDefault="00A6208A">
      <w:pPr>
        <w:pStyle w:val="TableofAuthorities"/>
        <w:tabs>
          <w:tab w:val="right" w:leader="dot" w:pos="9350"/>
        </w:tabs>
        <w:rPr>
          <w:noProof/>
        </w:rPr>
      </w:pPr>
      <w:r w:rsidRPr="00056541">
        <w:rPr>
          <w:rFonts w:cs="Times New Roman"/>
          <w:noProof/>
        </w:rPr>
        <w:t xml:space="preserve">IACHR, Report No. 4/01, </w:t>
      </w:r>
      <w:r w:rsidRPr="00056541">
        <w:rPr>
          <w:rFonts w:cs="Times New Roman"/>
          <w:i/>
          <w:noProof/>
        </w:rPr>
        <w:t>Maria Eugenia Morales de Sierra</w:t>
      </w:r>
      <w:r w:rsidRPr="00056541">
        <w:rPr>
          <w:rFonts w:cs="Times New Roman"/>
          <w:noProof/>
        </w:rPr>
        <w:t xml:space="preserve"> (Guatemala), March 6, 1998</w:t>
      </w:r>
      <w:r>
        <w:rPr>
          <w:noProof/>
        </w:rPr>
        <w:tab/>
        <w:t>24</w:t>
      </w:r>
    </w:p>
    <w:p w:rsidR="00A6208A" w:rsidRDefault="00A6208A">
      <w:pPr>
        <w:pStyle w:val="TableofAuthorities"/>
        <w:tabs>
          <w:tab w:val="right" w:leader="dot" w:pos="9350"/>
        </w:tabs>
        <w:rPr>
          <w:noProof/>
        </w:rPr>
      </w:pPr>
      <w:r w:rsidRPr="00056541">
        <w:rPr>
          <w:rFonts w:cs="Times New Roman"/>
          <w:noProof/>
        </w:rPr>
        <w:t xml:space="preserve">IACHR, Report No. 55/1997, </w:t>
      </w:r>
      <w:r w:rsidRPr="00056541">
        <w:rPr>
          <w:rFonts w:cs="Times New Roman"/>
          <w:i/>
          <w:noProof/>
        </w:rPr>
        <w:t>Juan Carlos Abella</w:t>
      </w:r>
      <w:r w:rsidRPr="00056541">
        <w:rPr>
          <w:rFonts w:cs="Times New Roman"/>
          <w:noProof/>
        </w:rPr>
        <w:t xml:space="preserve"> (Argentina), November 18, 1997,</w:t>
      </w:r>
      <w:r>
        <w:rPr>
          <w:noProof/>
        </w:rPr>
        <w:tab/>
        <w:t>17</w:t>
      </w:r>
    </w:p>
    <w:p w:rsidR="00A6208A" w:rsidRDefault="00A6208A">
      <w:pPr>
        <w:pStyle w:val="TableofAuthorities"/>
        <w:tabs>
          <w:tab w:val="right" w:leader="dot" w:pos="9350"/>
        </w:tabs>
        <w:rPr>
          <w:noProof/>
        </w:rPr>
      </w:pPr>
      <w:r w:rsidRPr="00056541">
        <w:rPr>
          <w:rFonts w:cs="Times New Roman"/>
          <w:noProof/>
        </w:rPr>
        <w:t xml:space="preserve">IACHR, Report No. 81/10, Case 12.562, </w:t>
      </w:r>
      <w:r w:rsidRPr="00056541">
        <w:rPr>
          <w:rFonts w:cs="Times New Roman"/>
          <w:i/>
          <w:noProof/>
        </w:rPr>
        <w:t>Wayne Smith, Hugo Armendariz, et al. v. United States</w:t>
      </w:r>
      <w:r w:rsidRPr="00056541">
        <w:rPr>
          <w:rFonts w:cs="Times New Roman"/>
          <w:noProof/>
        </w:rPr>
        <w:t>, 12 July 2010</w:t>
      </w:r>
      <w:r>
        <w:rPr>
          <w:noProof/>
        </w:rPr>
        <w:tab/>
        <w:t>30</w:t>
      </w:r>
    </w:p>
    <w:p w:rsidR="00A6208A" w:rsidRDefault="00A6208A">
      <w:pPr>
        <w:pStyle w:val="TableofAuthorities"/>
        <w:tabs>
          <w:tab w:val="right" w:leader="dot" w:pos="9350"/>
        </w:tabs>
        <w:rPr>
          <w:noProof/>
        </w:rPr>
      </w:pPr>
      <w:r w:rsidRPr="00056541">
        <w:rPr>
          <w:rFonts w:cs="Times New Roman"/>
          <w:noProof/>
        </w:rPr>
        <w:t xml:space="preserve">IACHR, </w:t>
      </w:r>
      <w:r w:rsidRPr="00056541">
        <w:rPr>
          <w:rFonts w:cs="Times New Roman"/>
          <w:i/>
          <w:noProof/>
        </w:rPr>
        <w:t>Report on Terrorism and Human Rights</w:t>
      </w:r>
      <w:r w:rsidRPr="00056541">
        <w:rPr>
          <w:rFonts w:cs="Times New Roman"/>
          <w:noProof/>
        </w:rPr>
        <w:t>, OEA/Ser.L/V/ll.116 Doc. 5 rev. 1 corr, October 22, 2002</w:t>
      </w:r>
      <w:r>
        <w:rPr>
          <w:noProof/>
        </w:rPr>
        <w:tab/>
        <w:t>24</w:t>
      </w:r>
    </w:p>
    <w:p w:rsidR="00A6208A" w:rsidRDefault="00A6208A">
      <w:pPr>
        <w:pStyle w:val="TableofAuthorities"/>
        <w:tabs>
          <w:tab w:val="right" w:leader="dot" w:pos="9350"/>
        </w:tabs>
        <w:rPr>
          <w:noProof/>
        </w:rPr>
      </w:pPr>
      <w:r w:rsidRPr="00056541">
        <w:rPr>
          <w:rFonts w:cs="Times New Roman"/>
          <w:noProof/>
        </w:rPr>
        <w:t xml:space="preserve">IACHR. Report No. 44/08 </w:t>
      </w:r>
      <w:r w:rsidRPr="00056541">
        <w:rPr>
          <w:rFonts w:cs="Times New Roman"/>
          <w:i/>
          <w:noProof/>
        </w:rPr>
        <w:t>Sergio Emilio Cadena Antonilez (Colombia)</w:t>
      </w:r>
      <w:r w:rsidRPr="00056541">
        <w:rPr>
          <w:rFonts w:cs="Times New Roman"/>
          <w:noProof/>
        </w:rPr>
        <w:t>. July 23, 2008</w:t>
      </w:r>
      <w:r>
        <w:rPr>
          <w:noProof/>
        </w:rPr>
        <w:tab/>
        <w:t>15</w:t>
      </w:r>
    </w:p>
    <w:p w:rsidR="00A6208A" w:rsidRDefault="00A6208A">
      <w:pPr>
        <w:pStyle w:val="TableofAuthorities"/>
        <w:tabs>
          <w:tab w:val="right" w:leader="dot" w:pos="9350"/>
        </w:tabs>
        <w:rPr>
          <w:noProof/>
        </w:rPr>
      </w:pPr>
      <w:r w:rsidRPr="00056541">
        <w:rPr>
          <w:rFonts w:cs="Times New Roman"/>
          <w:noProof/>
        </w:rPr>
        <w:t>Kawas Fernandez (Honduras) is “considering” para 5; Gladys Lanza Ochoa (Honduras) “considering” para 11</w:t>
      </w:r>
      <w:r>
        <w:rPr>
          <w:noProof/>
        </w:rPr>
        <w:tab/>
        <w:t>19</w:t>
      </w:r>
    </w:p>
    <w:p w:rsidR="00A6208A" w:rsidRDefault="00A6208A">
      <w:pPr>
        <w:pStyle w:val="TableofAuthorities"/>
        <w:tabs>
          <w:tab w:val="right" w:leader="dot" w:pos="9350"/>
        </w:tabs>
        <w:rPr>
          <w:noProof/>
        </w:rPr>
      </w:pPr>
      <w:r w:rsidRPr="00056541">
        <w:rPr>
          <w:rFonts w:cs="Times New Roman"/>
          <w:i/>
          <w:noProof/>
        </w:rPr>
        <w:t xml:space="preserve">Lotus: France v Turkey, </w:t>
      </w:r>
      <w:r w:rsidRPr="00056541">
        <w:rPr>
          <w:rFonts w:cs="Times New Roman"/>
          <w:noProof/>
        </w:rPr>
        <w:t>Judgment, PCIJ Series A no 10 07 September 1927,</w:t>
      </w:r>
      <w:r>
        <w:rPr>
          <w:noProof/>
        </w:rPr>
        <w:tab/>
        <w:t>15</w:t>
      </w:r>
    </w:p>
    <w:p w:rsidR="00A6208A" w:rsidRDefault="00A6208A">
      <w:pPr>
        <w:pStyle w:val="TableofAuthorities"/>
        <w:tabs>
          <w:tab w:val="right" w:leader="dot" w:pos="9350"/>
        </w:tabs>
        <w:rPr>
          <w:noProof/>
        </w:rPr>
      </w:pPr>
      <w:r w:rsidRPr="00056541">
        <w:rPr>
          <w:rFonts w:cs="Times New Roman"/>
          <w:i/>
          <w:noProof/>
        </w:rPr>
        <w:t>Matter of  Capital El Rodeo I &amp; El Rodeo II Judicial Confinement Center</w:t>
      </w:r>
      <w:r w:rsidRPr="00056541">
        <w:rPr>
          <w:rFonts w:cs="Times New Roman"/>
          <w:noProof/>
        </w:rPr>
        <w:t>. Provisional Measures regarding Venezuela. Order of the Court of February 8, 2008, “Considering” 17</w:t>
      </w:r>
      <w:r>
        <w:rPr>
          <w:noProof/>
        </w:rPr>
        <w:tab/>
        <w:t>19</w:t>
      </w:r>
    </w:p>
    <w:p w:rsidR="00A6208A" w:rsidRDefault="00A6208A">
      <w:pPr>
        <w:pStyle w:val="TableofAuthorities"/>
        <w:tabs>
          <w:tab w:val="right" w:leader="dot" w:pos="9350"/>
        </w:tabs>
        <w:rPr>
          <w:noProof/>
        </w:rPr>
      </w:pPr>
      <w:r w:rsidRPr="00056541">
        <w:rPr>
          <w:rFonts w:cs="Times New Roman"/>
          <w:i/>
          <w:noProof/>
        </w:rPr>
        <w:lastRenderedPageBreak/>
        <w:t xml:space="preserve">Matter of Alvardo Reyes et al Provisional Measures regarding the United Mexican </w:t>
      </w:r>
      <w:r w:rsidRPr="00056541">
        <w:rPr>
          <w:rFonts w:cs="Times New Roman"/>
          <w:noProof/>
        </w:rPr>
        <w:t>States Order of the President  of the Inter American Court of Human Rights  April 1, 2011, “Considering”  5</w:t>
      </w:r>
      <w:r>
        <w:rPr>
          <w:noProof/>
        </w:rPr>
        <w:tab/>
        <w:t>19, 20</w:t>
      </w:r>
    </w:p>
    <w:p w:rsidR="00A6208A" w:rsidRDefault="00A6208A">
      <w:pPr>
        <w:pStyle w:val="TableofAuthorities"/>
        <w:tabs>
          <w:tab w:val="right" w:leader="dot" w:pos="9350"/>
        </w:tabs>
        <w:rPr>
          <w:noProof/>
        </w:rPr>
      </w:pPr>
      <w:r w:rsidRPr="00056541">
        <w:rPr>
          <w:rFonts w:cs="Times New Roman"/>
          <w:i/>
          <w:noProof/>
        </w:rPr>
        <w:t>Matter of Mery Naranjo et al.,</w:t>
      </w:r>
      <w:r w:rsidRPr="00056541">
        <w:rPr>
          <w:rFonts w:cs="Times New Roman"/>
          <w:noProof/>
        </w:rPr>
        <w:t xml:space="preserve"> Provisional Measures regarding Colombia. Order of the Court of March 4, 2011, “Considering” 11</w:t>
      </w:r>
      <w:r>
        <w:rPr>
          <w:noProof/>
        </w:rPr>
        <w:tab/>
        <w:t>19</w:t>
      </w:r>
    </w:p>
    <w:p w:rsidR="00A6208A" w:rsidRDefault="00A6208A">
      <w:pPr>
        <w:pStyle w:val="TableofAuthorities"/>
        <w:tabs>
          <w:tab w:val="right" w:leader="dot" w:pos="9350"/>
        </w:tabs>
        <w:rPr>
          <w:noProof/>
        </w:rPr>
      </w:pPr>
      <w:r w:rsidRPr="00056541">
        <w:rPr>
          <w:rFonts w:cs="Times New Roman"/>
          <w:i/>
          <w:noProof/>
        </w:rPr>
        <w:t>Minister of Home Affairs and Another v Fourie and Another</w:t>
      </w:r>
      <w:r w:rsidRPr="00056541">
        <w:rPr>
          <w:rFonts w:cs="Times New Roman"/>
          <w:noProof/>
        </w:rPr>
        <w:t xml:space="preserve"> [2005] ZACC 19,</w:t>
      </w:r>
      <w:r>
        <w:rPr>
          <w:noProof/>
        </w:rPr>
        <w:tab/>
        <w:t>27</w:t>
      </w:r>
    </w:p>
    <w:p w:rsidR="00A6208A" w:rsidRDefault="00A6208A">
      <w:pPr>
        <w:pStyle w:val="TableofAuthorities"/>
        <w:tabs>
          <w:tab w:val="right" w:leader="dot" w:pos="9350"/>
        </w:tabs>
        <w:rPr>
          <w:noProof/>
        </w:rPr>
      </w:pPr>
      <w:r w:rsidRPr="00056541">
        <w:rPr>
          <w:rFonts w:cs="Times New Roman"/>
          <w:i/>
          <w:noProof/>
        </w:rPr>
        <w:t>Re Marriage Cases</w:t>
      </w:r>
      <w:r w:rsidRPr="00056541">
        <w:rPr>
          <w:rFonts w:cs="Times New Roman"/>
          <w:noProof/>
        </w:rPr>
        <w:t xml:space="preserve"> (2008) 43 Cal.4th 757 [76 Cal.Rptr.3d 683, 183 P.3d 384]</w:t>
      </w:r>
      <w:r>
        <w:rPr>
          <w:noProof/>
        </w:rPr>
        <w:tab/>
        <w:t>27</w:t>
      </w:r>
    </w:p>
    <w:p w:rsidR="00A6208A" w:rsidRDefault="00A6208A">
      <w:pPr>
        <w:pStyle w:val="TableofAuthorities"/>
        <w:tabs>
          <w:tab w:val="right" w:leader="dot" w:pos="9350"/>
        </w:tabs>
        <w:rPr>
          <w:noProof/>
        </w:rPr>
      </w:pPr>
      <w:r w:rsidRPr="00056541">
        <w:rPr>
          <w:rFonts w:cs="Times New Roman"/>
          <w:noProof/>
        </w:rPr>
        <w:t xml:space="preserve">Report No. 50/04 Petition 12.056, </w:t>
      </w:r>
      <w:r w:rsidRPr="00056541">
        <w:rPr>
          <w:rFonts w:cs="Times New Roman"/>
          <w:i/>
          <w:noProof/>
        </w:rPr>
        <w:t>Gabriel Oscar Jenkins (Argentina</w:t>
      </w:r>
      <w:r w:rsidRPr="00056541">
        <w:rPr>
          <w:rFonts w:cs="Times New Roman"/>
          <w:noProof/>
        </w:rPr>
        <w:t>), October 13, 2004,</w:t>
      </w:r>
      <w:r>
        <w:rPr>
          <w:noProof/>
        </w:rPr>
        <w:tab/>
        <w:t>18</w:t>
      </w:r>
    </w:p>
    <w:p w:rsidR="00A6208A" w:rsidRDefault="00A6208A">
      <w:pPr>
        <w:pStyle w:val="TableofAuthorities"/>
        <w:tabs>
          <w:tab w:val="right" w:leader="dot" w:pos="9350"/>
        </w:tabs>
        <w:rPr>
          <w:noProof/>
        </w:rPr>
      </w:pPr>
      <w:r w:rsidRPr="00056541">
        <w:rPr>
          <w:rFonts w:cs="Times New Roman"/>
          <w:i/>
          <w:noProof/>
        </w:rPr>
        <w:t xml:space="preserve">Socio-educational Internment Unit (UNIS) (Brazil), </w:t>
      </w:r>
      <w:r w:rsidRPr="00056541">
        <w:rPr>
          <w:rFonts w:cs="Times New Roman"/>
          <w:noProof/>
        </w:rPr>
        <w:t>Provisional Measures, IACtHR, 25 February 2011, “considering” 13</w:t>
      </w:r>
      <w:r>
        <w:rPr>
          <w:noProof/>
        </w:rPr>
        <w:tab/>
        <w:t>20</w:t>
      </w:r>
    </w:p>
    <w:p w:rsidR="00A6208A" w:rsidRDefault="00A6208A">
      <w:pPr>
        <w:pStyle w:val="TableofAuthorities"/>
        <w:tabs>
          <w:tab w:val="right" w:leader="dot" w:pos="9350"/>
        </w:tabs>
        <w:rPr>
          <w:noProof/>
        </w:rPr>
      </w:pPr>
      <w:r w:rsidRPr="00056541">
        <w:rPr>
          <w:rFonts w:cs="Times New Roman"/>
          <w:noProof/>
        </w:rPr>
        <w:t xml:space="preserve">United Nations Human Rights Committee , </w:t>
      </w:r>
      <w:r w:rsidRPr="00056541">
        <w:rPr>
          <w:rFonts w:cs="Times New Roman"/>
          <w:i/>
          <w:noProof/>
        </w:rPr>
        <w:t>Au meeruddy-cziffra et al v Mauritius</w:t>
      </w:r>
      <w:r w:rsidRPr="00056541">
        <w:rPr>
          <w:rFonts w:cs="Times New Roman"/>
          <w:noProof/>
        </w:rPr>
        <w:t>,  Communication No. 35/1978, UN Doc. CCPR/C/12/D/35/1978 (1978)</w:t>
      </w:r>
      <w:r>
        <w:rPr>
          <w:noProof/>
        </w:rPr>
        <w:tab/>
        <w:t>33</w:t>
      </w:r>
    </w:p>
    <w:p w:rsidR="00A6208A" w:rsidRDefault="00A6208A">
      <w:pPr>
        <w:pStyle w:val="TableofAuthorities"/>
        <w:tabs>
          <w:tab w:val="right" w:leader="dot" w:pos="9350"/>
        </w:tabs>
        <w:rPr>
          <w:noProof/>
        </w:rPr>
      </w:pPr>
      <w:r w:rsidRPr="00056541">
        <w:rPr>
          <w:rFonts w:cs="Times New Roman"/>
          <w:noProof/>
        </w:rPr>
        <w:t xml:space="preserve">United Nations Human Rights Committee </w:t>
      </w:r>
      <w:r w:rsidRPr="00056541">
        <w:rPr>
          <w:rFonts w:cs="Times New Roman"/>
          <w:i/>
          <w:noProof/>
        </w:rPr>
        <w:t>Joslin v. New Zealand</w:t>
      </w:r>
      <w:r w:rsidRPr="00056541">
        <w:rPr>
          <w:rFonts w:cs="Times New Roman"/>
          <w:noProof/>
        </w:rPr>
        <w:t>. Communication No. 902/1999. 17 July 2002</w:t>
      </w:r>
      <w:r>
        <w:rPr>
          <w:noProof/>
        </w:rPr>
        <w:tab/>
        <w:t>31</w:t>
      </w:r>
    </w:p>
    <w:p w:rsidR="00A6208A" w:rsidRDefault="00A6208A">
      <w:pPr>
        <w:pStyle w:val="TableofAuthorities"/>
        <w:tabs>
          <w:tab w:val="right" w:leader="dot" w:pos="9350"/>
        </w:tabs>
        <w:rPr>
          <w:noProof/>
        </w:rPr>
      </w:pPr>
      <w:r w:rsidRPr="00056541">
        <w:rPr>
          <w:rFonts w:cs="Times New Roman"/>
          <w:noProof/>
        </w:rPr>
        <w:t xml:space="preserve">United Nations Human Rights Committee, </w:t>
      </w:r>
      <w:r w:rsidRPr="00056541">
        <w:rPr>
          <w:rFonts w:cs="Times New Roman"/>
          <w:i/>
          <w:noProof/>
        </w:rPr>
        <w:t xml:space="preserve">Case of  Young v Australia </w:t>
      </w:r>
      <w:r w:rsidRPr="00056541">
        <w:rPr>
          <w:rFonts w:cs="Times New Roman"/>
          <w:noProof/>
        </w:rPr>
        <w:t xml:space="preserve"> Communication No. 488/1992 (1994)</w:t>
      </w:r>
      <w:r>
        <w:rPr>
          <w:noProof/>
        </w:rPr>
        <w:tab/>
        <w:t>22</w:t>
      </w:r>
    </w:p>
    <w:p w:rsidR="006D67E6" w:rsidRDefault="00820DC0" w:rsidP="00A6208A">
      <w:pPr>
        <w:pStyle w:val="TOAHeading"/>
        <w:rPr>
          <w:rFonts w:asciiTheme="minorHAnsi" w:eastAsiaTheme="minorEastAsia" w:hAnsiTheme="minorHAnsi" w:cstheme="minorBidi"/>
          <w:sz w:val="22"/>
          <w:szCs w:val="22"/>
        </w:rPr>
      </w:pPr>
      <w:r>
        <w:fldChar w:fldCharType="end"/>
      </w:r>
      <w:r>
        <w:fldChar w:fldCharType="begin"/>
      </w:r>
      <w:r w:rsidR="006D67E6">
        <w:instrText xml:space="preserve"> TOA \h \c "2" </w:instrText>
      </w:r>
      <w:r>
        <w:fldChar w:fldCharType="separate"/>
      </w:r>
      <w:r w:rsidR="00881FA5">
        <w:t>BOOKS AND ARTICLES</w:t>
      </w:r>
    </w:p>
    <w:p w:rsidR="006D67E6" w:rsidRDefault="006D67E6">
      <w:pPr>
        <w:pStyle w:val="TableofAuthorities"/>
        <w:tabs>
          <w:tab w:val="right" w:leader="dot" w:pos="9350"/>
        </w:tabs>
        <w:rPr>
          <w:noProof/>
        </w:rPr>
      </w:pPr>
      <w:r w:rsidRPr="004A0929">
        <w:rPr>
          <w:rFonts w:cs="Times New Roman"/>
          <w:noProof/>
        </w:rPr>
        <w:t xml:space="preserve">Antônio Augusto Cançado Trindade </w:t>
      </w:r>
      <w:r w:rsidRPr="004A0929">
        <w:rPr>
          <w:rFonts w:cs="Times New Roman"/>
          <w:i/>
          <w:noProof/>
        </w:rPr>
        <w:t>The Access of Individuals to International Justice</w:t>
      </w:r>
      <w:r w:rsidR="006C76BE">
        <w:rPr>
          <w:rFonts w:cs="Times New Roman"/>
          <w:noProof/>
        </w:rPr>
        <w:t xml:space="preserve"> (</w:t>
      </w:r>
      <w:r w:rsidRPr="004A0929">
        <w:rPr>
          <w:rFonts w:cs="Times New Roman"/>
          <w:noProof/>
        </w:rPr>
        <w:t>Oxford University Press, 2011)</w:t>
      </w:r>
      <w:r>
        <w:rPr>
          <w:noProof/>
        </w:rPr>
        <w:tab/>
        <w:t>37</w:t>
      </w:r>
    </w:p>
    <w:p w:rsidR="006D67E6" w:rsidRDefault="006D67E6">
      <w:pPr>
        <w:pStyle w:val="TableofAuthorities"/>
        <w:tabs>
          <w:tab w:val="right" w:leader="dot" w:pos="9350"/>
        </w:tabs>
        <w:rPr>
          <w:noProof/>
        </w:rPr>
      </w:pPr>
      <w:r w:rsidRPr="004A0929">
        <w:rPr>
          <w:rFonts w:cs="Times New Roman"/>
          <w:noProof/>
        </w:rPr>
        <w:t xml:space="preserve">Cecilia Medina Quiroga. </w:t>
      </w:r>
      <w:r w:rsidRPr="004A0929">
        <w:rPr>
          <w:rFonts w:cs="Times New Roman"/>
          <w:i/>
          <w:noProof/>
        </w:rPr>
        <w:t>La Convencion Americano: Vida, Integridad Personal, Libertad Personal, Debido Proceso y Recurso</w:t>
      </w:r>
      <w:r w:rsidRPr="004A0929">
        <w:rPr>
          <w:rFonts w:cs="Times New Roman"/>
          <w:noProof/>
        </w:rPr>
        <w:t xml:space="preserve"> </w:t>
      </w:r>
      <w:r w:rsidRPr="004A0929">
        <w:rPr>
          <w:rFonts w:cs="Times New Roman"/>
          <w:i/>
          <w:noProof/>
        </w:rPr>
        <w:t>Judicial</w:t>
      </w:r>
      <w:r w:rsidRPr="004A0929">
        <w:rPr>
          <w:rFonts w:cs="Times New Roman"/>
          <w:noProof/>
        </w:rPr>
        <w:t xml:space="preserve"> (University of Chile, 2005)</w:t>
      </w:r>
      <w:r>
        <w:rPr>
          <w:noProof/>
        </w:rPr>
        <w:tab/>
        <w:t>40</w:t>
      </w:r>
    </w:p>
    <w:p w:rsidR="006D67E6" w:rsidRDefault="006D67E6">
      <w:pPr>
        <w:pStyle w:val="TableofAuthorities"/>
        <w:tabs>
          <w:tab w:val="right" w:leader="dot" w:pos="9350"/>
        </w:tabs>
        <w:rPr>
          <w:noProof/>
        </w:rPr>
      </w:pPr>
      <w:r w:rsidRPr="004A0929">
        <w:rPr>
          <w:rFonts w:cs="Times New Roman"/>
          <w:noProof/>
        </w:rPr>
        <w:t>Charles Taylor. The Politics of Recognition in Amy Gutman (ed</w:t>
      </w:r>
      <w:r w:rsidRPr="004A0929">
        <w:rPr>
          <w:rFonts w:cs="Times New Roman"/>
          <w:i/>
          <w:noProof/>
        </w:rPr>
        <w:t xml:space="preserve">), Multiculturalism: Examining the Politics of Recognition </w:t>
      </w:r>
      <w:r w:rsidRPr="004A0929">
        <w:rPr>
          <w:rFonts w:cs="Times New Roman"/>
          <w:noProof/>
        </w:rPr>
        <w:t>(Princeton: Princeton University Press, 1994)</w:t>
      </w:r>
      <w:r>
        <w:rPr>
          <w:noProof/>
        </w:rPr>
        <w:tab/>
        <w:t>35</w:t>
      </w:r>
    </w:p>
    <w:p w:rsidR="006D67E6" w:rsidRDefault="006D67E6">
      <w:pPr>
        <w:pStyle w:val="TableofAuthorities"/>
        <w:tabs>
          <w:tab w:val="right" w:leader="dot" w:pos="9350"/>
        </w:tabs>
        <w:rPr>
          <w:noProof/>
        </w:rPr>
      </w:pPr>
      <w:r w:rsidRPr="004A0929">
        <w:rPr>
          <w:rFonts w:cs="Times New Roman"/>
          <w:noProof/>
        </w:rPr>
        <w:lastRenderedPageBreak/>
        <w:t xml:space="preserve">Claro Burbano Herrera. </w:t>
      </w:r>
      <w:r w:rsidRPr="004A0929">
        <w:rPr>
          <w:rFonts w:cs="Times New Roman"/>
          <w:i/>
          <w:noProof/>
        </w:rPr>
        <w:t xml:space="preserve">Provisional Measures in the Case Law of the Inter-American Court of Human Rights, </w:t>
      </w:r>
      <w:r w:rsidRPr="004A0929">
        <w:rPr>
          <w:rFonts w:cs="Times New Roman"/>
          <w:noProof/>
        </w:rPr>
        <w:t>(Intersentia, 2010)</w:t>
      </w:r>
      <w:r>
        <w:rPr>
          <w:noProof/>
        </w:rPr>
        <w:tab/>
        <w:t>20</w:t>
      </w:r>
    </w:p>
    <w:p w:rsidR="006D67E6" w:rsidRDefault="006D67E6">
      <w:pPr>
        <w:pStyle w:val="TableofAuthorities"/>
        <w:tabs>
          <w:tab w:val="right" w:leader="dot" w:pos="9350"/>
        </w:tabs>
        <w:rPr>
          <w:noProof/>
        </w:rPr>
      </w:pPr>
      <w:r w:rsidRPr="004A0929">
        <w:rPr>
          <w:rFonts w:cs="Times New Roman"/>
          <w:noProof/>
        </w:rPr>
        <w:t xml:space="preserve">Jo M Pasqualucci. </w:t>
      </w:r>
      <w:r w:rsidRPr="004A0929">
        <w:rPr>
          <w:rFonts w:cs="Times New Roman"/>
          <w:i/>
          <w:noProof/>
        </w:rPr>
        <w:t>The Practice and Procedure of the Inter-American Court of Human Rights</w:t>
      </w:r>
      <w:r w:rsidRPr="004A0929">
        <w:rPr>
          <w:rFonts w:cs="Times New Roman"/>
          <w:noProof/>
        </w:rPr>
        <w:t xml:space="preserve">. </w:t>
      </w:r>
      <w:r w:rsidR="006C76BE">
        <w:rPr>
          <w:rFonts w:cs="Times New Roman"/>
          <w:noProof/>
        </w:rPr>
        <w:t>(</w:t>
      </w:r>
      <w:r w:rsidRPr="004A0929">
        <w:rPr>
          <w:rFonts w:cs="Times New Roman"/>
          <w:noProof/>
        </w:rPr>
        <w:t>Cambridge University</w:t>
      </w:r>
      <w:r w:rsidR="00FB758C">
        <w:rPr>
          <w:rFonts w:cs="Times New Roman"/>
          <w:noProof/>
        </w:rPr>
        <w:t xml:space="preserve"> </w:t>
      </w:r>
      <w:r w:rsidRPr="004A0929">
        <w:rPr>
          <w:rFonts w:cs="Times New Roman"/>
          <w:noProof/>
        </w:rPr>
        <w:t>Press</w:t>
      </w:r>
      <w:r w:rsidR="00FB758C">
        <w:rPr>
          <w:rFonts w:cs="Times New Roman"/>
          <w:noProof/>
        </w:rPr>
        <w:t>,</w:t>
      </w:r>
      <w:r w:rsidRPr="004A0929">
        <w:rPr>
          <w:rFonts w:cs="Times New Roman"/>
          <w:noProof/>
        </w:rPr>
        <w:t xml:space="preserve"> 2012</w:t>
      </w:r>
      <w:r w:rsidR="006C76BE">
        <w:rPr>
          <w:rFonts w:cs="Times New Roman"/>
          <w:noProof/>
        </w:rPr>
        <w:t>)</w:t>
      </w:r>
      <w:r>
        <w:rPr>
          <w:noProof/>
        </w:rPr>
        <w:tab/>
        <w:t>19, 25</w:t>
      </w:r>
    </w:p>
    <w:p w:rsidR="006D67E6" w:rsidRDefault="006D67E6">
      <w:pPr>
        <w:pStyle w:val="TableofAuthorities"/>
        <w:tabs>
          <w:tab w:val="right" w:leader="dot" w:pos="9350"/>
        </w:tabs>
        <w:rPr>
          <w:noProof/>
        </w:rPr>
      </w:pPr>
      <w:r w:rsidRPr="004A0929">
        <w:rPr>
          <w:rFonts w:cs="Times New Roman"/>
          <w:noProof/>
        </w:rPr>
        <w:t xml:space="preserve">Laurence Bugorgue-Larsen,. </w:t>
      </w:r>
      <w:r w:rsidRPr="004A0929">
        <w:rPr>
          <w:rFonts w:cs="Times New Roman"/>
          <w:i/>
          <w:noProof/>
        </w:rPr>
        <w:t xml:space="preserve">Inter-American Court of Human Rights: Case Law and Commentary. </w:t>
      </w:r>
      <w:r w:rsidR="006C76BE">
        <w:rPr>
          <w:rFonts w:cs="Times New Roman"/>
          <w:noProof/>
        </w:rPr>
        <w:t>(</w:t>
      </w:r>
      <w:r w:rsidRPr="004A0929">
        <w:rPr>
          <w:rFonts w:cs="Times New Roman"/>
          <w:noProof/>
        </w:rPr>
        <w:t>Oxford University Press, 2011</w:t>
      </w:r>
      <w:r w:rsidR="006C4E7A">
        <w:rPr>
          <w:rFonts w:cs="Times New Roman"/>
          <w:noProof/>
        </w:rPr>
        <w:t>)</w:t>
      </w:r>
      <w:r>
        <w:rPr>
          <w:noProof/>
        </w:rPr>
        <w:tab/>
        <w:t>16</w:t>
      </w:r>
    </w:p>
    <w:p w:rsidR="006D67E6" w:rsidRDefault="006D67E6">
      <w:pPr>
        <w:pStyle w:val="TableofAuthorities"/>
        <w:tabs>
          <w:tab w:val="right" w:leader="dot" w:pos="9350"/>
        </w:tabs>
        <w:rPr>
          <w:noProof/>
        </w:rPr>
      </w:pPr>
      <w:r w:rsidRPr="004A0929">
        <w:rPr>
          <w:rFonts w:cs="Times New Roman"/>
          <w:noProof/>
        </w:rPr>
        <w:t xml:space="preserve">Loveday Hodson. </w:t>
      </w:r>
      <w:r w:rsidRPr="004A0929">
        <w:rPr>
          <w:rFonts w:cs="Times New Roman"/>
          <w:i/>
          <w:noProof/>
        </w:rPr>
        <w:t>A Marriage by Any Other Name? Schalk and Kopf v Austria</w:t>
      </w:r>
      <w:r w:rsidRPr="004A0929">
        <w:rPr>
          <w:rFonts w:cs="Times New Roman"/>
          <w:noProof/>
        </w:rPr>
        <w:t xml:space="preserve"> (2011) Human Rights Law Review, HRLR (2011)</w:t>
      </w:r>
      <w:r>
        <w:rPr>
          <w:noProof/>
        </w:rPr>
        <w:tab/>
        <w:t>33</w:t>
      </w:r>
    </w:p>
    <w:p w:rsidR="006D67E6" w:rsidRDefault="006D67E6">
      <w:pPr>
        <w:pStyle w:val="TableofAuthorities"/>
        <w:tabs>
          <w:tab w:val="right" w:leader="dot" w:pos="9350"/>
        </w:tabs>
        <w:rPr>
          <w:noProof/>
        </w:rPr>
      </w:pPr>
      <w:r w:rsidRPr="004A0929">
        <w:rPr>
          <w:rFonts w:cs="Times New Roman"/>
          <w:noProof/>
        </w:rPr>
        <w:t xml:space="preserve">Lucas Lixinski. </w:t>
      </w:r>
      <w:r w:rsidRPr="004A0929">
        <w:rPr>
          <w:rFonts w:cs="Times New Roman"/>
          <w:i/>
          <w:noProof/>
        </w:rPr>
        <w:t>Treaty Interpretation by the Inter-American Court of Human Rights: Expansionism at the Service of the Unity of International Law</w:t>
      </w:r>
      <w:r w:rsidRPr="004A0929">
        <w:rPr>
          <w:rFonts w:cs="Times New Roman"/>
          <w:noProof/>
        </w:rPr>
        <w:t>, European Journal of International Law EJIL 21 (2010), 585–604</w:t>
      </w:r>
      <w:r>
        <w:rPr>
          <w:noProof/>
        </w:rPr>
        <w:tab/>
        <w:t>25</w:t>
      </w:r>
    </w:p>
    <w:p w:rsidR="006D67E6" w:rsidRDefault="006D67E6">
      <w:pPr>
        <w:pStyle w:val="TableofAuthorities"/>
        <w:tabs>
          <w:tab w:val="right" w:leader="dot" w:pos="9350"/>
        </w:tabs>
        <w:rPr>
          <w:noProof/>
        </w:rPr>
      </w:pPr>
      <w:r w:rsidRPr="004A0929">
        <w:rPr>
          <w:rFonts w:cs="Times New Roman"/>
          <w:noProof/>
        </w:rPr>
        <w:t xml:space="preserve">Man Yee Karen Lee. </w:t>
      </w:r>
      <w:r w:rsidRPr="004A0929">
        <w:rPr>
          <w:rFonts w:cs="Times New Roman"/>
          <w:i/>
          <w:noProof/>
        </w:rPr>
        <w:t>Equality, Dignity and Same-Sex Marriage: A Rights Disagreement in Democratic Societies</w:t>
      </w:r>
      <w:r w:rsidRPr="004A0929">
        <w:rPr>
          <w:rFonts w:cs="Times New Roman"/>
          <w:noProof/>
        </w:rPr>
        <w:t xml:space="preserve"> (Martinus Nijhoff Publishers, 2010)</w:t>
      </w:r>
      <w:r>
        <w:rPr>
          <w:noProof/>
        </w:rPr>
        <w:tab/>
        <w:t>35</w:t>
      </w:r>
    </w:p>
    <w:p w:rsidR="00A849FD" w:rsidRPr="00A849FD" w:rsidRDefault="00A849FD" w:rsidP="00A849FD"/>
    <w:p w:rsidR="00935AF7" w:rsidRPr="00A6208A" w:rsidRDefault="00820DC0" w:rsidP="00A6208A">
      <w:pPr>
        <w:pStyle w:val="TOAHeading"/>
        <w:rPr>
          <w:rFonts w:asciiTheme="minorHAnsi" w:eastAsiaTheme="minorEastAsia" w:hAnsiTheme="minorHAnsi" w:cstheme="minorBidi"/>
          <w:sz w:val="22"/>
          <w:szCs w:val="22"/>
        </w:rPr>
      </w:pPr>
      <w:r>
        <w:fldChar w:fldCharType="end"/>
      </w:r>
      <w:r w:rsidR="00383268">
        <w:t xml:space="preserve"> </w:t>
      </w:r>
      <w:r>
        <w:fldChar w:fldCharType="begin"/>
      </w:r>
      <w:r w:rsidR="00383268">
        <w:instrText xml:space="preserve"> TOA \h \c "4" </w:instrText>
      </w:r>
      <w:r>
        <w:fldChar w:fldCharType="separate"/>
      </w:r>
      <w:r w:rsidR="00935AF7" w:rsidRPr="00A6208A">
        <w:t>Conventions</w:t>
      </w:r>
    </w:p>
    <w:p w:rsidR="00935AF7" w:rsidRDefault="00935AF7">
      <w:pPr>
        <w:pStyle w:val="TableofAuthorities"/>
        <w:tabs>
          <w:tab w:val="right" w:leader="dot" w:pos="9350"/>
        </w:tabs>
        <w:rPr>
          <w:noProof/>
        </w:rPr>
      </w:pPr>
      <w:r>
        <w:rPr>
          <w:noProof/>
        </w:rPr>
        <w:t>Additional Protocol to the American Convention on Human Rights in the Area of Economic, Social and Cultural Rights (Protocol of San Salvador) O.A.S. Treaty Series No. 69 (1988) OEA/Ser.L.V/II.82 doc.6 rev.1 at 67 (1992)</w:t>
      </w:r>
      <w:r>
        <w:rPr>
          <w:noProof/>
        </w:rPr>
        <w:tab/>
        <w:t>22</w:t>
      </w:r>
    </w:p>
    <w:p w:rsidR="00935AF7" w:rsidRDefault="00935AF7">
      <w:pPr>
        <w:pStyle w:val="TableofAuthorities"/>
        <w:tabs>
          <w:tab w:val="right" w:leader="dot" w:pos="9350"/>
        </w:tabs>
        <w:rPr>
          <w:noProof/>
        </w:rPr>
      </w:pPr>
      <w:r>
        <w:rPr>
          <w:noProof/>
        </w:rPr>
        <w:t>American Declaration on the Rights and Duties of Man, April. 22, 1948, O.A.S. Res. XXX</w:t>
      </w:r>
      <w:r>
        <w:rPr>
          <w:noProof/>
        </w:rPr>
        <w:tab/>
        <w:t>26</w:t>
      </w:r>
    </w:p>
    <w:p w:rsidR="00935AF7" w:rsidRDefault="00935AF7">
      <w:pPr>
        <w:pStyle w:val="TableofAuthorities"/>
        <w:tabs>
          <w:tab w:val="right" w:leader="dot" w:pos="9350"/>
        </w:tabs>
        <w:rPr>
          <w:noProof/>
        </w:rPr>
      </w:pPr>
      <w:r>
        <w:rPr>
          <w:noProof/>
        </w:rPr>
        <w:t>Charter of the Organization of American States Dec. 13, 1951, 119 U.N.T.S. 3</w:t>
      </w:r>
      <w:r>
        <w:rPr>
          <w:noProof/>
        </w:rPr>
        <w:tab/>
        <w:t>22</w:t>
      </w:r>
    </w:p>
    <w:p w:rsidR="00935AF7" w:rsidRDefault="00935AF7">
      <w:pPr>
        <w:pStyle w:val="TableofAuthorities"/>
        <w:tabs>
          <w:tab w:val="right" w:leader="dot" w:pos="9350"/>
        </w:tabs>
        <w:rPr>
          <w:noProof/>
        </w:rPr>
      </w:pPr>
      <w:r>
        <w:rPr>
          <w:noProof/>
        </w:rPr>
        <w:t>Convention for the Protection of Human Rights and Fundamental Freedoms, 213 U.N.T.S. 222, entered into force September 3, 1953</w:t>
      </w:r>
      <w:r>
        <w:rPr>
          <w:noProof/>
        </w:rPr>
        <w:tab/>
        <w:t>21</w:t>
      </w:r>
    </w:p>
    <w:p w:rsidR="00935AF7" w:rsidRDefault="00935AF7">
      <w:pPr>
        <w:pStyle w:val="TableofAuthorities"/>
        <w:tabs>
          <w:tab w:val="right" w:leader="dot" w:pos="9350"/>
        </w:tabs>
        <w:rPr>
          <w:noProof/>
        </w:rPr>
      </w:pPr>
      <w:r>
        <w:rPr>
          <w:noProof/>
        </w:rPr>
        <w:lastRenderedPageBreak/>
        <w:t>International Covenant on Civil and Political Rights, G.A. res. 2200A (XXI), 21 U.N. GAOR Supp. (No. 16) at 52, U.N. Doc. A/6316 (1966), 999 U.N.T.S. 171, entered into force Mar. 23, 1976</w:t>
      </w:r>
      <w:r>
        <w:rPr>
          <w:noProof/>
        </w:rPr>
        <w:tab/>
        <w:t>28</w:t>
      </w:r>
    </w:p>
    <w:p w:rsidR="00935AF7" w:rsidRDefault="00935AF7">
      <w:pPr>
        <w:pStyle w:val="TableofAuthorities"/>
        <w:tabs>
          <w:tab w:val="right" w:leader="dot" w:pos="9350"/>
        </w:tabs>
        <w:rPr>
          <w:noProof/>
        </w:rPr>
      </w:pPr>
      <w:r>
        <w:rPr>
          <w:noProof/>
        </w:rPr>
        <w:t>Universal Declaration of Human Rights G.A. res. 217 (III), December 10, 1948</w:t>
      </w:r>
      <w:r>
        <w:rPr>
          <w:noProof/>
        </w:rPr>
        <w:tab/>
        <w:t>28</w:t>
      </w:r>
    </w:p>
    <w:p w:rsidR="00A6208A" w:rsidRPr="00A6208A" w:rsidRDefault="00820DC0" w:rsidP="00A6208A">
      <w:pPr>
        <w:pStyle w:val="TOAHeading"/>
        <w:rPr>
          <w:rFonts w:asciiTheme="minorHAnsi" w:eastAsiaTheme="minorEastAsia" w:hAnsiTheme="minorHAnsi" w:cstheme="minorBidi"/>
          <w:sz w:val="22"/>
          <w:szCs w:val="22"/>
        </w:rPr>
      </w:pPr>
      <w:r>
        <w:fldChar w:fldCharType="end"/>
      </w:r>
      <w:r>
        <w:fldChar w:fldCharType="begin"/>
      </w:r>
      <w:r w:rsidR="00FB758C">
        <w:instrText xml:space="preserve"> TOA \h \c "5" </w:instrText>
      </w:r>
      <w:r>
        <w:fldChar w:fldCharType="separate"/>
      </w:r>
      <w:r w:rsidR="00A6208A" w:rsidRPr="00A6208A">
        <w:t>American Convention on Human Rights O.A.S. Treaty Series No. 36, 1144 U.N.T.S. 123</w:t>
      </w:r>
      <w:r w:rsidR="00A6208A">
        <w:t>,</w:t>
      </w:r>
      <w:r w:rsidR="00A6208A" w:rsidRPr="00A6208A">
        <w:t xml:space="preserve"> entered into force July 18, 1978</w:t>
      </w:r>
    </w:p>
    <w:p w:rsidR="00A6208A" w:rsidRDefault="00A6208A">
      <w:pPr>
        <w:pStyle w:val="TableofAuthorities"/>
        <w:tabs>
          <w:tab w:val="right" w:leader="dot" w:pos="9350"/>
        </w:tabs>
        <w:rPr>
          <w:noProof/>
        </w:rPr>
      </w:pPr>
      <w:r w:rsidRPr="000A2CEF">
        <w:rPr>
          <w:rFonts w:cs="Times New Roman"/>
          <w:noProof/>
        </w:rPr>
        <w:t>Article 1(1)</w:t>
      </w:r>
      <w:r>
        <w:rPr>
          <w:noProof/>
        </w:rPr>
        <w:tab/>
        <w:t>16, 22, 23, 24, 28, 31, 36, 38, 40</w:t>
      </w:r>
    </w:p>
    <w:p w:rsidR="00A6208A" w:rsidRDefault="00A6208A">
      <w:pPr>
        <w:pStyle w:val="TableofAuthorities"/>
        <w:tabs>
          <w:tab w:val="right" w:leader="dot" w:pos="9350"/>
        </w:tabs>
        <w:rPr>
          <w:noProof/>
        </w:rPr>
      </w:pPr>
      <w:r w:rsidRPr="000A2CEF">
        <w:rPr>
          <w:rFonts w:eastAsia="Calibri" w:cs="Times New Roman"/>
          <w:noProof/>
        </w:rPr>
        <w:t>Article 11</w:t>
      </w:r>
      <w:r>
        <w:rPr>
          <w:noProof/>
        </w:rPr>
        <w:tab/>
        <w:t>21, 26, 28, 32, 33, 40</w:t>
      </w:r>
    </w:p>
    <w:p w:rsidR="00A6208A" w:rsidRDefault="00A6208A">
      <w:pPr>
        <w:pStyle w:val="TableofAuthorities"/>
        <w:tabs>
          <w:tab w:val="right" w:leader="dot" w:pos="9350"/>
        </w:tabs>
        <w:rPr>
          <w:noProof/>
        </w:rPr>
      </w:pPr>
      <w:r w:rsidRPr="000A2CEF">
        <w:rPr>
          <w:rFonts w:eastAsia="Calibri" w:cs="Times New Roman"/>
          <w:noProof/>
        </w:rPr>
        <w:t>Article 17</w:t>
      </w:r>
      <w:r>
        <w:rPr>
          <w:noProof/>
        </w:rPr>
        <w:tab/>
        <w:t>28, 29, 40</w:t>
      </w:r>
    </w:p>
    <w:p w:rsidR="00A6208A" w:rsidRDefault="00A6208A">
      <w:pPr>
        <w:pStyle w:val="TableofAuthorities"/>
        <w:tabs>
          <w:tab w:val="right" w:leader="dot" w:pos="9350"/>
        </w:tabs>
        <w:rPr>
          <w:noProof/>
        </w:rPr>
      </w:pPr>
      <w:r w:rsidRPr="000A2CEF">
        <w:rPr>
          <w:rFonts w:cs="Times New Roman"/>
          <w:noProof/>
        </w:rPr>
        <w:t>Article 17.2</w:t>
      </w:r>
      <w:r>
        <w:rPr>
          <w:noProof/>
        </w:rPr>
        <w:tab/>
        <w:t>22, 29, 30, 32</w:t>
      </w:r>
    </w:p>
    <w:p w:rsidR="00A6208A" w:rsidRDefault="00A6208A">
      <w:pPr>
        <w:pStyle w:val="TableofAuthorities"/>
        <w:tabs>
          <w:tab w:val="right" w:leader="dot" w:pos="9350"/>
        </w:tabs>
        <w:rPr>
          <w:noProof/>
        </w:rPr>
      </w:pPr>
      <w:r w:rsidRPr="000A2CEF">
        <w:rPr>
          <w:rFonts w:cs="Times New Roman"/>
          <w:noProof/>
        </w:rPr>
        <w:t>Article 2</w:t>
      </w:r>
      <w:r>
        <w:rPr>
          <w:noProof/>
        </w:rPr>
        <w:tab/>
        <w:t>16, 23, 40</w:t>
      </w:r>
    </w:p>
    <w:p w:rsidR="00A6208A" w:rsidRDefault="00A6208A">
      <w:pPr>
        <w:pStyle w:val="TableofAuthorities"/>
        <w:tabs>
          <w:tab w:val="right" w:leader="dot" w:pos="9350"/>
        </w:tabs>
        <w:rPr>
          <w:noProof/>
        </w:rPr>
      </w:pPr>
      <w:r>
        <w:rPr>
          <w:noProof/>
        </w:rPr>
        <w:t xml:space="preserve">Article </w:t>
      </w:r>
      <w:r w:rsidRPr="000A2CEF">
        <w:rPr>
          <w:rFonts w:cs="Times New Roman"/>
          <w:noProof/>
        </w:rPr>
        <w:t>25</w:t>
      </w:r>
      <w:r>
        <w:rPr>
          <w:noProof/>
        </w:rPr>
        <w:tab/>
        <w:t>40</w:t>
      </w:r>
    </w:p>
    <w:p w:rsidR="00A6208A" w:rsidRDefault="00A6208A">
      <w:pPr>
        <w:pStyle w:val="TableofAuthorities"/>
        <w:tabs>
          <w:tab w:val="right" w:leader="dot" w:pos="9350"/>
        </w:tabs>
        <w:rPr>
          <w:noProof/>
        </w:rPr>
      </w:pPr>
      <w:r w:rsidRPr="000A2CEF">
        <w:rPr>
          <w:rFonts w:cs="Times New Roman"/>
          <w:noProof/>
        </w:rPr>
        <w:t>Article 29</w:t>
      </w:r>
      <w:r>
        <w:rPr>
          <w:noProof/>
        </w:rPr>
        <w:tab/>
        <w:t>24, 29, 32</w:t>
      </w:r>
    </w:p>
    <w:p w:rsidR="00A6208A" w:rsidRDefault="00A6208A">
      <w:pPr>
        <w:pStyle w:val="TableofAuthorities"/>
        <w:tabs>
          <w:tab w:val="right" w:leader="dot" w:pos="9350"/>
        </w:tabs>
        <w:rPr>
          <w:noProof/>
        </w:rPr>
      </w:pPr>
      <w:r w:rsidRPr="000A2CEF">
        <w:rPr>
          <w:rFonts w:cs="Times New Roman"/>
          <w:noProof/>
        </w:rPr>
        <w:t>Article 46(1)(a)</w:t>
      </w:r>
      <w:r>
        <w:rPr>
          <w:noProof/>
        </w:rPr>
        <w:tab/>
        <w:t>16</w:t>
      </w:r>
    </w:p>
    <w:p w:rsidR="00A6208A" w:rsidRDefault="00A6208A">
      <w:pPr>
        <w:pStyle w:val="TableofAuthorities"/>
        <w:tabs>
          <w:tab w:val="right" w:leader="dot" w:pos="9350"/>
        </w:tabs>
        <w:rPr>
          <w:noProof/>
        </w:rPr>
      </w:pPr>
      <w:r w:rsidRPr="000A2CEF">
        <w:rPr>
          <w:rFonts w:eastAsia="Calibri" w:cs="Times New Roman"/>
          <w:noProof/>
        </w:rPr>
        <w:t>Article 5.1</w:t>
      </w:r>
      <w:r>
        <w:rPr>
          <w:noProof/>
        </w:rPr>
        <w:tab/>
        <w:t>21</w:t>
      </w:r>
    </w:p>
    <w:p w:rsidR="00A6208A" w:rsidRDefault="00A6208A">
      <w:pPr>
        <w:pStyle w:val="TableofAuthorities"/>
        <w:tabs>
          <w:tab w:val="right" w:leader="dot" w:pos="9350"/>
        </w:tabs>
        <w:rPr>
          <w:noProof/>
        </w:rPr>
      </w:pPr>
      <w:r w:rsidRPr="000A2CEF">
        <w:rPr>
          <w:rFonts w:cs="Times New Roman"/>
          <w:noProof/>
        </w:rPr>
        <w:t>Article 62.3</w:t>
      </w:r>
      <w:r>
        <w:rPr>
          <w:noProof/>
        </w:rPr>
        <w:tab/>
        <w:t>15</w:t>
      </w:r>
    </w:p>
    <w:p w:rsidR="00A6208A" w:rsidRDefault="00A6208A">
      <w:pPr>
        <w:pStyle w:val="TableofAuthorities"/>
        <w:tabs>
          <w:tab w:val="right" w:leader="dot" w:pos="9350"/>
        </w:tabs>
        <w:rPr>
          <w:noProof/>
        </w:rPr>
      </w:pPr>
      <w:r w:rsidRPr="000A2CEF">
        <w:rPr>
          <w:rFonts w:cs="Times New Roman"/>
          <w:noProof/>
        </w:rPr>
        <w:t>Article 63(2)</w:t>
      </w:r>
      <w:r>
        <w:rPr>
          <w:noProof/>
        </w:rPr>
        <w:tab/>
        <w:t>19</w:t>
      </w:r>
    </w:p>
    <w:p w:rsidR="00A6208A" w:rsidRDefault="00A6208A">
      <w:pPr>
        <w:pStyle w:val="TableofAuthorities"/>
        <w:tabs>
          <w:tab w:val="right" w:leader="dot" w:pos="9350"/>
        </w:tabs>
        <w:rPr>
          <w:noProof/>
        </w:rPr>
      </w:pPr>
      <w:r>
        <w:rPr>
          <w:noProof/>
        </w:rPr>
        <w:t>Article 8</w:t>
      </w:r>
      <w:r>
        <w:rPr>
          <w:noProof/>
        </w:rPr>
        <w:tab/>
        <w:t>36, 38, 40</w:t>
      </w:r>
    </w:p>
    <w:p w:rsidR="00A6208A" w:rsidRDefault="00820DC0" w:rsidP="00A6208A">
      <w:pPr>
        <w:pStyle w:val="TOAHeading"/>
      </w:pPr>
      <w:r>
        <w:fldChar w:fldCharType="end"/>
      </w:r>
    </w:p>
    <w:p w:rsidR="009B2577" w:rsidRDefault="009B2577" w:rsidP="009B2577"/>
    <w:p w:rsidR="009B2577" w:rsidRPr="009B2577" w:rsidRDefault="009B2577" w:rsidP="009B2577"/>
    <w:p w:rsidR="00A6208A" w:rsidRPr="00A6208A" w:rsidRDefault="00A6208A" w:rsidP="00A6208A"/>
    <w:p w:rsidR="00735F5D" w:rsidRPr="00F80F44" w:rsidRDefault="002D0DC2" w:rsidP="00F80F44">
      <w:pPr>
        <w:pStyle w:val="Heading1"/>
        <w:numPr>
          <w:ilvl w:val="0"/>
          <w:numId w:val="2"/>
        </w:numPr>
        <w:rPr>
          <w:u w:val="none"/>
        </w:rPr>
      </w:pPr>
      <w:bookmarkStart w:id="2" w:name="_Toc352007820"/>
      <w:r w:rsidRPr="00F80F44">
        <w:rPr>
          <w:u w:val="none"/>
        </w:rPr>
        <w:lastRenderedPageBreak/>
        <w:t>STATEMENT OF FACTS</w:t>
      </w:r>
      <w:bookmarkEnd w:id="2"/>
    </w:p>
    <w:p w:rsidR="002D0DC2" w:rsidRDefault="002D0DC2" w:rsidP="002D0DC2">
      <w:pPr>
        <w:jc w:val="center"/>
        <w:rPr>
          <w:rFonts w:cs="Times New Roman"/>
          <w:szCs w:val="24"/>
        </w:rPr>
      </w:pPr>
    </w:p>
    <w:p w:rsidR="002D0DC2" w:rsidRDefault="002D0DC2" w:rsidP="002D0DC2">
      <w:pPr>
        <w:rPr>
          <w:rFonts w:cs="Times New Roman"/>
          <w:szCs w:val="24"/>
        </w:rPr>
      </w:pPr>
    </w:p>
    <w:p w:rsidR="002D0DC2" w:rsidRDefault="002D0DC2" w:rsidP="008571A4">
      <w:pPr>
        <w:spacing w:line="480" w:lineRule="auto"/>
        <w:jc w:val="both"/>
        <w:rPr>
          <w:rFonts w:cs="Times New Roman"/>
          <w:szCs w:val="24"/>
        </w:rPr>
      </w:pPr>
      <w:r>
        <w:rPr>
          <w:rFonts w:cs="Times New Roman"/>
          <w:szCs w:val="24"/>
        </w:rPr>
        <w:t>Sera</w:t>
      </w:r>
      <w:r w:rsidR="00991760">
        <w:rPr>
          <w:rFonts w:cs="Times New Roman"/>
          <w:szCs w:val="24"/>
        </w:rPr>
        <w:t>fina Conejo Gallo, born</w:t>
      </w:r>
      <w:r>
        <w:rPr>
          <w:rFonts w:cs="Times New Roman"/>
          <w:szCs w:val="24"/>
        </w:rPr>
        <w:t xml:space="preserve"> </w:t>
      </w:r>
      <w:r w:rsidR="00991760">
        <w:rPr>
          <w:rFonts w:cs="Times New Roman"/>
          <w:szCs w:val="24"/>
        </w:rPr>
        <w:t>a biological male Serafin</w:t>
      </w:r>
      <w:r>
        <w:rPr>
          <w:rFonts w:cs="Times New Roman"/>
          <w:szCs w:val="24"/>
        </w:rPr>
        <w:t xml:space="preserve"> </w:t>
      </w:r>
      <w:r w:rsidR="00991760">
        <w:rPr>
          <w:rFonts w:cs="Times New Roman"/>
          <w:szCs w:val="24"/>
        </w:rPr>
        <w:t>and a descendant of the Granti people,</w:t>
      </w:r>
      <w:r w:rsidR="00184919">
        <w:rPr>
          <w:rStyle w:val="FootnoteReference"/>
          <w:rFonts w:cs="Times New Roman"/>
          <w:szCs w:val="24"/>
        </w:rPr>
        <w:footnoteReference w:id="1"/>
      </w:r>
      <w:r w:rsidR="00991760">
        <w:rPr>
          <w:rFonts w:cs="Times New Roman"/>
          <w:szCs w:val="24"/>
        </w:rPr>
        <w:t xml:space="preserve"> </w:t>
      </w:r>
      <w:r>
        <w:rPr>
          <w:rFonts w:cs="Times New Roman"/>
          <w:szCs w:val="24"/>
        </w:rPr>
        <w:t xml:space="preserve">faced a tumultuous struggle in the path towards recognition of her gender identity in the State of Elizabetia. </w:t>
      </w:r>
      <w:r w:rsidRPr="00C47B85">
        <w:rPr>
          <w:rFonts w:cs="Times New Roman"/>
          <w:szCs w:val="24"/>
        </w:rPr>
        <w:t xml:space="preserve">Though </w:t>
      </w:r>
      <w:r w:rsidR="00F4128E">
        <w:rPr>
          <w:rFonts w:cs="Times New Roman"/>
          <w:szCs w:val="24"/>
        </w:rPr>
        <w:t>Elizabetia</w:t>
      </w:r>
      <w:r w:rsidRPr="00C47B85">
        <w:rPr>
          <w:rFonts w:cs="Times New Roman"/>
          <w:szCs w:val="24"/>
        </w:rPr>
        <w:t xml:space="preserve"> currently experiences political stability</w:t>
      </w:r>
      <w:r>
        <w:rPr>
          <w:rFonts w:cs="Times New Roman"/>
          <w:szCs w:val="24"/>
        </w:rPr>
        <w:t>,</w:t>
      </w:r>
      <w:r w:rsidR="00354D49">
        <w:rPr>
          <w:rFonts w:cs="Times New Roman"/>
          <w:szCs w:val="24"/>
        </w:rPr>
        <w:t xml:space="preserve"> </w:t>
      </w:r>
      <w:r>
        <w:rPr>
          <w:rFonts w:cs="Times New Roman"/>
          <w:szCs w:val="24"/>
        </w:rPr>
        <w:t xml:space="preserve">it </w:t>
      </w:r>
      <w:r w:rsidR="00097ADB">
        <w:rPr>
          <w:rFonts w:cs="Times New Roman"/>
          <w:szCs w:val="24"/>
        </w:rPr>
        <w:t>has a history of civil unrest</w:t>
      </w:r>
      <w:r w:rsidRPr="00C47B85">
        <w:rPr>
          <w:rFonts w:cs="Times New Roman"/>
          <w:szCs w:val="24"/>
        </w:rPr>
        <w:t>.</w:t>
      </w:r>
      <w:r w:rsidRPr="00C47B85">
        <w:rPr>
          <w:rStyle w:val="FootnoteReference"/>
          <w:rFonts w:cs="Times New Roman"/>
          <w:szCs w:val="24"/>
        </w:rPr>
        <w:footnoteReference w:id="2"/>
      </w:r>
      <w:r>
        <w:rPr>
          <w:rFonts w:cs="Times New Roman"/>
          <w:szCs w:val="24"/>
        </w:rPr>
        <w:t xml:space="preserve"> During colonial times, the Granti, an enslaved indigenous population,</w:t>
      </w:r>
      <w:r w:rsidR="00184919" w:rsidRPr="00184919">
        <w:rPr>
          <w:rStyle w:val="FootnoteReference"/>
          <w:rFonts w:cs="Times New Roman"/>
          <w:szCs w:val="24"/>
        </w:rPr>
        <w:t xml:space="preserve"> </w:t>
      </w:r>
      <w:r w:rsidR="00184919" w:rsidRPr="00C47B85">
        <w:rPr>
          <w:rStyle w:val="FootnoteReference"/>
          <w:rFonts w:cs="Times New Roman"/>
          <w:szCs w:val="24"/>
        </w:rPr>
        <w:footnoteReference w:id="3"/>
      </w:r>
      <w:r>
        <w:rPr>
          <w:rFonts w:cs="Times New Roman"/>
          <w:szCs w:val="24"/>
        </w:rPr>
        <w:t>worshipped a supreme god, Granti’Itna, who was born a male and died a female.</w:t>
      </w:r>
      <w:r>
        <w:rPr>
          <w:rStyle w:val="FootnoteReference"/>
          <w:rFonts w:cs="Times New Roman"/>
          <w:szCs w:val="24"/>
        </w:rPr>
        <w:footnoteReference w:id="4"/>
      </w:r>
      <w:r>
        <w:rPr>
          <w:rFonts w:cs="Times New Roman"/>
          <w:szCs w:val="24"/>
        </w:rPr>
        <w:t xml:space="preserve"> </w:t>
      </w:r>
      <w:r w:rsidR="009605FA">
        <w:rPr>
          <w:rFonts w:cs="Times New Roman"/>
          <w:szCs w:val="24"/>
        </w:rPr>
        <w:t xml:space="preserve">They considered </w:t>
      </w:r>
      <w:r>
        <w:rPr>
          <w:rFonts w:cs="Times New Roman"/>
          <w:szCs w:val="24"/>
        </w:rPr>
        <w:t xml:space="preserve">Granti’Ina </w:t>
      </w:r>
      <w:r w:rsidR="009605FA">
        <w:rPr>
          <w:rFonts w:cs="Times New Roman"/>
          <w:szCs w:val="24"/>
        </w:rPr>
        <w:t>as</w:t>
      </w:r>
      <w:r>
        <w:rPr>
          <w:rFonts w:cs="Times New Roman"/>
          <w:szCs w:val="24"/>
        </w:rPr>
        <w:t xml:space="preserve"> </w:t>
      </w:r>
      <w:r w:rsidR="009605FA">
        <w:rPr>
          <w:rFonts w:cs="Times New Roman"/>
          <w:szCs w:val="24"/>
        </w:rPr>
        <w:t xml:space="preserve">the </w:t>
      </w:r>
      <w:r>
        <w:rPr>
          <w:rFonts w:cs="Times New Roman"/>
          <w:szCs w:val="24"/>
        </w:rPr>
        <w:t>epitome of perfection</w:t>
      </w:r>
      <w:r w:rsidR="009605FA">
        <w:rPr>
          <w:rFonts w:cs="Times New Roman"/>
          <w:szCs w:val="24"/>
        </w:rPr>
        <w:t>,</w:t>
      </w:r>
      <w:r w:rsidR="008571A4">
        <w:rPr>
          <w:rFonts w:cs="Times New Roman"/>
          <w:szCs w:val="24"/>
        </w:rPr>
        <w:t xml:space="preserve"> </w:t>
      </w:r>
      <w:r>
        <w:rPr>
          <w:rFonts w:cs="Times New Roman"/>
          <w:szCs w:val="24"/>
        </w:rPr>
        <w:t xml:space="preserve">and </w:t>
      </w:r>
      <w:r w:rsidR="00B7199D">
        <w:rPr>
          <w:rFonts w:cs="Times New Roman"/>
          <w:szCs w:val="24"/>
        </w:rPr>
        <w:t xml:space="preserve">was exalted </w:t>
      </w:r>
      <w:r w:rsidR="009605FA">
        <w:rPr>
          <w:rFonts w:cs="Times New Roman"/>
          <w:szCs w:val="24"/>
        </w:rPr>
        <w:t>in ceremonies involving</w:t>
      </w:r>
      <w:r w:rsidR="00B8070A">
        <w:rPr>
          <w:rFonts w:cs="Times New Roman"/>
          <w:szCs w:val="24"/>
        </w:rPr>
        <w:t xml:space="preserve"> men and women cross-dressing as</w:t>
      </w:r>
      <w:r>
        <w:rPr>
          <w:rFonts w:cs="Times New Roman"/>
          <w:szCs w:val="24"/>
        </w:rPr>
        <w:t xml:space="preserve"> the</w:t>
      </w:r>
      <w:r w:rsidR="009605FA">
        <w:rPr>
          <w:rFonts w:cs="Times New Roman"/>
          <w:szCs w:val="24"/>
        </w:rPr>
        <w:t>ir</w:t>
      </w:r>
      <w:r>
        <w:rPr>
          <w:rFonts w:cs="Times New Roman"/>
          <w:szCs w:val="24"/>
        </w:rPr>
        <w:t xml:space="preserve"> opposite sex.</w:t>
      </w:r>
      <w:r>
        <w:rPr>
          <w:rStyle w:val="FootnoteReference"/>
          <w:rFonts w:cs="Times New Roman"/>
          <w:szCs w:val="24"/>
        </w:rPr>
        <w:footnoteReference w:id="5"/>
      </w:r>
      <w:r>
        <w:rPr>
          <w:rFonts w:cs="Times New Roman"/>
          <w:szCs w:val="24"/>
        </w:rPr>
        <w:t xml:space="preserve"> The colonial elites attempted to </w:t>
      </w:r>
      <w:r w:rsidR="00BC2E1C">
        <w:rPr>
          <w:rFonts w:cs="Times New Roman"/>
          <w:szCs w:val="24"/>
        </w:rPr>
        <w:t>completely</w:t>
      </w:r>
      <w:r>
        <w:rPr>
          <w:rFonts w:cs="Times New Roman"/>
          <w:szCs w:val="24"/>
        </w:rPr>
        <w:t xml:space="preserve"> eradicate </w:t>
      </w:r>
      <w:r w:rsidR="00B7199D">
        <w:rPr>
          <w:rFonts w:cs="Times New Roman"/>
          <w:szCs w:val="24"/>
        </w:rPr>
        <w:t>these</w:t>
      </w:r>
      <w:r>
        <w:rPr>
          <w:rFonts w:cs="Times New Roman"/>
          <w:szCs w:val="24"/>
        </w:rPr>
        <w:t xml:space="preserve"> practices over several centuries, </w:t>
      </w:r>
      <w:r w:rsidR="00B7199D">
        <w:rPr>
          <w:rFonts w:cs="Times New Roman"/>
          <w:szCs w:val="24"/>
        </w:rPr>
        <w:t xml:space="preserve">considering them </w:t>
      </w:r>
      <w:r>
        <w:rPr>
          <w:rFonts w:cs="Times New Roman"/>
          <w:szCs w:val="24"/>
        </w:rPr>
        <w:t>“barbaric and immoral.”</w:t>
      </w:r>
      <w:r>
        <w:rPr>
          <w:rStyle w:val="FootnoteReference"/>
          <w:rFonts w:cs="Times New Roman"/>
          <w:szCs w:val="24"/>
        </w:rPr>
        <w:footnoteReference w:id="6"/>
      </w:r>
      <w:r>
        <w:rPr>
          <w:rFonts w:cs="Times New Roman"/>
          <w:szCs w:val="24"/>
        </w:rPr>
        <w:t xml:space="preserve"> Despite this, </w:t>
      </w:r>
      <w:r w:rsidR="00B7199D">
        <w:rPr>
          <w:rFonts w:cs="Times New Roman"/>
          <w:szCs w:val="24"/>
        </w:rPr>
        <w:t>some elements of Granti beliefs and idiosyncrasies were assimilated into Elizabetian society</w:t>
      </w:r>
      <w:r>
        <w:rPr>
          <w:rFonts w:cs="Times New Roman"/>
          <w:szCs w:val="24"/>
        </w:rPr>
        <w:t>.</w:t>
      </w:r>
      <w:r>
        <w:rPr>
          <w:rStyle w:val="FootnoteReference"/>
          <w:rFonts w:cs="Times New Roman"/>
          <w:szCs w:val="24"/>
        </w:rPr>
        <w:footnoteReference w:id="7"/>
      </w:r>
      <w:r>
        <w:rPr>
          <w:rFonts w:cs="Times New Roman"/>
          <w:szCs w:val="24"/>
        </w:rPr>
        <w:t xml:space="preserve"> </w:t>
      </w:r>
      <w:r w:rsidR="00B7199D">
        <w:rPr>
          <w:rFonts w:cs="Times New Roman"/>
          <w:szCs w:val="24"/>
        </w:rPr>
        <w:t xml:space="preserve">However, </w:t>
      </w:r>
      <w:r>
        <w:rPr>
          <w:rFonts w:cs="Times New Roman"/>
          <w:szCs w:val="24"/>
        </w:rPr>
        <w:t xml:space="preserve">there are still </w:t>
      </w:r>
      <w:r w:rsidR="00F4128E">
        <w:rPr>
          <w:rFonts w:cs="Times New Roman"/>
          <w:szCs w:val="24"/>
        </w:rPr>
        <w:t>instances</w:t>
      </w:r>
      <w:r w:rsidR="009605FA">
        <w:rPr>
          <w:rFonts w:cs="Times New Roman"/>
          <w:szCs w:val="24"/>
        </w:rPr>
        <w:t xml:space="preserve"> of Granti desc</w:t>
      </w:r>
      <w:r>
        <w:rPr>
          <w:rFonts w:cs="Times New Roman"/>
          <w:szCs w:val="24"/>
        </w:rPr>
        <w:t>endants living in servitude.</w:t>
      </w:r>
      <w:r>
        <w:rPr>
          <w:rStyle w:val="FootnoteReference"/>
          <w:rFonts w:cs="Times New Roman"/>
          <w:szCs w:val="24"/>
        </w:rPr>
        <w:footnoteReference w:id="8"/>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 xml:space="preserve">In her formative years, </w:t>
      </w:r>
      <w:r w:rsidR="00B7199D">
        <w:rPr>
          <w:rFonts w:cs="Times New Roman"/>
          <w:szCs w:val="24"/>
        </w:rPr>
        <w:t>as Serafin, she</w:t>
      </w:r>
      <w:r>
        <w:rPr>
          <w:rFonts w:cs="Times New Roman"/>
          <w:szCs w:val="24"/>
        </w:rPr>
        <w:t xml:space="preserve"> was repeatedly </w:t>
      </w:r>
      <w:r w:rsidR="00097ADB">
        <w:rPr>
          <w:rFonts w:cs="Times New Roman"/>
          <w:szCs w:val="24"/>
        </w:rPr>
        <w:t>reprimanded</w:t>
      </w:r>
      <w:r w:rsidR="00F4128E">
        <w:rPr>
          <w:rFonts w:cs="Times New Roman"/>
          <w:szCs w:val="24"/>
        </w:rPr>
        <w:t xml:space="preserve"> by </w:t>
      </w:r>
      <w:r w:rsidR="00097ADB">
        <w:rPr>
          <w:rFonts w:cs="Times New Roman"/>
          <w:szCs w:val="24"/>
        </w:rPr>
        <w:t xml:space="preserve">school authorities </w:t>
      </w:r>
      <w:r w:rsidR="00F4128E">
        <w:rPr>
          <w:rFonts w:cs="Times New Roman"/>
          <w:szCs w:val="24"/>
        </w:rPr>
        <w:t>due to</w:t>
      </w:r>
      <w:r>
        <w:rPr>
          <w:rFonts w:cs="Times New Roman"/>
          <w:szCs w:val="24"/>
        </w:rPr>
        <w:t xml:space="preserve"> outward feminine behavior.</w:t>
      </w:r>
      <w:r>
        <w:rPr>
          <w:rStyle w:val="FootnoteReference"/>
          <w:rFonts w:cs="Times New Roman"/>
          <w:szCs w:val="24"/>
        </w:rPr>
        <w:footnoteReference w:id="9"/>
      </w:r>
      <w:r w:rsidR="00F4128E">
        <w:rPr>
          <w:rFonts w:cs="Times New Roman"/>
          <w:szCs w:val="24"/>
        </w:rPr>
        <w:t xml:space="preserve"> </w:t>
      </w:r>
      <w:r w:rsidR="002B6B14">
        <w:rPr>
          <w:rFonts w:cs="Times New Roman"/>
          <w:szCs w:val="24"/>
        </w:rPr>
        <w:t>This</w:t>
      </w:r>
      <w:r>
        <w:rPr>
          <w:rFonts w:cs="Times New Roman"/>
          <w:szCs w:val="24"/>
        </w:rPr>
        <w:t xml:space="preserve"> school was un</w:t>
      </w:r>
      <w:r w:rsidR="00F4128E">
        <w:rPr>
          <w:rFonts w:cs="Times New Roman"/>
          <w:szCs w:val="24"/>
        </w:rPr>
        <w:t>der the patronage of a descendant</w:t>
      </w:r>
      <w:r>
        <w:rPr>
          <w:rFonts w:cs="Times New Roman"/>
          <w:szCs w:val="24"/>
        </w:rPr>
        <w:t xml:space="preserve"> of the colonial elites,</w:t>
      </w:r>
      <w:r>
        <w:rPr>
          <w:rStyle w:val="FootnoteReference"/>
          <w:rFonts w:cs="Times New Roman"/>
          <w:szCs w:val="24"/>
        </w:rPr>
        <w:footnoteReference w:id="10"/>
      </w:r>
      <w:r>
        <w:rPr>
          <w:rFonts w:cs="Times New Roman"/>
          <w:szCs w:val="24"/>
        </w:rPr>
        <w:t xml:space="preserve"> who </w:t>
      </w:r>
      <w:r w:rsidR="00F4128E">
        <w:rPr>
          <w:rFonts w:cs="Times New Roman"/>
          <w:szCs w:val="24"/>
        </w:rPr>
        <w:t>agreed</w:t>
      </w:r>
      <w:r w:rsidR="00754B17">
        <w:rPr>
          <w:rFonts w:cs="Times New Roman"/>
          <w:szCs w:val="24"/>
        </w:rPr>
        <w:t xml:space="preserve"> </w:t>
      </w:r>
      <w:r w:rsidR="00B7199D">
        <w:rPr>
          <w:rFonts w:cs="Times New Roman"/>
          <w:szCs w:val="24"/>
        </w:rPr>
        <w:t>Serafin</w:t>
      </w:r>
      <w:r>
        <w:rPr>
          <w:rFonts w:cs="Times New Roman"/>
          <w:szCs w:val="24"/>
        </w:rPr>
        <w:t xml:space="preserve"> was hopelessly destined to be homosexual under the care of his Granti parents.</w:t>
      </w:r>
      <w:r>
        <w:rPr>
          <w:rStyle w:val="FootnoteReference"/>
          <w:rFonts w:cs="Times New Roman"/>
          <w:szCs w:val="24"/>
        </w:rPr>
        <w:footnoteReference w:id="11"/>
      </w:r>
      <w:r>
        <w:rPr>
          <w:rFonts w:cs="Times New Roman"/>
          <w:szCs w:val="24"/>
        </w:rPr>
        <w:t xml:space="preserve"> This culminated in him being removed from his parents, who were rebuked for “failing to let go of the barbaric values of Granti culture.”</w:t>
      </w:r>
      <w:r>
        <w:rPr>
          <w:rStyle w:val="FootnoteReference"/>
          <w:rFonts w:cs="Times New Roman"/>
          <w:szCs w:val="24"/>
        </w:rPr>
        <w:footnoteReference w:id="12"/>
      </w:r>
      <w:r>
        <w:rPr>
          <w:rFonts w:cs="Times New Roman"/>
          <w:szCs w:val="24"/>
        </w:rPr>
        <w:t xml:space="preserve"> </w:t>
      </w:r>
      <w:r w:rsidR="00097ADB">
        <w:rPr>
          <w:rFonts w:cs="Times New Roman"/>
          <w:szCs w:val="24"/>
        </w:rPr>
        <w:t>E</w:t>
      </w:r>
      <w:r>
        <w:rPr>
          <w:rFonts w:cs="Times New Roman"/>
          <w:szCs w:val="24"/>
        </w:rPr>
        <w:t xml:space="preserve">ven </w:t>
      </w:r>
      <w:r w:rsidR="00B7199D">
        <w:rPr>
          <w:rFonts w:cs="Times New Roman"/>
          <w:szCs w:val="24"/>
        </w:rPr>
        <w:t>after his removal</w:t>
      </w:r>
      <w:r>
        <w:rPr>
          <w:rFonts w:cs="Times New Roman"/>
          <w:szCs w:val="24"/>
        </w:rPr>
        <w:t>, he continued to willful</w:t>
      </w:r>
      <w:r w:rsidR="00CA68E5">
        <w:rPr>
          <w:rFonts w:cs="Times New Roman"/>
          <w:szCs w:val="24"/>
        </w:rPr>
        <w:t>ly explore his feminine behavio</w:t>
      </w:r>
      <w:r>
        <w:rPr>
          <w:rFonts w:cs="Times New Roman"/>
          <w:szCs w:val="24"/>
        </w:rPr>
        <w:t>rs and expressions</w:t>
      </w:r>
      <w:r w:rsidR="008B5F88">
        <w:rPr>
          <w:rFonts w:cs="Times New Roman"/>
          <w:szCs w:val="24"/>
        </w:rPr>
        <w:t>. During this period</w:t>
      </w:r>
      <w:r w:rsidR="00B7199D">
        <w:rPr>
          <w:rFonts w:cs="Times New Roman"/>
          <w:szCs w:val="24"/>
        </w:rPr>
        <w:t xml:space="preserve"> of confinement</w:t>
      </w:r>
      <w:r w:rsidR="008B5F88">
        <w:rPr>
          <w:rFonts w:cs="Times New Roman"/>
          <w:szCs w:val="24"/>
        </w:rPr>
        <w:t xml:space="preserve">, </w:t>
      </w:r>
      <w:r w:rsidR="00F4128E">
        <w:rPr>
          <w:rFonts w:cs="Times New Roman"/>
          <w:szCs w:val="24"/>
        </w:rPr>
        <w:lastRenderedPageBreak/>
        <w:t>he was raped several times by custodians and detainees</w:t>
      </w:r>
      <w:r>
        <w:rPr>
          <w:rFonts w:cs="Times New Roman"/>
          <w:szCs w:val="24"/>
        </w:rPr>
        <w:t>.</w:t>
      </w:r>
      <w:r>
        <w:rPr>
          <w:rStyle w:val="FootnoteReference"/>
          <w:rFonts w:cs="Times New Roman"/>
          <w:szCs w:val="24"/>
        </w:rPr>
        <w:footnoteReference w:id="13"/>
      </w:r>
      <w:r>
        <w:rPr>
          <w:rFonts w:cs="Times New Roman"/>
          <w:szCs w:val="24"/>
        </w:rPr>
        <w:t xml:space="preserve"> </w:t>
      </w:r>
      <w:r w:rsidR="00B7199D">
        <w:rPr>
          <w:rFonts w:cs="Times New Roman"/>
          <w:szCs w:val="24"/>
        </w:rPr>
        <w:t>A</w:t>
      </w:r>
      <w:r>
        <w:rPr>
          <w:rFonts w:cs="Times New Roman"/>
          <w:szCs w:val="24"/>
        </w:rPr>
        <w:t>fter esc</w:t>
      </w:r>
      <w:r w:rsidR="00F4128E">
        <w:rPr>
          <w:rFonts w:cs="Times New Roman"/>
          <w:szCs w:val="24"/>
        </w:rPr>
        <w:t xml:space="preserve">aping, </w:t>
      </w:r>
      <w:r w:rsidR="009605FA">
        <w:rPr>
          <w:rFonts w:cs="Times New Roman"/>
          <w:szCs w:val="24"/>
        </w:rPr>
        <w:t>Serafin</w:t>
      </w:r>
      <w:r>
        <w:rPr>
          <w:rFonts w:cs="Times New Roman"/>
          <w:szCs w:val="24"/>
        </w:rPr>
        <w:t xml:space="preserve"> obtained operations to alter his body, and </w:t>
      </w:r>
      <w:r w:rsidR="00754B17">
        <w:rPr>
          <w:rFonts w:cs="Times New Roman"/>
          <w:szCs w:val="24"/>
        </w:rPr>
        <w:t xml:space="preserve">insisted </w:t>
      </w:r>
      <w:r w:rsidR="00184919">
        <w:rPr>
          <w:rFonts w:cs="Times New Roman"/>
          <w:szCs w:val="24"/>
        </w:rPr>
        <w:t xml:space="preserve">others view him </w:t>
      </w:r>
      <w:r>
        <w:rPr>
          <w:rFonts w:cs="Times New Roman"/>
          <w:szCs w:val="24"/>
        </w:rPr>
        <w:t>as a woman, Serafina.</w:t>
      </w:r>
      <w:r>
        <w:rPr>
          <w:rStyle w:val="FootnoteReference"/>
          <w:rFonts w:cs="Times New Roman"/>
          <w:szCs w:val="24"/>
        </w:rPr>
        <w:footnoteReference w:id="14"/>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 xml:space="preserve">After </w:t>
      </w:r>
      <w:r w:rsidR="00184919">
        <w:rPr>
          <w:rFonts w:cs="Times New Roman"/>
          <w:szCs w:val="24"/>
        </w:rPr>
        <w:t>“endless…</w:t>
      </w:r>
      <w:r>
        <w:rPr>
          <w:rFonts w:cs="Times New Roman"/>
          <w:szCs w:val="24"/>
        </w:rPr>
        <w:t xml:space="preserve"> humiliating </w:t>
      </w:r>
      <w:r w:rsidR="00184919">
        <w:rPr>
          <w:rFonts w:cs="Times New Roman"/>
          <w:szCs w:val="24"/>
        </w:rPr>
        <w:t>moments”</w:t>
      </w:r>
      <w:r>
        <w:rPr>
          <w:rFonts w:cs="Times New Roman"/>
          <w:szCs w:val="24"/>
        </w:rPr>
        <w:t xml:space="preserve"> of being associated with her previous male gender, she worked towards attaining official legal recognition of her female gender identity.</w:t>
      </w:r>
      <w:r>
        <w:rPr>
          <w:rStyle w:val="FootnoteReference"/>
          <w:rFonts w:cs="Times New Roman"/>
          <w:szCs w:val="24"/>
        </w:rPr>
        <w:footnoteReference w:id="15"/>
      </w:r>
      <w:r>
        <w:rPr>
          <w:rFonts w:cs="Times New Roman"/>
          <w:szCs w:val="24"/>
        </w:rPr>
        <w:t xml:space="preserve"> She filed administrative requests and multiple petitions for a constitutional remedy, only to be rejected in all of her </w:t>
      </w:r>
      <w:r w:rsidR="008B5F88">
        <w:rPr>
          <w:rFonts w:cs="Times New Roman"/>
          <w:szCs w:val="24"/>
        </w:rPr>
        <w:t>domestic judicial recourses</w:t>
      </w:r>
      <w:r>
        <w:rPr>
          <w:rFonts w:cs="Times New Roman"/>
          <w:szCs w:val="24"/>
        </w:rPr>
        <w:t>.</w:t>
      </w:r>
      <w:r w:rsidR="006E45F8">
        <w:rPr>
          <w:rFonts w:cs="Times New Roman"/>
          <w:szCs w:val="24"/>
        </w:rPr>
        <w:t xml:space="preserve"> </w:t>
      </w:r>
      <w:r w:rsidR="008B5F88">
        <w:rPr>
          <w:rFonts w:cs="Times New Roman"/>
          <w:szCs w:val="24"/>
        </w:rPr>
        <w:t>It was only after</w:t>
      </w:r>
      <w:r>
        <w:rPr>
          <w:rFonts w:cs="Times New Roman"/>
          <w:szCs w:val="24"/>
        </w:rPr>
        <w:t xml:space="preserve"> the </w:t>
      </w:r>
      <w:r w:rsidR="004643CC">
        <w:rPr>
          <w:rFonts w:cs="Times New Roman"/>
          <w:szCs w:val="24"/>
        </w:rPr>
        <w:t>IACHR</w:t>
      </w:r>
      <w:r>
        <w:rPr>
          <w:rFonts w:cs="Times New Roman"/>
          <w:szCs w:val="24"/>
        </w:rPr>
        <w:t xml:space="preserve"> decla</w:t>
      </w:r>
      <w:r w:rsidR="00184919">
        <w:rPr>
          <w:rFonts w:cs="Times New Roman"/>
          <w:szCs w:val="24"/>
        </w:rPr>
        <w:t xml:space="preserve">red that Elizabetia violated </w:t>
      </w:r>
      <w:r>
        <w:rPr>
          <w:rFonts w:cs="Times New Roman"/>
          <w:szCs w:val="24"/>
        </w:rPr>
        <w:t xml:space="preserve">the </w:t>
      </w:r>
      <w:r w:rsidR="00F67A98">
        <w:rPr>
          <w:rFonts w:cs="Times New Roman"/>
          <w:szCs w:val="24"/>
        </w:rPr>
        <w:t>ACHR</w:t>
      </w:r>
      <w:r>
        <w:rPr>
          <w:rFonts w:cs="Times New Roman"/>
          <w:szCs w:val="24"/>
        </w:rPr>
        <w:t xml:space="preserve">, that </w:t>
      </w:r>
      <w:r w:rsidR="00F67A98">
        <w:rPr>
          <w:rFonts w:cs="Times New Roman"/>
          <w:szCs w:val="24"/>
        </w:rPr>
        <w:t>Elizabetia</w:t>
      </w:r>
      <w:r>
        <w:rPr>
          <w:rFonts w:cs="Times New Roman"/>
          <w:szCs w:val="24"/>
        </w:rPr>
        <w:t xml:space="preserve"> </w:t>
      </w:r>
      <w:r w:rsidR="00CA7114">
        <w:rPr>
          <w:rFonts w:cs="Times New Roman"/>
          <w:szCs w:val="24"/>
        </w:rPr>
        <w:t>passed</w:t>
      </w:r>
      <w:r>
        <w:rPr>
          <w:rFonts w:cs="Times New Roman"/>
          <w:szCs w:val="24"/>
        </w:rPr>
        <w:t xml:space="preserve"> the Gender </w:t>
      </w:r>
      <w:r w:rsidR="00F67A98">
        <w:rPr>
          <w:rFonts w:cs="Times New Roman"/>
          <w:szCs w:val="24"/>
        </w:rPr>
        <w:t xml:space="preserve">Identity Act. </w:t>
      </w:r>
      <w:r>
        <w:rPr>
          <w:rFonts w:cs="Times New Roman"/>
          <w:szCs w:val="24"/>
        </w:rPr>
        <w:t>Serafina was the first trans woman in Elizabetia to obtain legal recognition of her gender identity in 2007,</w:t>
      </w:r>
      <w:r>
        <w:rPr>
          <w:rStyle w:val="FootnoteReference"/>
          <w:rFonts w:cs="Times New Roman"/>
          <w:szCs w:val="24"/>
        </w:rPr>
        <w:footnoteReference w:id="16"/>
      </w:r>
      <w:r>
        <w:rPr>
          <w:rFonts w:cs="Times New Roman"/>
          <w:szCs w:val="24"/>
        </w:rPr>
        <w:t xml:space="preserve"> over two centuries after the State gained independence.</w:t>
      </w:r>
    </w:p>
    <w:p w:rsidR="00CA68E5" w:rsidRDefault="00CA68E5" w:rsidP="008571A4">
      <w:pPr>
        <w:spacing w:line="480" w:lineRule="auto"/>
        <w:jc w:val="both"/>
        <w:rPr>
          <w:rFonts w:cs="Times New Roman"/>
          <w:szCs w:val="24"/>
        </w:rPr>
      </w:pPr>
      <w:r>
        <w:rPr>
          <w:rFonts w:cs="Times New Roman"/>
          <w:szCs w:val="24"/>
        </w:rPr>
        <w:t xml:space="preserve">Elizabetia ratified the </w:t>
      </w:r>
      <w:r w:rsidR="00F67A98">
        <w:rPr>
          <w:rFonts w:cs="Times New Roman"/>
          <w:szCs w:val="24"/>
        </w:rPr>
        <w:t>ACHR</w:t>
      </w:r>
      <w:r>
        <w:rPr>
          <w:rFonts w:cs="Times New Roman"/>
          <w:szCs w:val="24"/>
        </w:rPr>
        <w:t xml:space="preserve"> and all other Inter-Ameri</w:t>
      </w:r>
      <w:r w:rsidR="00CA7114">
        <w:rPr>
          <w:rFonts w:cs="Times New Roman"/>
          <w:szCs w:val="24"/>
        </w:rPr>
        <w:t xml:space="preserve">can human rights instruments </w:t>
      </w:r>
      <w:r>
        <w:rPr>
          <w:rFonts w:cs="Times New Roman"/>
          <w:szCs w:val="24"/>
        </w:rPr>
        <w:t>without any reservations</w:t>
      </w:r>
      <w:r w:rsidR="00B25C67">
        <w:rPr>
          <w:rFonts w:cs="Times New Roman"/>
          <w:szCs w:val="24"/>
        </w:rPr>
        <w:t xml:space="preserve">, </w:t>
      </w:r>
      <w:r w:rsidR="00CA7114">
        <w:rPr>
          <w:rFonts w:cs="Times New Roman"/>
          <w:szCs w:val="24"/>
        </w:rPr>
        <w:t>accepting the contentious jurisdiction of the IACtHR</w:t>
      </w:r>
      <w:r>
        <w:rPr>
          <w:rFonts w:cs="Times New Roman"/>
          <w:szCs w:val="24"/>
        </w:rPr>
        <w:t>.</w:t>
      </w:r>
      <w:r>
        <w:rPr>
          <w:rStyle w:val="FootnoteReference"/>
          <w:rFonts w:cs="Times New Roman"/>
          <w:szCs w:val="24"/>
        </w:rPr>
        <w:footnoteReference w:id="17"/>
      </w:r>
      <w:r>
        <w:rPr>
          <w:rFonts w:cs="Times New Roman"/>
          <w:szCs w:val="24"/>
        </w:rPr>
        <w:t xml:space="preserve"> </w:t>
      </w:r>
      <w:r w:rsidR="002D0DC2">
        <w:rPr>
          <w:rFonts w:cs="Times New Roman"/>
          <w:szCs w:val="24"/>
        </w:rPr>
        <w:t xml:space="preserve">The </w:t>
      </w:r>
      <w:r>
        <w:rPr>
          <w:rFonts w:cs="Times New Roman"/>
          <w:szCs w:val="24"/>
        </w:rPr>
        <w:t xml:space="preserve">Elizabetian </w:t>
      </w:r>
      <w:r w:rsidR="002D0DC2">
        <w:rPr>
          <w:rFonts w:cs="Times New Roman"/>
          <w:szCs w:val="24"/>
        </w:rPr>
        <w:t>Constitution, adopted in 1960, enshrines the right to equality and nondiscrimination and protects plurality of religious beliefs.</w:t>
      </w:r>
      <w:r w:rsidR="002D0DC2">
        <w:rPr>
          <w:rStyle w:val="FootnoteReference"/>
          <w:rFonts w:cs="Times New Roman"/>
          <w:szCs w:val="24"/>
        </w:rPr>
        <w:footnoteReference w:id="18"/>
      </w:r>
      <w:r w:rsidR="002D0DC2">
        <w:rPr>
          <w:rFonts w:cs="Times New Roman"/>
          <w:szCs w:val="24"/>
        </w:rPr>
        <w:t xml:space="preserve"> </w:t>
      </w:r>
      <w:r w:rsidR="00CA7114">
        <w:rPr>
          <w:rFonts w:cs="Times New Roman"/>
          <w:szCs w:val="24"/>
        </w:rPr>
        <w:t>However</w:t>
      </w:r>
      <w:r w:rsidR="002D0DC2">
        <w:rPr>
          <w:rFonts w:cs="Times New Roman"/>
          <w:szCs w:val="24"/>
        </w:rPr>
        <w:t xml:space="preserve">, </w:t>
      </w:r>
      <w:r w:rsidR="008B5F88">
        <w:rPr>
          <w:rFonts w:cs="Times New Roman"/>
          <w:szCs w:val="24"/>
        </w:rPr>
        <w:t>marriage under</w:t>
      </w:r>
      <w:r w:rsidR="002D0DC2">
        <w:rPr>
          <w:rFonts w:cs="Times New Roman"/>
          <w:szCs w:val="24"/>
        </w:rPr>
        <w:t xml:space="preserve"> Article 396 of the State Civil Code and the concept of family in Article 85</w:t>
      </w:r>
      <w:r w:rsidR="00CA7114">
        <w:rPr>
          <w:rFonts w:cs="Times New Roman"/>
          <w:szCs w:val="24"/>
        </w:rPr>
        <w:t xml:space="preserve"> of the Constitution</w:t>
      </w:r>
      <w:r w:rsidR="002D0DC2">
        <w:rPr>
          <w:rFonts w:cs="Times New Roman"/>
          <w:szCs w:val="24"/>
        </w:rPr>
        <w:t xml:space="preserve"> is solely restricted to heterosexual couples.</w:t>
      </w:r>
      <w:r w:rsidR="002D0DC2">
        <w:rPr>
          <w:rStyle w:val="FootnoteReference"/>
          <w:rFonts w:cs="Times New Roman"/>
          <w:szCs w:val="24"/>
        </w:rPr>
        <w:footnoteReference w:id="19"/>
      </w:r>
      <w:r w:rsidR="002D0DC2">
        <w:rPr>
          <w:rFonts w:cs="Times New Roman"/>
          <w:szCs w:val="24"/>
        </w:rPr>
        <w:t xml:space="preserve"> </w:t>
      </w:r>
      <w:r>
        <w:rPr>
          <w:rFonts w:cs="Times New Roman"/>
          <w:szCs w:val="24"/>
        </w:rPr>
        <w:t>Also, the provision on domestic partnerships, Article 406</w:t>
      </w:r>
      <w:r w:rsidR="008B5F88">
        <w:rPr>
          <w:rFonts w:cs="Times New Roman"/>
          <w:szCs w:val="24"/>
        </w:rPr>
        <w:t xml:space="preserve"> of the State Civil Code</w:t>
      </w:r>
      <w:r>
        <w:rPr>
          <w:rFonts w:cs="Times New Roman"/>
          <w:szCs w:val="24"/>
        </w:rPr>
        <w:t>,</w:t>
      </w:r>
      <w:r w:rsidR="002D0DC2">
        <w:rPr>
          <w:rFonts w:cs="Times New Roman"/>
          <w:szCs w:val="24"/>
        </w:rPr>
        <w:t xml:space="preserve"> bestows less substantive </w:t>
      </w:r>
      <w:r w:rsidR="00CA7114">
        <w:rPr>
          <w:rFonts w:cs="Times New Roman"/>
          <w:szCs w:val="24"/>
        </w:rPr>
        <w:t>rights and benefits</w:t>
      </w:r>
      <w:r w:rsidR="002D0DC2">
        <w:rPr>
          <w:rFonts w:cs="Times New Roman"/>
          <w:szCs w:val="24"/>
        </w:rPr>
        <w:t xml:space="preserve"> on same-sex couples than it does on heterosexual couples.</w:t>
      </w:r>
      <w:r w:rsidR="002D0DC2">
        <w:rPr>
          <w:rStyle w:val="FootnoteReference"/>
          <w:rFonts w:cs="Times New Roman"/>
          <w:szCs w:val="24"/>
        </w:rPr>
        <w:footnoteReference w:id="20"/>
      </w:r>
      <w:r w:rsidR="002D0DC2">
        <w:rPr>
          <w:rFonts w:cs="Times New Roman"/>
          <w:szCs w:val="24"/>
        </w:rPr>
        <w:t xml:space="preserve"> </w:t>
      </w:r>
    </w:p>
    <w:p w:rsidR="009819CD" w:rsidRDefault="002D0DC2" w:rsidP="008571A4">
      <w:pPr>
        <w:spacing w:line="480" w:lineRule="auto"/>
        <w:jc w:val="both"/>
        <w:rPr>
          <w:rFonts w:cs="Times New Roman"/>
          <w:szCs w:val="24"/>
        </w:rPr>
      </w:pPr>
      <w:r>
        <w:rPr>
          <w:rFonts w:cs="Times New Roman"/>
          <w:szCs w:val="24"/>
        </w:rPr>
        <w:t>In 2010, Serafina who self-identifies as a lesbian</w:t>
      </w:r>
      <w:r w:rsidR="006E45F8">
        <w:rPr>
          <w:rFonts w:cs="Times New Roman"/>
          <w:szCs w:val="24"/>
        </w:rPr>
        <w:t>,</w:t>
      </w:r>
      <w:r w:rsidR="00DF7EF7">
        <w:rPr>
          <w:rFonts w:cs="Times New Roman"/>
          <w:szCs w:val="24"/>
        </w:rPr>
        <w:t xml:space="preserve"> </w:t>
      </w:r>
      <w:r>
        <w:rPr>
          <w:rFonts w:cs="Times New Roman"/>
          <w:szCs w:val="24"/>
        </w:rPr>
        <w:t>attempted to marry her partner Adriana Timor after cohabiting for a year.</w:t>
      </w:r>
      <w:r w:rsidRPr="00DF7EF7">
        <w:rPr>
          <w:rStyle w:val="FootnoteReference"/>
          <w:rFonts w:cs="Times New Roman"/>
          <w:szCs w:val="24"/>
        </w:rPr>
        <w:footnoteReference w:id="21"/>
      </w:r>
      <w:r>
        <w:rPr>
          <w:rFonts w:cs="Times New Roman"/>
          <w:szCs w:val="24"/>
        </w:rPr>
        <w:t xml:space="preserve"> This was </w:t>
      </w:r>
      <w:r w:rsidR="00CA7114">
        <w:rPr>
          <w:rFonts w:cs="Times New Roman"/>
          <w:szCs w:val="24"/>
        </w:rPr>
        <w:t xml:space="preserve">soon after the election of </w:t>
      </w:r>
      <w:r>
        <w:rPr>
          <w:rFonts w:cs="Times New Roman"/>
          <w:szCs w:val="24"/>
        </w:rPr>
        <w:t xml:space="preserve">President de la Goblana del </w:t>
      </w:r>
      <w:r>
        <w:rPr>
          <w:rFonts w:cs="Times New Roman"/>
          <w:szCs w:val="24"/>
        </w:rPr>
        <w:lastRenderedPageBreak/>
        <w:t xml:space="preserve">Atelo, </w:t>
      </w:r>
      <w:r w:rsidR="001A1298">
        <w:rPr>
          <w:rFonts w:cs="Times New Roman"/>
          <w:szCs w:val="24"/>
        </w:rPr>
        <w:t xml:space="preserve">of the right-wing Pink Party and </w:t>
      </w:r>
      <w:r w:rsidR="008B5F88">
        <w:rPr>
          <w:rFonts w:cs="Times New Roman"/>
          <w:szCs w:val="24"/>
        </w:rPr>
        <w:t xml:space="preserve">a </w:t>
      </w:r>
      <w:r>
        <w:rPr>
          <w:rFonts w:cs="Times New Roman"/>
          <w:szCs w:val="24"/>
        </w:rPr>
        <w:t>descendant of the colonial aristocracy</w:t>
      </w:r>
      <w:r w:rsidR="001A1298">
        <w:rPr>
          <w:rFonts w:cs="Times New Roman"/>
          <w:szCs w:val="24"/>
        </w:rPr>
        <w:t>.</w:t>
      </w:r>
      <w:r>
        <w:rPr>
          <w:rStyle w:val="FootnoteReference"/>
          <w:rFonts w:cs="Times New Roman"/>
          <w:szCs w:val="24"/>
        </w:rPr>
        <w:footnoteReference w:id="22"/>
      </w:r>
      <w:r>
        <w:rPr>
          <w:rFonts w:cs="Times New Roman"/>
          <w:szCs w:val="24"/>
        </w:rPr>
        <w:t xml:space="preserve"> </w:t>
      </w:r>
      <w:r w:rsidR="001A1298">
        <w:rPr>
          <w:rFonts w:cs="Times New Roman"/>
          <w:szCs w:val="24"/>
        </w:rPr>
        <w:t>In his inaugural address, he promised to</w:t>
      </w:r>
      <w:r>
        <w:rPr>
          <w:rFonts w:cs="Times New Roman"/>
          <w:szCs w:val="24"/>
        </w:rPr>
        <w:t xml:space="preserve"> “defend the family, the essential core of our society, and marriage as the basis of the family.” </w:t>
      </w:r>
      <w:r w:rsidR="001A1298" w:rsidRPr="002716CF">
        <w:rPr>
          <w:rFonts w:cs="Times New Roman"/>
          <w:szCs w:val="24"/>
        </w:rPr>
        <w:t xml:space="preserve">He also indicated </w:t>
      </w:r>
      <w:r w:rsidR="002716CF">
        <w:rPr>
          <w:rFonts w:cs="Times New Roman"/>
          <w:szCs w:val="24"/>
        </w:rPr>
        <w:t xml:space="preserve">that he would not </w:t>
      </w:r>
      <w:r w:rsidR="001A1298" w:rsidRPr="002716CF">
        <w:rPr>
          <w:rFonts w:cs="Times New Roman"/>
          <w:szCs w:val="24"/>
        </w:rPr>
        <w:t>let anyone make marriage into something “it is not, and will never be.”</w:t>
      </w:r>
      <w:r w:rsidR="008571A4">
        <w:rPr>
          <w:rStyle w:val="FootnoteReference"/>
          <w:rFonts w:cs="Times New Roman"/>
          <w:szCs w:val="24"/>
        </w:rPr>
        <w:footnoteReference w:id="23"/>
      </w:r>
      <w:r>
        <w:rPr>
          <w:rFonts w:cs="Times New Roman"/>
          <w:szCs w:val="24"/>
        </w:rPr>
        <w:t xml:space="preserve">This coincided with public polling results indicating a 76% public disapproval rating for </w:t>
      </w:r>
      <w:r w:rsidR="00CA68E5">
        <w:rPr>
          <w:rFonts w:cs="Times New Roman"/>
          <w:szCs w:val="24"/>
        </w:rPr>
        <w:t>the equating of same-sex domestic partnerships to marriage</w:t>
      </w:r>
      <w:r>
        <w:rPr>
          <w:rFonts w:cs="Times New Roman"/>
          <w:szCs w:val="24"/>
        </w:rPr>
        <w:t>.</w:t>
      </w:r>
      <w:r w:rsidR="00CA68E5">
        <w:rPr>
          <w:rStyle w:val="FootnoteReference"/>
          <w:rFonts w:cs="Times New Roman"/>
          <w:szCs w:val="24"/>
        </w:rPr>
        <w:footnoteReference w:id="24"/>
      </w:r>
      <w:r w:rsidR="008B5F88">
        <w:rPr>
          <w:rFonts w:cs="Times New Roman"/>
          <w:szCs w:val="24"/>
        </w:rPr>
        <w:t xml:space="preserve"> Subsequently</w:t>
      </w:r>
      <w:r>
        <w:rPr>
          <w:rFonts w:cs="Times New Roman"/>
          <w:szCs w:val="24"/>
        </w:rPr>
        <w:t>, Serafina and Adriana’s application for marriage was denied by the National Secretariat of the Family, on the basis of Article 396, despite their submissions highlighting the incompatibility of Article 396 with Article 9 of the Cons</w:t>
      </w:r>
      <w:r w:rsidR="001A1298">
        <w:rPr>
          <w:rFonts w:cs="Times New Roman"/>
          <w:szCs w:val="24"/>
        </w:rPr>
        <w:t>t</w:t>
      </w:r>
      <w:r>
        <w:rPr>
          <w:rFonts w:cs="Times New Roman"/>
          <w:szCs w:val="24"/>
        </w:rPr>
        <w:t>itution.</w:t>
      </w:r>
      <w:r>
        <w:rPr>
          <w:rStyle w:val="FootnoteReference"/>
          <w:rFonts w:cs="Times New Roman"/>
          <w:szCs w:val="24"/>
        </w:rPr>
        <w:footnoteReference w:id="25"/>
      </w:r>
      <w:r w:rsidR="008B5F88">
        <w:rPr>
          <w:rFonts w:cs="Times New Roman"/>
          <w:szCs w:val="24"/>
        </w:rPr>
        <w:t xml:space="preserve"> They </w:t>
      </w:r>
      <w:r>
        <w:rPr>
          <w:rFonts w:cs="Times New Roman"/>
          <w:szCs w:val="24"/>
        </w:rPr>
        <w:t xml:space="preserve">filed a motion to vacate before Court No. 7 for the Review of Administrative Decisions on the same grounds, which was also rejected and </w:t>
      </w:r>
      <w:r w:rsidR="006F4258">
        <w:rPr>
          <w:rFonts w:cs="Times New Roman"/>
          <w:szCs w:val="24"/>
        </w:rPr>
        <w:t xml:space="preserve">is </w:t>
      </w:r>
      <w:r>
        <w:rPr>
          <w:rFonts w:cs="Times New Roman"/>
          <w:szCs w:val="24"/>
        </w:rPr>
        <w:t>not subject to appeal.</w:t>
      </w:r>
      <w:r>
        <w:rPr>
          <w:rStyle w:val="FootnoteReference"/>
          <w:rFonts w:cs="Times New Roman"/>
          <w:szCs w:val="24"/>
        </w:rPr>
        <w:footnoteReference w:id="26"/>
      </w:r>
      <w:r>
        <w:rPr>
          <w:rFonts w:cs="Times New Roman"/>
          <w:szCs w:val="24"/>
        </w:rPr>
        <w:t xml:space="preserve"> The Court held that, in light of Article 9 of the Constitution, “excluding a same-sex couple from the institution of marriage is a reasonable restriction necessary to preserve the concept of family.”</w:t>
      </w:r>
      <w:r>
        <w:rPr>
          <w:rStyle w:val="FootnoteReference"/>
          <w:rFonts w:cs="Times New Roman"/>
          <w:szCs w:val="24"/>
        </w:rPr>
        <w:footnoteReference w:id="27"/>
      </w:r>
      <w:r>
        <w:rPr>
          <w:rFonts w:cs="Times New Roman"/>
          <w:szCs w:val="24"/>
        </w:rPr>
        <w:t xml:space="preserve"> </w:t>
      </w:r>
    </w:p>
    <w:p w:rsidR="002D0DC2" w:rsidRDefault="002D0DC2" w:rsidP="00B92843">
      <w:pPr>
        <w:spacing w:line="480" w:lineRule="auto"/>
        <w:jc w:val="both"/>
        <w:rPr>
          <w:rFonts w:cs="Times New Roman"/>
          <w:szCs w:val="24"/>
        </w:rPr>
      </w:pPr>
      <w:r>
        <w:rPr>
          <w:rFonts w:cs="Times New Roman"/>
          <w:szCs w:val="24"/>
        </w:rPr>
        <w:t xml:space="preserve">In November 2011, Serafina and Adriana filed a petition for a constitutional remedy challenging the above-mentioned decision. Though the Family Court No. 3 took the maximum three-month period </w:t>
      </w:r>
      <w:r w:rsidR="00B92843">
        <w:rPr>
          <w:rFonts w:cs="Times New Roman"/>
          <w:szCs w:val="24"/>
        </w:rPr>
        <w:t xml:space="preserve">under domestic law </w:t>
      </w:r>
      <w:r>
        <w:rPr>
          <w:rFonts w:cs="Times New Roman"/>
          <w:szCs w:val="24"/>
        </w:rPr>
        <w:t xml:space="preserve">to render a decision, </w:t>
      </w:r>
      <w:r w:rsidR="00046C38">
        <w:rPr>
          <w:rFonts w:cs="Times New Roman"/>
          <w:szCs w:val="24"/>
        </w:rPr>
        <w:t>normally</w:t>
      </w:r>
      <w:r>
        <w:rPr>
          <w:rFonts w:cs="Times New Roman"/>
          <w:szCs w:val="24"/>
        </w:rPr>
        <w:t xml:space="preserve"> </w:t>
      </w:r>
      <w:r w:rsidR="00046C38">
        <w:rPr>
          <w:rFonts w:cs="Times New Roman"/>
          <w:szCs w:val="24"/>
        </w:rPr>
        <w:t>reserved for</w:t>
      </w:r>
      <w:r>
        <w:rPr>
          <w:rFonts w:cs="Times New Roman"/>
          <w:szCs w:val="24"/>
        </w:rPr>
        <w:t xml:space="preserve"> “particularly complex cases,” it dismissed the action without ruling on the merits.</w:t>
      </w:r>
      <w:r>
        <w:rPr>
          <w:rStyle w:val="FootnoteReference"/>
          <w:rFonts w:cs="Times New Roman"/>
          <w:szCs w:val="24"/>
        </w:rPr>
        <w:footnoteReference w:id="28"/>
      </w:r>
      <w:r>
        <w:rPr>
          <w:rFonts w:cs="Times New Roman"/>
          <w:szCs w:val="24"/>
        </w:rPr>
        <w:t xml:space="preserve"> The Court </w:t>
      </w:r>
      <w:r w:rsidR="008B5F88">
        <w:rPr>
          <w:rFonts w:cs="Times New Roman"/>
          <w:szCs w:val="24"/>
        </w:rPr>
        <w:t>only</w:t>
      </w:r>
      <w:r>
        <w:rPr>
          <w:rFonts w:cs="Times New Roman"/>
          <w:szCs w:val="24"/>
        </w:rPr>
        <w:t xml:space="preserve"> stated that there weren’t sufficient facts to show that the challenged court decision was “manifestly arbitrary.”</w:t>
      </w:r>
      <w:r>
        <w:rPr>
          <w:rStyle w:val="FootnoteReference"/>
          <w:rFonts w:cs="Times New Roman"/>
          <w:szCs w:val="24"/>
        </w:rPr>
        <w:footnoteReference w:id="29"/>
      </w:r>
      <w:r>
        <w:rPr>
          <w:rFonts w:cs="Times New Roman"/>
          <w:szCs w:val="24"/>
        </w:rPr>
        <w:t xml:space="preserve"> </w:t>
      </w:r>
      <w:r w:rsidR="008B5F88">
        <w:rPr>
          <w:rFonts w:cs="Times New Roman"/>
          <w:szCs w:val="24"/>
        </w:rPr>
        <w:t>T</w:t>
      </w:r>
      <w:r w:rsidR="00F67A98">
        <w:rPr>
          <w:rFonts w:cs="Times New Roman"/>
          <w:szCs w:val="24"/>
        </w:rPr>
        <w:t>his decision was af</w:t>
      </w:r>
      <w:r w:rsidR="008B5F88">
        <w:rPr>
          <w:rFonts w:cs="Times New Roman"/>
          <w:szCs w:val="24"/>
        </w:rPr>
        <w:t>firmed on appeal on May 16, 2012</w:t>
      </w:r>
      <w:r>
        <w:rPr>
          <w:rFonts w:cs="Times New Roman"/>
          <w:szCs w:val="24"/>
        </w:rPr>
        <w:t>.</w:t>
      </w:r>
    </w:p>
    <w:p w:rsidR="002D0DC2" w:rsidRDefault="002D0DC2" w:rsidP="008571A4">
      <w:pPr>
        <w:spacing w:line="480" w:lineRule="auto"/>
        <w:jc w:val="both"/>
        <w:rPr>
          <w:rFonts w:cs="Times New Roman"/>
          <w:szCs w:val="24"/>
        </w:rPr>
      </w:pPr>
      <w:r>
        <w:rPr>
          <w:rFonts w:cs="Times New Roman"/>
          <w:szCs w:val="24"/>
        </w:rPr>
        <w:t>In view of the foregoing, Petition P-600-12 was filed before the IACHR in February 2012, which t</w:t>
      </w:r>
      <w:r w:rsidR="00046C38">
        <w:rPr>
          <w:rFonts w:cs="Times New Roman"/>
          <w:szCs w:val="24"/>
        </w:rPr>
        <w:t xml:space="preserve">he IACHR determined it was </w:t>
      </w:r>
      <w:r>
        <w:rPr>
          <w:rFonts w:cs="Times New Roman"/>
          <w:szCs w:val="24"/>
        </w:rPr>
        <w:t xml:space="preserve">subject to ‘priority initial review’ on the basis </w:t>
      </w:r>
      <w:r w:rsidR="00046C38">
        <w:rPr>
          <w:rFonts w:cs="Times New Roman"/>
          <w:szCs w:val="24"/>
        </w:rPr>
        <w:t>that it involved</w:t>
      </w:r>
      <w:r>
        <w:rPr>
          <w:rFonts w:cs="Times New Roman"/>
          <w:szCs w:val="24"/>
        </w:rPr>
        <w:t xml:space="preserve"> </w:t>
      </w:r>
      <w:r>
        <w:rPr>
          <w:rFonts w:cs="Times New Roman"/>
          <w:szCs w:val="24"/>
        </w:rPr>
        <w:lastRenderedPageBreak/>
        <w:t>sexual orientation and gender identity</w:t>
      </w:r>
      <w:r w:rsidR="00F67A98">
        <w:rPr>
          <w:rFonts w:cs="Times New Roman"/>
          <w:szCs w:val="24"/>
        </w:rPr>
        <w:t>.</w:t>
      </w:r>
      <w:r>
        <w:rPr>
          <w:rStyle w:val="FootnoteReference"/>
          <w:rFonts w:cs="Times New Roman"/>
          <w:szCs w:val="24"/>
        </w:rPr>
        <w:footnoteReference w:id="30"/>
      </w:r>
      <w:r>
        <w:rPr>
          <w:rFonts w:cs="Times New Roman"/>
          <w:szCs w:val="24"/>
        </w:rPr>
        <w:t xml:space="preserve"> The IACHR began processing the petition on May 10, 2012, and issued Admissibility Report 179-12 on September 22, 2012 declaring </w:t>
      </w:r>
      <w:r w:rsidR="006F4258">
        <w:rPr>
          <w:rFonts w:cs="Times New Roman"/>
          <w:szCs w:val="24"/>
        </w:rPr>
        <w:t xml:space="preserve">it admissible and </w:t>
      </w:r>
      <w:r w:rsidR="008B5F88">
        <w:rPr>
          <w:rFonts w:cs="Times New Roman"/>
          <w:szCs w:val="24"/>
        </w:rPr>
        <w:t>finding</w:t>
      </w:r>
      <w:r w:rsidR="006F4258">
        <w:rPr>
          <w:rFonts w:cs="Times New Roman"/>
          <w:szCs w:val="24"/>
        </w:rPr>
        <w:t xml:space="preserve"> alleged violations of</w:t>
      </w:r>
      <w:r>
        <w:rPr>
          <w:rFonts w:cs="Times New Roman"/>
          <w:szCs w:val="24"/>
        </w:rPr>
        <w:t xml:space="preserve"> Articles </w:t>
      </w:r>
      <w:r w:rsidR="00046C38">
        <w:rPr>
          <w:rFonts w:cs="Times New Roman"/>
          <w:szCs w:val="24"/>
        </w:rPr>
        <w:t>1.1, 8, 11, 17, 24 and 25</w:t>
      </w:r>
      <w:r>
        <w:rPr>
          <w:rFonts w:cs="Times New Roman"/>
          <w:szCs w:val="24"/>
        </w:rPr>
        <w:t xml:space="preserve">. The IACHR subsequently issued Merits Report 1-13, </w:t>
      </w:r>
      <w:r w:rsidR="00501C51">
        <w:rPr>
          <w:rFonts w:cs="Times New Roman"/>
          <w:szCs w:val="24"/>
        </w:rPr>
        <w:t>confirming</w:t>
      </w:r>
      <w:r>
        <w:rPr>
          <w:rFonts w:cs="Times New Roman"/>
          <w:szCs w:val="24"/>
        </w:rPr>
        <w:t xml:space="preserve"> that Elizabetia had indeed violated all the articles alleged, in addition to Article 2, by virtue of the principle </w:t>
      </w:r>
      <w:r w:rsidR="00BF60DC">
        <w:rPr>
          <w:rFonts w:cs="Times New Roman"/>
          <w:szCs w:val="24"/>
        </w:rPr>
        <w:t>of iura</w:t>
      </w:r>
      <w:r w:rsidRPr="00C32CD5">
        <w:rPr>
          <w:rFonts w:cs="Times New Roman"/>
          <w:i/>
          <w:szCs w:val="24"/>
        </w:rPr>
        <w:t xml:space="preserve"> novit curia</w:t>
      </w:r>
      <w:r>
        <w:rPr>
          <w:rFonts w:cs="Times New Roman"/>
          <w:szCs w:val="24"/>
        </w:rPr>
        <w:t xml:space="preserve">. The case has now been submitted to the </w:t>
      </w:r>
      <w:r w:rsidR="006F4258">
        <w:rPr>
          <w:rFonts w:cs="Times New Roman"/>
          <w:szCs w:val="24"/>
        </w:rPr>
        <w:t>IACtHR</w:t>
      </w:r>
      <w:r>
        <w:rPr>
          <w:rFonts w:cs="Times New Roman"/>
          <w:szCs w:val="24"/>
        </w:rPr>
        <w:t>,</w:t>
      </w:r>
      <w:r w:rsidR="008B5F88">
        <w:rPr>
          <w:rFonts w:cs="Times New Roman"/>
          <w:szCs w:val="24"/>
        </w:rPr>
        <w:t xml:space="preserve"> and is scheduled for hearing in</w:t>
      </w:r>
      <w:r>
        <w:rPr>
          <w:rFonts w:cs="Times New Roman"/>
          <w:szCs w:val="24"/>
        </w:rPr>
        <w:t xml:space="preserve"> May 2013.</w:t>
      </w:r>
    </w:p>
    <w:p w:rsidR="002D0DC2" w:rsidRDefault="002D0DC2" w:rsidP="008571A4">
      <w:pPr>
        <w:spacing w:line="480" w:lineRule="auto"/>
        <w:jc w:val="both"/>
        <w:rPr>
          <w:rFonts w:cs="Times New Roman"/>
          <w:szCs w:val="24"/>
        </w:rPr>
      </w:pPr>
      <w:r>
        <w:rPr>
          <w:rFonts w:cs="Times New Roman"/>
          <w:szCs w:val="24"/>
        </w:rPr>
        <w:t>Three days before the Court hearing, Adriana suffered hemorrhaging and lost consciousness due to a ruptured congenital cerebral aneurysm, for which there are onl</w:t>
      </w:r>
      <w:r w:rsidR="00354D49">
        <w:rPr>
          <w:rFonts w:cs="Times New Roman"/>
          <w:szCs w:val="24"/>
        </w:rPr>
        <w:t xml:space="preserve">y two possible medical options: (i) </w:t>
      </w:r>
      <w:r>
        <w:rPr>
          <w:rFonts w:cs="Times New Roman"/>
          <w:szCs w:val="24"/>
        </w:rPr>
        <w:t xml:space="preserve">urgent intracranial surgery which, if successful, would result in the full maintenance of </w:t>
      </w:r>
      <w:r w:rsidR="00046C38">
        <w:rPr>
          <w:rFonts w:cs="Times New Roman"/>
          <w:szCs w:val="24"/>
        </w:rPr>
        <w:t>Adriana</w:t>
      </w:r>
      <w:r w:rsidR="00354D49">
        <w:rPr>
          <w:rFonts w:cs="Times New Roman"/>
          <w:szCs w:val="24"/>
        </w:rPr>
        <w:t>’s faculties;</w:t>
      </w:r>
      <w:r>
        <w:rPr>
          <w:rFonts w:cs="Times New Roman"/>
          <w:szCs w:val="24"/>
        </w:rPr>
        <w:t xml:space="preserve"> </w:t>
      </w:r>
      <w:r w:rsidR="00354D49">
        <w:rPr>
          <w:rFonts w:cs="Times New Roman"/>
          <w:szCs w:val="24"/>
        </w:rPr>
        <w:t xml:space="preserve">or (ii) </w:t>
      </w:r>
      <w:r>
        <w:rPr>
          <w:rFonts w:cs="Times New Roman"/>
          <w:szCs w:val="24"/>
        </w:rPr>
        <w:t xml:space="preserve">merely monitoring the situation </w:t>
      </w:r>
      <w:r w:rsidR="00354D49">
        <w:rPr>
          <w:rFonts w:cs="Times New Roman"/>
          <w:szCs w:val="24"/>
        </w:rPr>
        <w:t>which</w:t>
      </w:r>
      <w:r>
        <w:rPr>
          <w:rFonts w:cs="Times New Roman"/>
          <w:szCs w:val="24"/>
        </w:rPr>
        <w:t xml:space="preserve"> would almost certainly result in anterograde amnesia.</w:t>
      </w:r>
      <w:r>
        <w:rPr>
          <w:rStyle w:val="FootnoteReference"/>
          <w:rFonts w:cs="Times New Roman"/>
          <w:szCs w:val="24"/>
        </w:rPr>
        <w:footnoteReference w:id="31"/>
      </w:r>
      <w:r>
        <w:rPr>
          <w:rFonts w:cs="Times New Roman"/>
          <w:szCs w:val="24"/>
        </w:rPr>
        <w:t xml:space="preserve"> Adriana had previously indicated multiple times to Serafina that the surgery is the only option she would be willing to take.</w:t>
      </w:r>
      <w:r>
        <w:rPr>
          <w:rStyle w:val="FootnoteReference"/>
          <w:rFonts w:cs="Times New Roman"/>
          <w:szCs w:val="24"/>
        </w:rPr>
        <w:footnoteReference w:id="32"/>
      </w:r>
      <w:r>
        <w:rPr>
          <w:rFonts w:cs="Times New Roman"/>
          <w:szCs w:val="24"/>
        </w:rPr>
        <w:t xml:space="preserve"> However, under Elizabetian law, only a spouse or relative is all</w:t>
      </w:r>
      <w:r w:rsidR="00A15E44">
        <w:rPr>
          <w:rFonts w:cs="Times New Roman"/>
          <w:szCs w:val="24"/>
        </w:rPr>
        <w:t>owed to give consent.</w:t>
      </w:r>
      <w:r w:rsidR="00F01566">
        <w:rPr>
          <w:rStyle w:val="FootnoteReference"/>
          <w:rFonts w:cs="Times New Roman"/>
          <w:szCs w:val="24"/>
        </w:rPr>
        <w:footnoteReference w:id="33"/>
      </w:r>
      <w:r w:rsidR="00A15E44">
        <w:rPr>
          <w:rFonts w:cs="Times New Roman"/>
          <w:szCs w:val="24"/>
        </w:rPr>
        <w:t xml:space="preserve"> Given Elizabetia’s</w:t>
      </w:r>
      <w:r>
        <w:rPr>
          <w:rFonts w:cs="Times New Roman"/>
          <w:szCs w:val="24"/>
        </w:rPr>
        <w:t xml:space="preserve"> denial of Adriana and Serafina’s </w:t>
      </w:r>
      <w:r w:rsidR="00A15E44">
        <w:rPr>
          <w:rFonts w:cs="Times New Roman"/>
          <w:szCs w:val="24"/>
        </w:rPr>
        <w:t>attempt to marry</w:t>
      </w:r>
      <w:r>
        <w:rPr>
          <w:rFonts w:cs="Times New Roman"/>
          <w:szCs w:val="24"/>
        </w:rPr>
        <w:t>, Serafina is prevented from providing consent.</w:t>
      </w:r>
      <w:r w:rsidR="00501C51">
        <w:rPr>
          <w:rFonts w:cs="Times New Roman"/>
          <w:szCs w:val="24"/>
        </w:rPr>
        <w:t xml:space="preserve">  </w:t>
      </w:r>
      <w:r>
        <w:rPr>
          <w:rFonts w:cs="Times New Roman"/>
          <w:szCs w:val="24"/>
        </w:rPr>
        <w:t>Adriana’s parents are d</w:t>
      </w:r>
      <w:r w:rsidR="00354D49">
        <w:rPr>
          <w:rFonts w:cs="Times New Roman"/>
          <w:szCs w:val="24"/>
        </w:rPr>
        <w:t>ead, and she was excluded from her</w:t>
      </w:r>
      <w:r>
        <w:rPr>
          <w:rFonts w:cs="Times New Roman"/>
          <w:szCs w:val="24"/>
        </w:rPr>
        <w:t xml:space="preserve"> family 15 years ago </w:t>
      </w:r>
      <w:r w:rsidR="008B5F88">
        <w:rPr>
          <w:rFonts w:cs="Times New Roman"/>
          <w:szCs w:val="24"/>
        </w:rPr>
        <w:t>because</w:t>
      </w:r>
      <w:r>
        <w:rPr>
          <w:rFonts w:cs="Times New Roman"/>
          <w:szCs w:val="24"/>
        </w:rPr>
        <w:t xml:space="preserve"> of her sexual orientation.</w:t>
      </w:r>
      <w:r w:rsidR="00501C51">
        <w:rPr>
          <w:rFonts w:cs="Times New Roman"/>
          <w:szCs w:val="24"/>
        </w:rPr>
        <w:t xml:space="preserve"> </w:t>
      </w:r>
      <w:r>
        <w:rPr>
          <w:rFonts w:cs="Times New Roman"/>
          <w:szCs w:val="24"/>
        </w:rPr>
        <w:t xml:space="preserve">If </w:t>
      </w:r>
      <w:r w:rsidR="00354D49">
        <w:rPr>
          <w:rFonts w:cs="Times New Roman"/>
          <w:szCs w:val="24"/>
        </w:rPr>
        <w:t xml:space="preserve">a relative is not found </w:t>
      </w:r>
      <w:r>
        <w:rPr>
          <w:rFonts w:cs="Times New Roman"/>
          <w:szCs w:val="24"/>
        </w:rPr>
        <w:t xml:space="preserve">within 5 days, the decision will go to the Regional Medical Committee, which will </w:t>
      </w:r>
      <w:r w:rsidR="008B5F88">
        <w:rPr>
          <w:rFonts w:cs="Times New Roman"/>
          <w:szCs w:val="24"/>
        </w:rPr>
        <w:t xml:space="preserve">almost certainly </w:t>
      </w:r>
      <w:r>
        <w:rPr>
          <w:rFonts w:cs="Times New Roman"/>
          <w:szCs w:val="24"/>
        </w:rPr>
        <w:t>decide against the surgery.</w:t>
      </w:r>
      <w:r>
        <w:rPr>
          <w:rStyle w:val="FootnoteReference"/>
          <w:rFonts w:cs="Times New Roman"/>
          <w:szCs w:val="24"/>
        </w:rPr>
        <w:footnoteReference w:id="34"/>
      </w:r>
      <w:r>
        <w:rPr>
          <w:rFonts w:cs="Times New Roman"/>
          <w:szCs w:val="24"/>
        </w:rPr>
        <w:t xml:space="preserve"> As such, provisional measures are now needed to allow Serafina to provide in</w:t>
      </w:r>
      <w:r w:rsidR="00501C51">
        <w:rPr>
          <w:rFonts w:cs="Times New Roman"/>
          <w:szCs w:val="24"/>
        </w:rPr>
        <w:t>formed consent for Adriana in this</w:t>
      </w:r>
      <w:r>
        <w:rPr>
          <w:rFonts w:cs="Times New Roman"/>
          <w:szCs w:val="24"/>
        </w:rPr>
        <w:t xml:space="preserve"> “urgent health situation.”</w:t>
      </w:r>
      <w:r>
        <w:rPr>
          <w:rStyle w:val="FootnoteReference"/>
          <w:rFonts w:cs="Times New Roman"/>
          <w:szCs w:val="24"/>
        </w:rPr>
        <w:footnoteReference w:id="35"/>
      </w:r>
    </w:p>
    <w:p w:rsidR="00754B17" w:rsidRDefault="00754B17" w:rsidP="008571A4">
      <w:pPr>
        <w:spacing w:line="480" w:lineRule="auto"/>
        <w:jc w:val="center"/>
        <w:rPr>
          <w:rFonts w:cs="Times New Roman"/>
          <w:b/>
          <w:szCs w:val="24"/>
          <w:u w:val="single"/>
        </w:rPr>
      </w:pPr>
    </w:p>
    <w:p w:rsidR="002D0DC2" w:rsidRPr="00F80F44" w:rsidRDefault="002D0DC2" w:rsidP="00F80F44">
      <w:pPr>
        <w:pStyle w:val="Heading1"/>
        <w:numPr>
          <w:ilvl w:val="0"/>
          <w:numId w:val="2"/>
        </w:numPr>
        <w:rPr>
          <w:u w:val="none"/>
        </w:rPr>
      </w:pPr>
      <w:bookmarkStart w:id="3" w:name="_Toc352007821"/>
      <w:r w:rsidRPr="00F80F44">
        <w:rPr>
          <w:u w:val="none"/>
        </w:rPr>
        <w:lastRenderedPageBreak/>
        <w:t>LEGAL ANALYSIS</w:t>
      </w:r>
      <w:bookmarkEnd w:id="3"/>
    </w:p>
    <w:p w:rsidR="002D0DC2" w:rsidRDefault="002D0DC2" w:rsidP="008571A4">
      <w:pPr>
        <w:jc w:val="both"/>
        <w:rPr>
          <w:rFonts w:cs="Times New Roman"/>
          <w:b/>
          <w:szCs w:val="24"/>
          <w:u w:val="single"/>
        </w:rPr>
      </w:pPr>
    </w:p>
    <w:p w:rsidR="002D0DC2" w:rsidRDefault="002D0DC2" w:rsidP="001674E8">
      <w:pPr>
        <w:pStyle w:val="Heading2"/>
        <w:numPr>
          <w:ilvl w:val="0"/>
          <w:numId w:val="3"/>
        </w:numPr>
      </w:pPr>
      <w:bookmarkStart w:id="4" w:name="_Toc352007822"/>
      <w:r>
        <w:t>ADMISSIBILITY</w:t>
      </w:r>
      <w:bookmarkEnd w:id="4"/>
      <w:r>
        <w:t xml:space="preserve"> </w:t>
      </w:r>
    </w:p>
    <w:p w:rsidR="002D0DC2" w:rsidRDefault="002D0DC2" w:rsidP="008571A4">
      <w:pPr>
        <w:jc w:val="both"/>
        <w:rPr>
          <w:rFonts w:cs="Times New Roman"/>
          <w:b/>
          <w:szCs w:val="24"/>
          <w:u w:val="single"/>
        </w:rPr>
      </w:pPr>
    </w:p>
    <w:p w:rsidR="002D0DC2" w:rsidRPr="007C25C9" w:rsidRDefault="002D0DC2" w:rsidP="00D8178D">
      <w:pPr>
        <w:pStyle w:val="Heading3"/>
      </w:pPr>
      <w:bookmarkStart w:id="5" w:name="_Toc352007823"/>
      <w:r w:rsidRPr="007C25C9">
        <w:t>Statement of Jurisdiction</w:t>
      </w:r>
      <w:bookmarkEnd w:id="5"/>
    </w:p>
    <w:p w:rsidR="002D0DC2" w:rsidRDefault="002D0DC2" w:rsidP="008571A4">
      <w:pPr>
        <w:jc w:val="both"/>
        <w:rPr>
          <w:rFonts w:cs="Times New Roman"/>
          <w:b/>
          <w:szCs w:val="24"/>
          <w:u w:val="single"/>
        </w:rPr>
      </w:pPr>
    </w:p>
    <w:p w:rsidR="002D0DC2" w:rsidRPr="003B319F" w:rsidRDefault="002D0DC2" w:rsidP="008571A4">
      <w:pPr>
        <w:spacing w:line="480" w:lineRule="auto"/>
        <w:jc w:val="both"/>
        <w:rPr>
          <w:rFonts w:cs="Times New Roman"/>
          <w:szCs w:val="24"/>
        </w:rPr>
      </w:pPr>
      <w:r>
        <w:rPr>
          <w:rFonts w:cs="Times New Roman"/>
          <w:szCs w:val="24"/>
        </w:rPr>
        <w:t xml:space="preserve">Elizabetia ratified the </w:t>
      </w:r>
      <w:r w:rsidR="001866AE">
        <w:rPr>
          <w:rFonts w:cs="Times New Roman"/>
          <w:szCs w:val="24"/>
        </w:rPr>
        <w:t>American Convention on Human Rights (“ACHR”)</w:t>
      </w:r>
      <w:r>
        <w:rPr>
          <w:rFonts w:cs="Times New Roman"/>
          <w:szCs w:val="24"/>
        </w:rPr>
        <w:t xml:space="preserve"> and accepted the contentious jurisdiction of this Court on January 1, 1990. All the facts upon which the alleged violations of the </w:t>
      </w:r>
      <w:r w:rsidR="00F04DBB">
        <w:rPr>
          <w:rFonts w:cs="Times New Roman"/>
          <w:szCs w:val="24"/>
        </w:rPr>
        <w:t>ACHR</w:t>
      </w:r>
      <w:r>
        <w:rPr>
          <w:rFonts w:cs="Times New Roman"/>
          <w:szCs w:val="24"/>
        </w:rPr>
        <w:t xml:space="preserve"> are based occurred after said date. Therefore, by virtue of Article 62.3</w:t>
      </w:r>
      <w:r w:rsidR="00820DC0">
        <w:rPr>
          <w:rFonts w:cs="Times New Roman"/>
          <w:szCs w:val="24"/>
        </w:rPr>
        <w:fldChar w:fldCharType="begin"/>
      </w:r>
      <w:r w:rsidR="000274FD">
        <w:instrText xml:space="preserve"> TA \l "</w:instrText>
      </w:r>
      <w:r w:rsidR="000274FD" w:rsidRPr="00233AC1">
        <w:rPr>
          <w:rFonts w:cs="Times New Roman"/>
          <w:szCs w:val="24"/>
        </w:rPr>
        <w:instrText>Article 62.3</w:instrText>
      </w:r>
      <w:r w:rsidR="000274FD">
        <w:instrText xml:space="preserve">" \s "Article 62.3" \c 5 </w:instrText>
      </w:r>
      <w:r w:rsidR="00820DC0">
        <w:rPr>
          <w:rFonts w:cs="Times New Roman"/>
          <w:szCs w:val="24"/>
        </w:rPr>
        <w:fldChar w:fldCharType="end"/>
      </w:r>
      <w:r>
        <w:rPr>
          <w:rFonts w:cs="Times New Roman"/>
          <w:szCs w:val="24"/>
        </w:rPr>
        <w:t xml:space="preserve"> of the Convention, this Honorable Court possesses the requisite jurisdiction </w:t>
      </w:r>
      <w:r w:rsidRPr="00864D93">
        <w:rPr>
          <w:rFonts w:cs="Times New Roman"/>
          <w:i/>
          <w:szCs w:val="24"/>
        </w:rPr>
        <w:t>ratione materiae</w:t>
      </w:r>
      <w:r>
        <w:rPr>
          <w:rFonts w:cs="Times New Roman"/>
          <w:szCs w:val="24"/>
        </w:rPr>
        <w:t xml:space="preserve"> and </w:t>
      </w:r>
      <w:r w:rsidRPr="00864D93">
        <w:rPr>
          <w:rFonts w:cs="Times New Roman"/>
          <w:i/>
          <w:szCs w:val="24"/>
        </w:rPr>
        <w:t>ratione temporis</w:t>
      </w:r>
      <w:r>
        <w:rPr>
          <w:rFonts w:cs="Times New Roman"/>
          <w:szCs w:val="24"/>
        </w:rPr>
        <w:t xml:space="preserve"> over the matter. The Court also possesses the necessary </w:t>
      </w:r>
      <w:r w:rsidRPr="005F278A">
        <w:rPr>
          <w:rFonts w:cs="Times New Roman"/>
          <w:i/>
          <w:szCs w:val="24"/>
        </w:rPr>
        <w:t>ratione personae</w:t>
      </w:r>
      <w:r>
        <w:rPr>
          <w:rFonts w:cs="Times New Roman"/>
          <w:szCs w:val="24"/>
        </w:rPr>
        <w:t xml:space="preserve"> and </w:t>
      </w:r>
      <w:r w:rsidRPr="005F278A">
        <w:rPr>
          <w:rFonts w:cs="Times New Roman"/>
          <w:i/>
          <w:szCs w:val="24"/>
        </w:rPr>
        <w:t>ratione loci</w:t>
      </w:r>
      <w:r>
        <w:rPr>
          <w:rFonts w:cs="Times New Roman"/>
          <w:szCs w:val="24"/>
        </w:rPr>
        <w:t xml:space="preserve">. </w:t>
      </w:r>
    </w:p>
    <w:p w:rsidR="00BF60DC" w:rsidRDefault="00BF60DC" w:rsidP="008571A4">
      <w:pPr>
        <w:jc w:val="both"/>
        <w:rPr>
          <w:rFonts w:cs="Times New Roman"/>
          <w:szCs w:val="24"/>
          <w:u w:val="single"/>
        </w:rPr>
      </w:pPr>
    </w:p>
    <w:p w:rsidR="002D0DC2" w:rsidRPr="007C25C9" w:rsidRDefault="002D0DC2" w:rsidP="00D8178D">
      <w:pPr>
        <w:pStyle w:val="Heading3"/>
      </w:pPr>
      <w:bookmarkStart w:id="6" w:name="_Toc352007824"/>
      <w:r w:rsidRPr="007C25C9">
        <w:t>Iura Novit Curia</w:t>
      </w:r>
      <w:bookmarkEnd w:id="6"/>
    </w:p>
    <w:p w:rsidR="002D0DC2" w:rsidRPr="007C25C9" w:rsidRDefault="002D0DC2" w:rsidP="008571A4">
      <w:pPr>
        <w:jc w:val="both"/>
        <w:rPr>
          <w:rFonts w:cs="Times New Roman"/>
          <w:szCs w:val="24"/>
          <w:u w:val="single"/>
        </w:rPr>
      </w:pPr>
    </w:p>
    <w:p w:rsidR="005A4694" w:rsidRDefault="002D0DC2" w:rsidP="008571A4">
      <w:pPr>
        <w:spacing w:line="480" w:lineRule="auto"/>
        <w:jc w:val="both"/>
        <w:rPr>
          <w:rFonts w:cs="Times New Roman"/>
          <w:szCs w:val="24"/>
        </w:rPr>
      </w:pPr>
      <w:r>
        <w:rPr>
          <w:rFonts w:cs="Times New Roman"/>
          <w:szCs w:val="24"/>
        </w:rPr>
        <w:t>This Court</w:t>
      </w:r>
      <w:r w:rsidR="00A904C8">
        <w:rPr>
          <w:rFonts w:cs="Times New Roman"/>
          <w:szCs w:val="24"/>
        </w:rPr>
        <w:t xml:space="preserve"> </w:t>
      </w:r>
      <w:r w:rsidR="009819CD">
        <w:rPr>
          <w:rFonts w:cs="Times New Roman"/>
          <w:szCs w:val="24"/>
        </w:rPr>
        <w:t>has</w:t>
      </w:r>
      <w:r>
        <w:rPr>
          <w:rFonts w:cs="Times New Roman"/>
          <w:szCs w:val="24"/>
        </w:rPr>
        <w:t xml:space="preserve"> repeatedly affirmed the use of the principle of </w:t>
      </w:r>
      <w:r w:rsidRPr="00016D0E">
        <w:rPr>
          <w:rFonts w:cs="Times New Roman"/>
          <w:i/>
          <w:szCs w:val="24"/>
        </w:rPr>
        <w:t>iura novit curia</w:t>
      </w:r>
      <w:r>
        <w:rPr>
          <w:rFonts w:cs="Times New Roman"/>
          <w:szCs w:val="24"/>
        </w:rPr>
        <w:t>, which empowers it with the duty “to apply the juridical provisions relevant to a proceeding, even when the parties do not expressly invoke them.”</w:t>
      </w:r>
      <w:r>
        <w:rPr>
          <w:rStyle w:val="FootnoteReference"/>
          <w:rFonts w:cs="Times New Roman"/>
          <w:szCs w:val="24"/>
        </w:rPr>
        <w:footnoteReference w:id="36"/>
      </w:r>
      <w:r>
        <w:rPr>
          <w:rFonts w:cs="Times New Roman"/>
          <w:szCs w:val="24"/>
        </w:rPr>
        <w:t xml:space="preserve"> This is further buttressed by Article 29(f) of the Commission’s Rules of Procedure, which provides that the petitioner is not required to reference the specific articles of the Convention in his/her petition. The validity of the use of </w:t>
      </w:r>
      <w:r w:rsidRPr="00E44D7A">
        <w:rPr>
          <w:rFonts w:cs="Times New Roman"/>
          <w:i/>
          <w:szCs w:val="24"/>
        </w:rPr>
        <w:t>iura novit curia</w:t>
      </w:r>
      <w:r>
        <w:rPr>
          <w:rFonts w:cs="Times New Roman"/>
          <w:szCs w:val="24"/>
        </w:rPr>
        <w:t xml:space="preserve"> is entirely contin</w:t>
      </w:r>
      <w:r w:rsidR="001866AE">
        <w:rPr>
          <w:rFonts w:cs="Times New Roman"/>
          <w:szCs w:val="24"/>
        </w:rPr>
        <w:t>gent upon the relevance of the A</w:t>
      </w:r>
      <w:r>
        <w:rPr>
          <w:rFonts w:cs="Times New Roman"/>
          <w:szCs w:val="24"/>
        </w:rPr>
        <w:t>rticle</w:t>
      </w:r>
      <w:r w:rsidR="001866AE">
        <w:rPr>
          <w:rFonts w:cs="Times New Roman"/>
          <w:szCs w:val="24"/>
        </w:rPr>
        <w:t xml:space="preserve"> in question</w:t>
      </w:r>
      <w:r>
        <w:rPr>
          <w:rFonts w:cs="Times New Roman"/>
          <w:szCs w:val="24"/>
        </w:rPr>
        <w:t xml:space="preserve"> to the essential facts pleaded by the petitioner.</w:t>
      </w:r>
      <w:r>
        <w:rPr>
          <w:rStyle w:val="FootnoteReference"/>
          <w:rFonts w:cs="Times New Roman"/>
          <w:szCs w:val="24"/>
        </w:rPr>
        <w:footnoteReference w:id="37"/>
      </w:r>
      <w:r w:rsidR="00F04DBB">
        <w:rPr>
          <w:rFonts w:cs="Times New Roman"/>
          <w:szCs w:val="24"/>
        </w:rPr>
        <w:t xml:space="preserve"> If </w:t>
      </w:r>
      <w:r w:rsidR="009D1283">
        <w:rPr>
          <w:rFonts w:cs="Times New Roman"/>
          <w:szCs w:val="24"/>
        </w:rPr>
        <w:t>the Article of the ACHR relates</w:t>
      </w:r>
      <w:r w:rsidR="00F04DBB">
        <w:rPr>
          <w:rFonts w:cs="Times New Roman"/>
          <w:szCs w:val="24"/>
        </w:rPr>
        <w:t xml:space="preserve"> to the essential facts pleaded, then the State would </w:t>
      </w:r>
      <w:r w:rsidR="00F04DBB">
        <w:rPr>
          <w:rFonts w:cs="Times New Roman"/>
          <w:szCs w:val="24"/>
        </w:rPr>
        <w:lastRenderedPageBreak/>
        <w:t xml:space="preserve">have already been given an opportunity to adequately defend itself against </w:t>
      </w:r>
      <w:r w:rsidR="005A4694">
        <w:rPr>
          <w:rFonts w:cs="Times New Roman"/>
          <w:szCs w:val="24"/>
        </w:rPr>
        <w:t>any</w:t>
      </w:r>
      <w:r w:rsidR="00F04DBB">
        <w:rPr>
          <w:rFonts w:cs="Times New Roman"/>
          <w:szCs w:val="24"/>
        </w:rPr>
        <w:t xml:space="preserve"> violations emanating from those facts. </w:t>
      </w:r>
    </w:p>
    <w:p w:rsidR="0000107E" w:rsidRPr="009819CD" w:rsidRDefault="001866AE" w:rsidP="008571A4">
      <w:pPr>
        <w:spacing w:line="480" w:lineRule="auto"/>
        <w:jc w:val="both"/>
        <w:rPr>
          <w:rFonts w:cs="Times New Roman"/>
          <w:szCs w:val="24"/>
        </w:rPr>
      </w:pPr>
      <w:r>
        <w:rPr>
          <w:rFonts w:cs="Times New Roman"/>
          <w:szCs w:val="24"/>
        </w:rPr>
        <w:t>Article 2</w:t>
      </w:r>
      <w:r w:rsidR="00820DC0">
        <w:rPr>
          <w:rFonts w:cs="Times New Roman"/>
          <w:szCs w:val="24"/>
        </w:rPr>
        <w:fldChar w:fldCharType="begin"/>
      </w:r>
      <w:r w:rsidR="000274FD">
        <w:instrText xml:space="preserve"> TA \l "</w:instrText>
      </w:r>
      <w:r w:rsidR="000274FD" w:rsidRPr="00B97D2B">
        <w:rPr>
          <w:rFonts w:cs="Times New Roman"/>
          <w:szCs w:val="24"/>
        </w:rPr>
        <w:instrText>Article 2</w:instrText>
      </w:r>
      <w:r w:rsidR="000274FD">
        <w:instrText xml:space="preserve">" \s "Article 2" \c 5 </w:instrText>
      </w:r>
      <w:r w:rsidR="00820DC0">
        <w:rPr>
          <w:rFonts w:cs="Times New Roman"/>
          <w:szCs w:val="24"/>
        </w:rPr>
        <w:fldChar w:fldCharType="end"/>
      </w:r>
      <w:r>
        <w:rPr>
          <w:rFonts w:cs="Times New Roman"/>
          <w:szCs w:val="24"/>
        </w:rPr>
        <w:t xml:space="preserve"> possesses a similar non-autonomous nature to Article 1(1)</w:t>
      </w:r>
      <w:r w:rsidR="00820DC0">
        <w:rPr>
          <w:rFonts w:cs="Times New Roman"/>
          <w:szCs w:val="24"/>
        </w:rPr>
        <w:fldChar w:fldCharType="begin"/>
      </w:r>
      <w:r w:rsidR="000274FD">
        <w:instrText xml:space="preserve"> TA \l "</w:instrText>
      </w:r>
      <w:r w:rsidR="000274FD" w:rsidRPr="00E6672C">
        <w:rPr>
          <w:rFonts w:cs="Times New Roman"/>
          <w:szCs w:val="24"/>
        </w:rPr>
        <w:instrText>Article 1(1)</w:instrText>
      </w:r>
      <w:r w:rsidR="000274FD">
        <w:instrText xml:space="preserve">" \s "Article 1(1)" \c 5 </w:instrText>
      </w:r>
      <w:r w:rsidR="00820DC0">
        <w:rPr>
          <w:rFonts w:cs="Times New Roman"/>
          <w:szCs w:val="24"/>
        </w:rPr>
        <w:fldChar w:fldCharType="end"/>
      </w:r>
      <w:r>
        <w:rPr>
          <w:rFonts w:cs="Times New Roman"/>
          <w:szCs w:val="24"/>
        </w:rPr>
        <w:t>, and this feature allows for its</w:t>
      </w:r>
      <w:r w:rsidR="002D0DC2">
        <w:rPr>
          <w:rFonts w:cs="Times New Roman"/>
          <w:szCs w:val="24"/>
        </w:rPr>
        <w:t xml:space="preserve"> automatic combination with violations of substantive Convention rights.</w:t>
      </w:r>
      <w:r w:rsidR="002D0DC2">
        <w:rPr>
          <w:rStyle w:val="FootnoteReference"/>
          <w:rFonts w:cs="Times New Roman"/>
          <w:szCs w:val="24"/>
        </w:rPr>
        <w:footnoteReference w:id="38"/>
      </w:r>
      <w:r w:rsidR="002D0DC2">
        <w:rPr>
          <w:rFonts w:cs="Times New Roman"/>
          <w:szCs w:val="24"/>
        </w:rPr>
        <w:t xml:space="preserve"> </w:t>
      </w:r>
      <w:r w:rsidR="009D1283">
        <w:rPr>
          <w:rFonts w:cs="Times New Roman"/>
          <w:szCs w:val="24"/>
        </w:rPr>
        <w:t xml:space="preserve">It encapsulates the general obligation of State parties to implement legislative measures with the aim of guaranteeing all substantive Convention rights. </w:t>
      </w:r>
      <w:r w:rsidR="002D0DC2">
        <w:rPr>
          <w:rFonts w:cs="Times New Roman"/>
          <w:szCs w:val="24"/>
        </w:rPr>
        <w:t>Given that the inadequacy of Article 396 of the State Civil Code in Elizabetia is a central feature of the facts which were pleaded before the Commission, and now before this Court, it follows that Art</w:t>
      </w:r>
      <w:r w:rsidR="009D1283">
        <w:rPr>
          <w:rFonts w:cs="Times New Roman"/>
          <w:szCs w:val="24"/>
        </w:rPr>
        <w:t xml:space="preserve">icle 2 is sufficiently relevant and the use of </w:t>
      </w:r>
      <w:r w:rsidR="009D1283" w:rsidRPr="009D1283">
        <w:rPr>
          <w:rFonts w:cs="Times New Roman"/>
          <w:i/>
          <w:szCs w:val="24"/>
        </w:rPr>
        <w:t>iura novit curia</w:t>
      </w:r>
      <w:r w:rsidR="009D1283">
        <w:rPr>
          <w:rFonts w:cs="Times New Roman"/>
          <w:szCs w:val="24"/>
        </w:rPr>
        <w:t xml:space="preserve"> by the Commission was va</w:t>
      </w:r>
      <w:r w:rsidR="009819CD">
        <w:rPr>
          <w:rFonts w:cs="Times New Roman"/>
          <w:szCs w:val="24"/>
        </w:rPr>
        <w:t xml:space="preserve">lid. Alternatively, given that pleadings specific to Article 2 are included in these present submissions to the Court, the State will be afforded an opportunity to defend itself against Article 2 directly at the Court hearing. As such, the matter is admissible before this Court. </w:t>
      </w:r>
    </w:p>
    <w:p w:rsidR="002716CF" w:rsidRPr="002716CF" w:rsidRDefault="002716CF" w:rsidP="00D8178D">
      <w:pPr>
        <w:pStyle w:val="Heading3"/>
        <w:rPr>
          <w:rFonts w:eastAsia="Calibri"/>
        </w:rPr>
      </w:pPr>
      <w:bookmarkStart w:id="7" w:name="_Toc352007825"/>
      <w:r w:rsidRPr="002716CF">
        <w:rPr>
          <w:rFonts w:eastAsia="Calibri"/>
        </w:rPr>
        <w:t>Exhaustion of Domestic Remedies</w:t>
      </w:r>
      <w:bookmarkEnd w:id="7"/>
    </w:p>
    <w:p w:rsidR="002716CF" w:rsidRPr="002716CF" w:rsidRDefault="002716CF" w:rsidP="008571A4">
      <w:pPr>
        <w:spacing w:after="200" w:line="480" w:lineRule="auto"/>
        <w:jc w:val="both"/>
        <w:rPr>
          <w:rFonts w:eastAsia="Calibri" w:cs="Times New Roman"/>
          <w:szCs w:val="24"/>
        </w:rPr>
      </w:pPr>
      <w:r w:rsidRPr="002716CF">
        <w:rPr>
          <w:rFonts w:eastAsia="Calibri" w:cs="Times New Roman"/>
          <w:szCs w:val="24"/>
        </w:rPr>
        <w:t>In order for a petition to be admitted, domestic remedies must be pursued and exhausted in accordance with general principles of international law.</w:t>
      </w:r>
      <w:r w:rsidRPr="002716CF">
        <w:rPr>
          <w:rFonts w:eastAsia="Calibri" w:cs="Times New Roman"/>
          <w:szCs w:val="24"/>
          <w:vertAlign w:val="superscript"/>
        </w:rPr>
        <w:footnoteReference w:id="39"/>
      </w:r>
      <w:r w:rsidRPr="002716CF">
        <w:rPr>
          <w:rFonts w:eastAsia="Calibri" w:cs="Times New Roman"/>
          <w:szCs w:val="24"/>
        </w:rPr>
        <w:t xml:space="preserve"> However, this rule is not absolute and this Court has ruled that it is not sufficient for a domestic remedy to exist formally</w:t>
      </w:r>
      <w:r w:rsidRPr="002716CF">
        <w:rPr>
          <w:rFonts w:eastAsia="Calibri" w:cs="Times New Roman"/>
          <w:szCs w:val="24"/>
          <w:vertAlign w:val="superscript"/>
        </w:rPr>
        <w:footnoteReference w:id="40"/>
      </w:r>
      <w:r w:rsidRPr="002716CF">
        <w:rPr>
          <w:rFonts w:eastAsia="Calibri" w:cs="Times New Roman"/>
          <w:szCs w:val="24"/>
        </w:rPr>
        <w:t xml:space="preserve"> but that it must also be an effective remedy capable of producing the anticipated result.</w:t>
      </w:r>
      <w:r w:rsidRPr="002716CF">
        <w:rPr>
          <w:rFonts w:eastAsia="Calibri" w:cs="Times New Roman"/>
          <w:szCs w:val="24"/>
          <w:vertAlign w:val="superscript"/>
        </w:rPr>
        <w:footnoteReference w:id="41"/>
      </w:r>
      <w:r w:rsidRPr="002716CF">
        <w:rPr>
          <w:rFonts w:eastAsia="Calibri" w:cs="Times New Roman"/>
          <w:szCs w:val="24"/>
        </w:rPr>
        <w:t xml:space="preserve"> A domestic remedy is ineffective where it is of a discretionary nature</w:t>
      </w:r>
      <w:r w:rsidRPr="002716CF">
        <w:rPr>
          <w:rFonts w:eastAsia="Calibri" w:cs="Times New Roman"/>
          <w:szCs w:val="24"/>
          <w:vertAlign w:val="superscript"/>
        </w:rPr>
        <w:footnoteReference w:id="42"/>
      </w:r>
      <w:r w:rsidRPr="002716CF">
        <w:rPr>
          <w:rFonts w:eastAsia="Calibri" w:cs="Times New Roman"/>
          <w:szCs w:val="24"/>
        </w:rPr>
        <w:t xml:space="preserve"> and its procedural availability is </w:t>
      </w:r>
      <w:r w:rsidRPr="002716CF">
        <w:rPr>
          <w:rFonts w:eastAsia="Calibri" w:cs="Times New Roman"/>
          <w:szCs w:val="24"/>
        </w:rPr>
        <w:lastRenderedPageBreak/>
        <w:t>restricted.</w:t>
      </w:r>
      <w:r w:rsidRPr="002716CF">
        <w:rPr>
          <w:rFonts w:eastAsia="Calibri" w:cs="Times New Roman"/>
          <w:szCs w:val="24"/>
          <w:vertAlign w:val="superscript"/>
        </w:rPr>
        <w:footnoteReference w:id="43"/>
      </w:r>
      <w:r w:rsidRPr="002716CF">
        <w:rPr>
          <w:rFonts w:eastAsia="Calibri" w:cs="Times New Roman"/>
          <w:szCs w:val="24"/>
        </w:rPr>
        <w:t xml:space="preserve"> Further, remedies</w:t>
      </w:r>
      <w:r w:rsidR="00ED0137">
        <w:rPr>
          <w:rFonts w:eastAsia="Calibri" w:cs="Times New Roman"/>
          <w:szCs w:val="24"/>
        </w:rPr>
        <w:t>,</w:t>
      </w:r>
      <w:r w:rsidRPr="002716CF">
        <w:rPr>
          <w:rFonts w:eastAsia="Calibri" w:cs="Times New Roman"/>
          <w:szCs w:val="24"/>
        </w:rPr>
        <w:t xml:space="preserve"> which due to general conditions of a country or specific circumstances are rendered illusory</w:t>
      </w:r>
      <w:r w:rsidR="00ED0137">
        <w:rPr>
          <w:rFonts w:eastAsia="Calibri" w:cs="Times New Roman"/>
          <w:szCs w:val="24"/>
        </w:rPr>
        <w:t>,</w:t>
      </w:r>
      <w:r w:rsidRPr="002716CF">
        <w:rPr>
          <w:rFonts w:eastAsia="Calibri" w:cs="Times New Roman"/>
          <w:szCs w:val="24"/>
        </w:rPr>
        <w:t xml:space="preserve"> cannot be deemed effective.</w:t>
      </w:r>
      <w:r w:rsidRPr="002716CF">
        <w:rPr>
          <w:rFonts w:eastAsia="Calibri" w:cs="Times New Roman"/>
          <w:szCs w:val="24"/>
          <w:vertAlign w:val="superscript"/>
        </w:rPr>
        <w:footnoteReference w:id="44"/>
      </w:r>
    </w:p>
    <w:p w:rsidR="002716CF" w:rsidRDefault="002716CF" w:rsidP="008571A4">
      <w:pPr>
        <w:spacing w:after="200" w:line="480" w:lineRule="auto"/>
        <w:jc w:val="both"/>
        <w:rPr>
          <w:rFonts w:eastAsia="Calibri" w:cs="Times New Roman"/>
          <w:szCs w:val="24"/>
        </w:rPr>
      </w:pPr>
      <w:r w:rsidRPr="002716CF">
        <w:rPr>
          <w:rFonts w:eastAsia="Calibri" w:cs="Times New Roman"/>
          <w:szCs w:val="24"/>
        </w:rPr>
        <w:t>The grant of an unconstitutionality action under Article 110 of the Elizabetian Constitution is discretionary in nature, being contingent up the approval of the Office of Human Rights Prosecutor. Further, the procedural availability governing the approval of a request for an unconstitutionality action is restricted and dependent upon legal relevance and political advisability. The notion of political advisability requires an assessment to be made on whether the action is advisable for collective coexistence within the nation.</w:t>
      </w:r>
      <w:r w:rsidR="00ED0137">
        <w:rPr>
          <w:rStyle w:val="FootnoteReference"/>
          <w:rFonts w:eastAsia="Calibri" w:cs="Times New Roman"/>
          <w:szCs w:val="24"/>
        </w:rPr>
        <w:footnoteReference w:id="45"/>
      </w:r>
      <w:r w:rsidR="00ED0137">
        <w:rPr>
          <w:rFonts w:eastAsia="Calibri" w:cs="Times New Roman"/>
          <w:szCs w:val="24"/>
        </w:rPr>
        <w:t xml:space="preserve"> Having regard to: (i) </w:t>
      </w:r>
      <w:r w:rsidR="00597648">
        <w:rPr>
          <w:rFonts w:eastAsia="Calibri" w:cs="Times New Roman"/>
          <w:szCs w:val="24"/>
        </w:rPr>
        <w:t xml:space="preserve">President Goblana del Atelo’s promise </w:t>
      </w:r>
      <w:r w:rsidR="00ED0137">
        <w:rPr>
          <w:rFonts w:eastAsia="Calibri" w:cs="Times New Roman"/>
          <w:szCs w:val="24"/>
        </w:rPr>
        <w:t xml:space="preserve">to preserve marriage as the basis of family; (ii) public opinion poll results </w:t>
      </w:r>
      <w:r w:rsidRPr="002716CF">
        <w:rPr>
          <w:rFonts w:eastAsia="Calibri" w:cs="Times New Roman"/>
          <w:szCs w:val="24"/>
        </w:rPr>
        <w:t xml:space="preserve">disapproving of </w:t>
      </w:r>
      <w:r w:rsidR="00ED0137">
        <w:rPr>
          <w:rFonts w:eastAsia="Calibri" w:cs="Times New Roman"/>
          <w:szCs w:val="24"/>
        </w:rPr>
        <w:t xml:space="preserve">same-sex </w:t>
      </w:r>
      <w:r w:rsidRPr="002716CF">
        <w:rPr>
          <w:rFonts w:eastAsia="Calibri" w:cs="Times New Roman"/>
          <w:szCs w:val="24"/>
        </w:rPr>
        <w:t>domestic partnershi</w:t>
      </w:r>
      <w:r w:rsidR="00ED0137">
        <w:rPr>
          <w:rFonts w:eastAsia="Calibri" w:cs="Times New Roman"/>
          <w:szCs w:val="24"/>
        </w:rPr>
        <w:t xml:space="preserve">ps being equivalent to marriage; </w:t>
      </w:r>
      <w:r w:rsidR="00597648">
        <w:rPr>
          <w:rFonts w:eastAsia="Calibri" w:cs="Times New Roman"/>
          <w:szCs w:val="24"/>
        </w:rPr>
        <w:t xml:space="preserve">and </w:t>
      </w:r>
      <w:r w:rsidR="00ED0137">
        <w:rPr>
          <w:rFonts w:eastAsia="Calibri" w:cs="Times New Roman"/>
          <w:szCs w:val="24"/>
        </w:rPr>
        <w:t xml:space="preserve">(iii) the </w:t>
      </w:r>
      <w:r w:rsidRPr="002716CF">
        <w:rPr>
          <w:rFonts w:eastAsia="Calibri" w:cs="Times New Roman"/>
          <w:szCs w:val="24"/>
        </w:rPr>
        <w:t xml:space="preserve">decision of Court No. 7 </w:t>
      </w:r>
      <w:r w:rsidR="00597648">
        <w:rPr>
          <w:rFonts w:eastAsia="Calibri" w:cs="Times New Roman"/>
          <w:szCs w:val="24"/>
        </w:rPr>
        <w:t>rejecting same-sex marriage as</w:t>
      </w:r>
      <w:r w:rsidRPr="002716CF">
        <w:rPr>
          <w:rFonts w:eastAsia="Calibri" w:cs="Times New Roman"/>
          <w:szCs w:val="24"/>
        </w:rPr>
        <w:t xml:space="preserve"> “a reasonable restriction necessary to preserve the concept of family</w:t>
      </w:r>
      <w:r w:rsidR="00597648">
        <w:rPr>
          <w:rFonts w:eastAsia="Calibri" w:cs="Times New Roman"/>
          <w:szCs w:val="24"/>
        </w:rPr>
        <w:t xml:space="preserve">” raises </w:t>
      </w:r>
      <w:r w:rsidRPr="002716CF">
        <w:rPr>
          <w:rFonts w:eastAsia="Calibri" w:cs="Times New Roman"/>
          <w:szCs w:val="24"/>
        </w:rPr>
        <w:t>a reasonable inference that an unconstitutionality action is illusory in light of the political situation existing in Elizabetia and is therefore ineffective.</w:t>
      </w:r>
    </w:p>
    <w:p w:rsidR="002716CF" w:rsidRPr="002716CF" w:rsidRDefault="002716CF" w:rsidP="008571A4">
      <w:pPr>
        <w:spacing w:after="200" w:line="480" w:lineRule="auto"/>
        <w:jc w:val="both"/>
        <w:rPr>
          <w:rFonts w:eastAsia="Calibri" w:cs="Times New Roman"/>
          <w:szCs w:val="24"/>
        </w:rPr>
      </w:pPr>
      <w:r>
        <w:rPr>
          <w:rFonts w:eastAsia="Calibri" w:cs="Times New Roman"/>
          <w:szCs w:val="24"/>
        </w:rPr>
        <w:t>A</w:t>
      </w:r>
      <w:r w:rsidRPr="002716CF">
        <w:rPr>
          <w:rFonts w:eastAsia="Calibri" w:cs="Times New Roman"/>
          <w:szCs w:val="24"/>
        </w:rPr>
        <w:t>lternatively, this Court has held that given that an unconstitutionality action is an extraordinary recourse whose purpose is to question the constitutionality of a law and not to have a court ruling reviewed, it cannot be included among the domestic remedies that a petitioner is necessarily required to pursue and exhaust.</w:t>
      </w:r>
      <w:r w:rsidRPr="002716CF">
        <w:rPr>
          <w:rFonts w:eastAsia="Calibri" w:cs="Times New Roman"/>
          <w:szCs w:val="24"/>
          <w:vertAlign w:val="superscript"/>
        </w:rPr>
        <w:footnoteReference w:id="46"/>
      </w:r>
      <w:r w:rsidRPr="002716CF">
        <w:rPr>
          <w:rFonts w:eastAsia="Calibri" w:cs="Times New Roman"/>
          <w:szCs w:val="24"/>
        </w:rPr>
        <w:t xml:space="preserve"> The remedies to which Serafina and Adriana had recourse were all pursued with a view to reviewing the court ruling to reject the application for marriage. </w:t>
      </w:r>
      <w:r w:rsidRPr="002716CF">
        <w:rPr>
          <w:rFonts w:eastAsia="Calibri" w:cs="Times New Roman"/>
          <w:szCs w:val="24"/>
        </w:rPr>
        <w:lastRenderedPageBreak/>
        <w:t>Therefore it was not necessary for Serafina and Adriana to pursue and exhaust the unconstitutionality action.</w:t>
      </w:r>
    </w:p>
    <w:p w:rsidR="009819CD" w:rsidRDefault="002D0DC2" w:rsidP="00D8178D">
      <w:pPr>
        <w:pStyle w:val="Heading3"/>
        <w:rPr>
          <w:rFonts w:eastAsia="Calibri"/>
        </w:rPr>
      </w:pPr>
      <w:bookmarkStart w:id="8" w:name="_Toc352007826"/>
      <w:r w:rsidRPr="007C25C9">
        <w:t>The Submission of the Petition</w:t>
      </w:r>
      <w:bookmarkEnd w:id="8"/>
    </w:p>
    <w:p w:rsidR="00597648" w:rsidRDefault="002D0DC2" w:rsidP="00597648">
      <w:pPr>
        <w:spacing w:after="200" w:line="480" w:lineRule="auto"/>
        <w:jc w:val="both"/>
        <w:rPr>
          <w:rFonts w:eastAsia="Calibri" w:cs="Times New Roman"/>
          <w:szCs w:val="24"/>
        </w:rPr>
      </w:pPr>
      <w:r>
        <w:rPr>
          <w:rFonts w:cs="Times New Roman"/>
          <w:szCs w:val="24"/>
        </w:rPr>
        <w:t xml:space="preserve">The submission of </w:t>
      </w:r>
      <w:r w:rsidR="005A4694">
        <w:rPr>
          <w:rFonts w:cs="Times New Roman"/>
          <w:szCs w:val="24"/>
        </w:rPr>
        <w:t>Petition P-600-12</w:t>
      </w:r>
      <w:r>
        <w:rPr>
          <w:rFonts w:cs="Times New Roman"/>
          <w:szCs w:val="24"/>
        </w:rPr>
        <w:t xml:space="preserve"> to the Commission prior to the date on wh</w:t>
      </w:r>
      <w:r w:rsidR="005A4694">
        <w:rPr>
          <w:rFonts w:cs="Times New Roman"/>
          <w:szCs w:val="24"/>
        </w:rPr>
        <w:t>ich a final domestic judgment was</w:t>
      </w:r>
      <w:r>
        <w:rPr>
          <w:rFonts w:cs="Times New Roman"/>
          <w:szCs w:val="24"/>
        </w:rPr>
        <w:t xml:space="preserve"> rendered does not bar the admissibility of the present case. The date on which a petition is submitted by the complainant is different from the admission and processing of </w:t>
      </w:r>
      <w:r w:rsidR="00F04DBB">
        <w:rPr>
          <w:rFonts w:cs="Times New Roman"/>
          <w:szCs w:val="24"/>
        </w:rPr>
        <w:t>said petition by the Commission.</w:t>
      </w:r>
      <w:r>
        <w:rPr>
          <w:rStyle w:val="FootnoteReference"/>
          <w:rFonts w:cs="Times New Roman"/>
          <w:szCs w:val="24"/>
        </w:rPr>
        <w:footnoteReference w:id="47"/>
      </w:r>
      <w:r>
        <w:rPr>
          <w:rFonts w:cs="Times New Roman"/>
          <w:szCs w:val="24"/>
        </w:rPr>
        <w:t xml:space="preserve"> </w:t>
      </w:r>
      <w:r w:rsidR="00B77BB3">
        <w:rPr>
          <w:rFonts w:cs="Times New Roman"/>
          <w:szCs w:val="24"/>
        </w:rPr>
        <w:t xml:space="preserve">The Commission evaluates the admissibility of a petition </w:t>
      </w:r>
      <w:r w:rsidR="000D0504">
        <w:rPr>
          <w:rFonts w:cs="Times New Roman"/>
          <w:szCs w:val="24"/>
        </w:rPr>
        <w:t xml:space="preserve">at the </w:t>
      </w:r>
      <w:r w:rsidR="00A904C8">
        <w:rPr>
          <w:rFonts w:cs="Times New Roman"/>
          <w:szCs w:val="24"/>
        </w:rPr>
        <w:t xml:space="preserve">time it </w:t>
      </w:r>
      <w:r w:rsidR="005A4694">
        <w:rPr>
          <w:rFonts w:cs="Times New Roman"/>
          <w:szCs w:val="24"/>
        </w:rPr>
        <w:t>is analyzed</w:t>
      </w:r>
      <w:r w:rsidR="00A904C8">
        <w:rPr>
          <w:rFonts w:cs="Times New Roman"/>
          <w:szCs w:val="24"/>
        </w:rPr>
        <w:t xml:space="preserve">, </w:t>
      </w:r>
      <w:r w:rsidR="00B77BB3">
        <w:rPr>
          <w:rFonts w:cs="Times New Roman"/>
          <w:szCs w:val="24"/>
        </w:rPr>
        <w:t>not at the time the petition is filed.</w:t>
      </w:r>
      <w:r w:rsidR="00B77BB3">
        <w:rPr>
          <w:rStyle w:val="FootnoteReference"/>
          <w:rFonts w:cs="Times New Roman"/>
          <w:szCs w:val="24"/>
        </w:rPr>
        <w:footnoteReference w:id="48"/>
      </w:r>
      <w:r w:rsidR="00B77BB3">
        <w:rPr>
          <w:rFonts w:cs="Times New Roman"/>
          <w:szCs w:val="24"/>
        </w:rPr>
        <w:t xml:space="preserve"> In the present case, </w:t>
      </w:r>
      <w:r>
        <w:rPr>
          <w:rFonts w:cs="Times New Roman"/>
          <w:szCs w:val="24"/>
        </w:rPr>
        <w:t>the requisite domestic reme</w:t>
      </w:r>
      <w:r w:rsidR="000D0504">
        <w:rPr>
          <w:rFonts w:cs="Times New Roman"/>
          <w:szCs w:val="24"/>
        </w:rPr>
        <w:t>dies had already been exhausted by the time admissibility was determined by the Commission.</w:t>
      </w:r>
      <w:r>
        <w:rPr>
          <w:rStyle w:val="FootnoteReference"/>
          <w:rFonts w:cs="Times New Roman"/>
          <w:szCs w:val="24"/>
        </w:rPr>
        <w:footnoteReference w:id="49"/>
      </w:r>
      <w:r>
        <w:rPr>
          <w:rFonts w:cs="Times New Roman"/>
          <w:szCs w:val="24"/>
        </w:rPr>
        <w:t xml:space="preserve">  </w:t>
      </w:r>
    </w:p>
    <w:p w:rsidR="002D0DC2" w:rsidRPr="00597648" w:rsidRDefault="00A904C8" w:rsidP="00597648">
      <w:pPr>
        <w:spacing w:after="200" w:line="480" w:lineRule="auto"/>
        <w:jc w:val="both"/>
        <w:rPr>
          <w:rFonts w:eastAsia="Calibri" w:cs="Times New Roman"/>
          <w:szCs w:val="24"/>
        </w:rPr>
      </w:pPr>
      <w:r>
        <w:rPr>
          <w:rFonts w:cs="Times New Roman"/>
          <w:szCs w:val="24"/>
        </w:rPr>
        <w:t>Further</w:t>
      </w:r>
      <w:r w:rsidR="000F6982">
        <w:rPr>
          <w:rFonts w:cs="Times New Roman"/>
          <w:szCs w:val="24"/>
        </w:rPr>
        <w:t>, t</w:t>
      </w:r>
      <w:r w:rsidR="002D0DC2">
        <w:rPr>
          <w:rFonts w:cs="Times New Roman"/>
          <w:szCs w:val="24"/>
        </w:rPr>
        <w:t xml:space="preserve">he commencement of petition processing 6 days before the final </w:t>
      </w:r>
      <w:r w:rsidR="000F6982">
        <w:rPr>
          <w:rFonts w:cs="Times New Roman"/>
          <w:szCs w:val="24"/>
        </w:rPr>
        <w:t xml:space="preserve">domestic </w:t>
      </w:r>
      <w:r w:rsidR="002D0DC2">
        <w:rPr>
          <w:rFonts w:cs="Times New Roman"/>
          <w:szCs w:val="24"/>
        </w:rPr>
        <w:t xml:space="preserve">judgment does not render the case inadmissible before this Court. The Commission deemed the petition as necessitating </w:t>
      </w:r>
      <w:r w:rsidR="00F04DBB">
        <w:rPr>
          <w:rFonts w:cs="Times New Roman"/>
          <w:szCs w:val="24"/>
        </w:rPr>
        <w:t>‘</w:t>
      </w:r>
      <w:r w:rsidR="002D0DC2">
        <w:rPr>
          <w:rFonts w:cs="Times New Roman"/>
          <w:szCs w:val="24"/>
        </w:rPr>
        <w:t>priority initial review</w:t>
      </w:r>
      <w:r w:rsidR="00F04DBB">
        <w:rPr>
          <w:rFonts w:cs="Times New Roman"/>
          <w:szCs w:val="24"/>
        </w:rPr>
        <w:t>’</w:t>
      </w:r>
      <w:r w:rsidR="002D0DC2">
        <w:rPr>
          <w:rFonts w:cs="Times New Roman"/>
          <w:szCs w:val="24"/>
        </w:rPr>
        <w:t xml:space="preserve">, the </w:t>
      </w:r>
      <w:r w:rsidR="002D0DC2" w:rsidRPr="0061398A">
        <w:rPr>
          <w:rFonts w:cs="Times New Roman"/>
          <w:i/>
          <w:szCs w:val="24"/>
        </w:rPr>
        <w:t>per saltum</w:t>
      </w:r>
      <w:r w:rsidR="002D0DC2">
        <w:rPr>
          <w:rFonts w:cs="Times New Roman"/>
          <w:i/>
          <w:szCs w:val="24"/>
        </w:rPr>
        <w:t xml:space="preserve"> </w:t>
      </w:r>
      <w:r w:rsidR="002D0DC2">
        <w:rPr>
          <w:rFonts w:cs="Times New Roman"/>
          <w:szCs w:val="24"/>
        </w:rPr>
        <w:t xml:space="preserve">mechanism, which is a </w:t>
      </w:r>
      <w:r w:rsidR="000F6982">
        <w:rPr>
          <w:rFonts w:cs="Times New Roman"/>
          <w:szCs w:val="24"/>
        </w:rPr>
        <w:t>procedure</w:t>
      </w:r>
      <w:r w:rsidR="002D0DC2">
        <w:rPr>
          <w:rFonts w:cs="Times New Roman"/>
          <w:szCs w:val="24"/>
        </w:rPr>
        <w:t xml:space="preserve"> facilitating the expeditious processing of petitions in cases which present structural implications.</w:t>
      </w:r>
      <w:r w:rsidR="002D0DC2">
        <w:rPr>
          <w:rStyle w:val="FootnoteReference"/>
          <w:rFonts w:cs="Times New Roman"/>
          <w:szCs w:val="24"/>
        </w:rPr>
        <w:footnoteReference w:id="50"/>
      </w:r>
      <w:r w:rsidR="002D0DC2">
        <w:rPr>
          <w:rFonts w:cs="Times New Roman"/>
          <w:szCs w:val="24"/>
        </w:rPr>
        <w:t xml:space="preserve"> The Commission has declared that petitions involving violations relating to sexual orientation and gender identity have such structural implications.</w:t>
      </w:r>
      <w:r w:rsidR="002D0DC2">
        <w:rPr>
          <w:rStyle w:val="FootnoteReference"/>
          <w:rFonts w:cs="Times New Roman"/>
          <w:szCs w:val="24"/>
        </w:rPr>
        <w:footnoteReference w:id="51"/>
      </w:r>
      <w:r w:rsidR="002D0DC2">
        <w:rPr>
          <w:rFonts w:cs="Times New Roman"/>
          <w:szCs w:val="24"/>
        </w:rPr>
        <w:t xml:space="preserve"> </w:t>
      </w:r>
      <w:r w:rsidR="000F6982">
        <w:rPr>
          <w:rFonts w:cs="Times New Roman"/>
          <w:szCs w:val="24"/>
        </w:rPr>
        <w:t xml:space="preserve">As such, the present case </w:t>
      </w:r>
      <w:r w:rsidR="00991760">
        <w:rPr>
          <w:rFonts w:cs="Times New Roman"/>
          <w:szCs w:val="24"/>
        </w:rPr>
        <w:t xml:space="preserve">validly </w:t>
      </w:r>
      <w:r w:rsidR="000F6982">
        <w:rPr>
          <w:rFonts w:cs="Times New Roman"/>
          <w:szCs w:val="24"/>
        </w:rPr>
        <w:t xml:space="preserve">qualified for the expedited review. </w:t>
      </w:r>
    </w:p>
    <w:p w:rsidR="00446642" w:rsidRDefault="00446642" w:rsidP="001674E8">
      <w:pPr>
        <w:pStyle w:val="Heading2"/>
        <w:numPr>
          <w:ilvl w:val="0"/>
          <w:numId w:val="3"/>
        </w:numPr>
        <w:rPr>
          <w:rFonts w:eastAsia="Calibri"/>
        </w:rPr>
      </w:pPr>
      <w:bookmarkStart w:id="9" w:name="_Toc352007827"/>
      <w:r w:rsidRPr="00870FAF">
        <w:rPr>
          <w:rFonts w:eastAsia="Calibri"/>
        </w:rPr>
        <w:t>REQUEST FOR PROVISIONAL MEASURES</w:t>
      </w:r>
      <w:bookmarkEnd w:id="9"/>
      <w:r w:rsidRPr="00870FAF">
        <w:rPr>
          <w:rFonts w:eastAsia="Calibri"/>
        </w:rPr>
        <w:t xml:space="preserve"> </w:t>
      </w:r>
    </w:p>
    <w:p w:rsidR="00E71640" w:rsidRPr="00E71640" w:rsidRDefault="00E71640" w:rsidP="00E71640"/>
    <w:p w:rsidR="002716CF" w:rsidRPr="002716CF" w:rsidRDefault="00247A12" w:rsidP="008571A4">
      <w:pPr>
        <w:spacing w:after="200" w:line="480" w:lineRule="auto"/>
        <w:jc w:val="both"/>
        <w:rPr>
          <w:rFonts w:eastAsia="Calibri" w:cs="Times New Roman"/>
          <w:szCs w:val="24"/>
        </w:rPr>
      </w:pPr>
      <w:r>
        <w:rPr>
          <w:rFonts w:eastAsia="Calibri" w:cs="Times New Roman"/>
          <w:szCs w:val="24"/>
        </w:rPr>
        <w:lastRenderedPageBreak/>
        <w:t>This</w:t>
      </w:r>
      <w:r w:rsidR="002716CF" w:rsidRPr="002716CF">
        <w:rPr>
          <w:rFonts w:eastAsia="Calibri" w:cs="Times New Roman"/>
          <w:szCs w:val="24"/>
        </w:rPr>
        <w:t xml:space="preserve"> Court has the power to order provisional measures in cases </w:t>
      </w:r>
      <w:r w:rsidR="00C4160D">
        <w:rPr>
          <w:rFonts w:eastAsia="Calibri" w:cs="Times New Roman"/>
          <w:szCs w:val="24"/>
        </w:rPr>
        <w:t xml:space="preserve">where the facts establish a </w:t>
      </w:r>
      <w:r w:rsidR="00C4160D" w:rsidRPr="00C4160D">
        <w:rPr>
          <w:rFonts w:eastAsia="Calibri" w:cs="Times New Roman"/>
          <w:i/>
          <w:szCs w:val="24"/>
        </w:rPr>
        <w:t>prima facie</w:t>
      </w:r>
      <w:r w:rsidR="00C4160D">
        <w:rPr>
          <w:rFonts w:eastAsia="Calibri" w:cs="Times New Roman"/>
          <w:szCs w:val="24"/>
        </w:rPr>
        <w:t xml:space="preserve"> situation of extreme gravity and urgency, and where irreparable damage is likely to occur</w:t>
      </w:r>
      <w:r w:rsidR="002716CF" w:rsidRPr="002716CF">
        <w:rPr>
          <w:rFonts w:eastAsia="Calibri" w:cs="Times New Roman"/>
          <w:szCs w:val="24"/>
        </w:rPr>
        <w:t>.</w:t>
      </w:r>
      <w:r w:rsidR="002716CF" w:rsidRPr="002716CF">
        <w:rPr>
          <w:rFonts w:eastAsia="Calibri" w:cs="Times New Roman"/>
          <w:szCs w:val="24"/>
          <w:vertAlign w:val="superscript"/>
        </w:rPr>
        <w:footnoteReference w:id="52"/>
      </w:r>
      <w:r w:rsidR="002716CF" w:rsidRPr="002716CF">
        <w:rPr>
          <w:rFonts w:eastAsia="Calibri" w:cs="Times New Roman"/>
          <w:szCs w:val="24"/>
        </w:rPr>
        <w:t xml:space="preserve"> Further, the granting of provisional measures is not only done with a view to preserving the legal situation but also protect human rights by seeking to prevent irreparable damage to persons.</w:t>
      </w:r>
      <w:r w:rsidR="002716CF" w:rsidRPr="002716CF">
        <w:rPr>
          <w:rFonts w:eastAsia="Calibri" w:cs="Times New Roman"/>
          <w:szCs w:val="24"/>
          <w:vertAlign w:val="superscript"/>
        </w:rPr>
        <w:footnoteReference w:id="53"/>
      </w:r>
      <w:r w:rsidR="002716CF" w:rsidRPr="002716CF">
        <w:rPr>
          <w:rFonts w:eastAsia="Calibri" w:cs="Times New Roman"/>
          <w:szCs w:val="24"/>
        </w:rPr>
        <w:t xml:space="preserve"> It is submitted therefore in light of the existing urgent health situation that provisional measures be granted to prevent irreparable damage to Adriana’s right to privacy and humane treatment</w:t>
      </w:r>
    </w:p>
    <w:p w:rsidR="002716CF" w:rsidRDefault="002716CF" w:rsidP="00D8178D">
      <w:pPr>
        <w:pStyle w:val="Heading3"/>
        <w:rPr>
          <w:rFonts w:eastAsia="Calibri"/>
        </w:rPr>
      </w:pPr>
      <w:bookmarkStart w:id="10" w:name="_Toc352007828"/>
      <w:r w:rsidRPr="002716CF">
        <w:rPr>
          <w:rFonts w:eastAsia="Calibri"/>
        </w:rPr>
        <w:t>Extreme gravity</w:t>
      </w:r>
      <w:bookmarkEnd w:id="10"/>
    </w:p>
    <w:p w:rsidR="00EE657C" w:rsidRDefault="002716CF" w:rsidP="008571A4">
      <w:pPr>
        <w:spacing w:after="200" w:line="480" w:lineRule="auto"/>
        <w:jc w:val="both"/>
        <w:rPr>
          <w:rFonts w:eastAsia="Calibri" w:cs="Times New Roman"/>
          <w:szCs w:val="24"/>
        </w:rPr>
      </w:pPr>
      <w:r w:rsidRPr="002716CF">
        <w:rPr>
          <w:rFonts w:eastAsia="Calibri" w:cs="Times New Roman"/>
          <w:szCs w:val="24"/>
        </w:rPr>
        <w:t>In order to establish a situation of extreme gravity, regard must be had to the specific context within which the threat occurs and it must also be evident that if the fundamental rights afforded to an individual under the ACHR are compromised by these kinds of threats; “the context is in principle one that merits considering the adoption of protective measures.”</w:t>
      </w:r>
      <w:r w:rsidRPr="002716CF">
        <w:rPr>
          <w:rFonts w:eastAsia="Calibri" w:cs="Times New Roman"/>
          <w:szCs w:val="24"/>
          <w:vertAlign w:val="superscript"/>
        </w:rPr>
        <w:footnoteReference w:id="54"/>
      </w:r>
    </w:p>
    <w:p w:rsidR="002716CF" w:rsidRDefault="002716CF" w:rsidP="008571A4">
      <w:pPr>
        <w:spacing w:after="200" w:line="480" w:lineRule="auto"/>
        <w:jc w:val="both"/>
        <w:rPr>
          <w:rFonts w:eastAsia="Calibri" w:cs="Times New Roman"/>
          <w:szCs w:val="24"/>
        </w:rPr>
      </w:pPr>
      <w:r w:rsidRPr="002716CF">
        <w:rPr>
          <w:rFonts w:eastAsia="Calibri" w:cs="Times New Roman"/>
          <w:szCs w:val="24"/>
        </w:rPr>
        <w:t xml:space="preserve">This requirement of extreme gravity is satisfied by the fact that Adriana is in a comatose state resulting from a ruptured congenital cerebral aneurysm and internal hemorrhaging and is currently in the intensive care unit. If Serafina does not provide consent Adriana will suffer from, </w:t>
      </w:r>
      <w:r w:rsidRPr="002716CF">
        <w:rPr>
          <w:rFonts w:eastAsia="Calibri" w:cs="Times New Roman"/>
          <w:i/>
          <w:szCs w:val="24"/>
        </w:rPr>
        <w:t>inter alia</w:t>
      </w:r>
      <w:r w:rsidRPr="002716CF">
        <w:rPr>
          <w:rFonts w:eastAsia="Calibri" w:cs="Times New Roman"/>
          <w:szCs w:val="24"/>
        </w:rPr>
        <w:t>, anterograde amnesia.</w:t>
      </w:r>
    </w:p>
    <w:p w:rsidR="002716CF" w:rsidRPr="002716CF" w:rsidRDefault="002716CF" w:rsidP="00D8178D">
      <w:pPr>
        <w:pStyle w:val="Heading3"/>
        <w:rPr>
          <w:rFonts w:eastAsia="Calibri"/>
        </w:rPr>
      </w:pPr>
      <w:bookmarkStart w:id="11" w:name="_Toc352007829"/>
      <w:r w:rsidRPr="002716CF">
        <w:rPr>
          <w:rFonts w:eastAsia="Calibri"/>
        </w:rPr>
        <w:t>Urgency</w:t>
      </w:r>
      <w:bookmarkEnd w:id="11"/>
    </w:p>
    <w:p w:rsidR="002716CF" w:rsidRPr="002716CF" w:rsidRDefault="002716CF" w:rsidP="008571A4">
      <w:pPr>
        <w:spacing w:after="200" w:line="480" w:lineRule="auto"/>
        <w:jc w:val="both"/>
        <w:rPr>
          <w:rFonts w:eastAsia="Calibri" w:cs="Times New Roman"/>
          <w:szCs w:val="24"/>
        </w:rPr>
      </w:pPr>
      <w:r w:rsidRPr="002716CF">
        <w:rPr>
          <w:rFonts w:eastAsia="Calibri" w:cs="Times New Roman"/>
          <w:szCs w:val="24"/>
        </w:rPr>
        <w:t xml:space="preserve">The </w:t>
      </w:r>
      <w:r w:rsidRPr="002716CF">
        <w:rPr>
          <w:rFonts w:eastAsia="Calibri" w:cs="Times New Roman"/>
          <w:i/>
          <w:szCs w:val="24"/>
        </w:rPr>
        <w:t>corpus juris</w:t>
      </w:r>
      <w:r w:rsidRPr="002716CF">
        <w:rPr>
          <w:rFonts w:eastAsia="Calibri" w:cs="Times New Roman"/>
          <w:szCs w:val="24"/>
        </w:rPr>
        <w:t xml:space="preserve"> of this Court indicates that “the urgency required for the adoption of provisional measures alludes to the special and exceptional situations that require and merit immediate </w:t>
      </w:r>
      <w:r w:rsidRPr="002716CF">
        <w:rPr>
          <w:rFonts w:eastAsia="Calibri" w:cs="Times New Roman"/>
          <w:szCs w:val="24"/>
        </w:rPr>
        <w:lastRenderedPageBreak/>
        <w:t>actions and responses oriented toward averting the threat.”</w:t>
      </w:r>
      <w:r w:rsidRPr="002716CF">
        <w:rPr>
          <w:rFonts w:eastAsia="Calibri" w:cs="Times New Roman"/>
          <w:szCs w:val="24"/>
          <w:vertAlign w:val="superscript"/>
        </w:rPr>
        <w:footnoteReference w:id="55"/>
      </w:r>
      <w:r w:rsidRPr="002716CF">
        <w:rPr>
          <w:rFonts w:eastAsia="Calibri" w:cs="Times New Roman"/>
          <w:szCs w:val="24"/>
        </w:rPr>
        <w:t xml:space="preserve"> It was further noted that, “the response must, above all, be immediate and, in principle, timely in order to address such a situation, as a lack of response would in itself imply a danger.”</w:t>
      </w:r>
      <w:r w:rsidRPr="002716CF">
        <w:rPr>
          <w:rFonts w:eastAsia="Calibri" w:cs="Times New Roman"/>
          <w:szCs w:val="24"/>
          <w:vertAlign w:val="superscript"/>
        </w:rPr>
        <w:footnoteReference w:id="56"/>
      </w:r>
    </w:p>
    <w:p w:rsidR="002716CF" w:rsidRPr="002716CF" w:rsidRDefault="002716CF" w:rsidP="008571A4">
      <w:pPr>
        <w:spacing w:after="200" w:line="480" w:lineRule="auto"/>
        <w:jc w:val="both"/>
        <w:rPr>
          <w:rFonts w:eastAsia="Calibri" w:cs="Times New Roman"/>
          <w:szCs w:val="24"/>
        </w:rPr>
      </w:pPr>
      <w:r w:rsidRPr="002716CF">
        <w:rPr>
          <w:rFonts w:eastAsia="Calibri" w:cs="Times New Roman"/>
          <w:szCs w:val="24"/>
        </w:rPr>
        <w:t xml:space="preserve"> The intracranial surgery must be performed within one week at the most and requires the consent of a spouse or relative. If no one is able to provide consent within five days the decision will go to the Regional Medical Board which has invariably ruled against intracranial surgery in circumstances comparable to Adriana’s. The requirement of urgency is further satisfied by the near impossibility of finding a relative of Adriana to provide informed consent within five days.</w:t>
      </w:r>
    </w:p>
    <w:p w:rsidR="002716CF" w:rsidRPr="002716CF" w:rsidRDefault="002716CF" w:rsidP="00D8178D">
      <w:pPr>
        <w:pStyle w:val="Heading3"/>
        <w:rPr>
          <w:rFonts w:eastAsia="Calibri"/>
        </w:rPr>
      </w:pPr>
      <w:bookmarkStart w:id="12" w:name="_Toc352007830"/>
      <w:r w:rsidRPr="002716CF">
        <w:rPr>
          <w:rFonts w:eastAsia="Calibri"/>
        </w:rPr>
        <w:t>Irreparable Damage</w:t>
      </w:r>
      <w:bookmarkEnd w:id="12"/>
    </w:p>
    <w:p w:rsidR="00597648" w:rsidRDefault="002716CF" w:rsidP="008571A4">
      <w:pPr>
        <w:spacing w:after="200" w:line="480" w:lineRule="auto"/>
        <w:jc w:val="both"/>
        <w:rPr>
          <w:rFonts w:eastAsia="Calibri" w:cs="Times New Roman"/>
          <w:szCs w:val="24"/>
        </w:rPr>
      </w:pPr>
      <w:r w:rsidRPr="002716CF">
        <w:rPr>
          <w:rFonts w:eastAsia="Calibri" w:cs="Times New Roman"/>
          <w:szCs w:val="24"/>
        </w:rPr>
        <w:t>In order to fulfil this requirement it must be proved that not only will the damage or injury that is to be avoided by provisional measures be irreparable but also that there is a reasonable probability that the damage will occur.</w:t>
      </w:r>
      <w:r w:rsidRPr="002716CF">
        <w:rPr>
          <w:rFonts w:eastAsia="Calibri" w:cs="Times New Roman"/>
          <w:szCs w:val="24"/>
          <w:vertAlign w:val="superscript"/>
        </w:rPr>
        <w:footnoteReference w:id="57"/>
      </w:r>
      <w:r w:rsidRPr="002716CF">
        <w:rPr>
          <w:rFonts w:eastAsia="Calibri" w:cs="Times New Roman"/>
          <w:szCs w:val="24"/>
        </w:rPr>
        <w:t xml:space="preserve"> The irreparable damage that will result from the Court’s refusal to grant precautionary measures will be that Adriana will suffer from anterograde amnesia. The “near certainty” that Adriana would experience anterograde amnesia if the surgery does not occur satisfies the requirement of reasonable probability of damage. </w:t>
      </w:r>
    </w:p>
    <w:p w:rsidR="00C4160D" w:rsidRDefault="002716CF" w:rsidP="008571A4">
      <w:pPr>
        <w:spacing w:after="200" w:line="480" w:lineRule="auto"/>
        <w:jc w:val="both"/>
        <w:rPr>
          <w:rFonts w:eastAsia="Calibri" w:cs="Times New Roman"/>
          <w:szCs w:val="24"/>
        </w:rPr>
      </w:pPr>
      <w:r w:rsidRPr="002716CF">
        <w:rPr>
          <w:rFonts w:eastAsia="Calibri" w:cs="Times New Roman"/>
          <w:szCs w:val="24"/>
        </w:rPr>
        <w:t>Further this Court has maintained that provisional measures can be granted to protect the emotional, moral, and psychological integrity of persons from irreparable damage.</w:t>
      </w:r>
      <w:r w:rsidRPr="002716CF">
        <w:rPr>
          <w:rFonts w:eastAsia="Calibri" w:cs="Times New Roman"/>
          <w:szCs w:val="24"/>
          <w:vertAlign w:val="superscript"/>
        </w:rPr>
        <w:footnoteReference w:id="58"/>
      </w:r>
      <w:r w:rsidRPr="002716CF">
        <w:rPr>
          <w:rFonts w:eastAsia="Calibri" w:cs="Times New Roman"/>
          <w:szCs w:val="24"/>
        </w:rPr>
        <w:t xml:space="preserve">  Privacy under the ECHR has been interpreted to cover the physical and psychological integrity of an </w:t>
      </w:r>
      <w:r w:rsidRPr="002716CF">
        <w:rPr>
          <w:rFonts w:eastAsia="Calibri" w:cs="Times New Roman"/>
          <w:szCs w:val="24"/>
        </w:rPr>
        <w:lastRenderedPageBreak/>
        <w:t>individual.</w:t>
      </w:r>
      <w:r w:rsidRPr="002716CF">
        <w:rPr>
          <w:rFonts w:eastAsia="Calibri" w:cs="Times New Roman"/>
          <w:szCs w:val="24"/>
          <w:vertAlign w:val="superscript"/>
        </w:rPr>
        <w:footnoteReference w:id="59"/>
      </w:r>
      <w:r w:rsidRPr="002716CF">
        <w:rPr>
          <w:rFonts w:eastAsia="Calibri" w:cs="Times New Roman"/>
          <w:szCs w:val="24"/>
        </w:rPr>
        <w:t xml:space="preserve"> In </w:t>
      </w:r>
      <w:r w:rsidRPr="002716CF">
        <w:rPr>
          <w:rFonts w:eastAsia="Calibri" w:cs="Times New Roman"/>
          <w:i/>
          <w:szCs w:val="24"/>
        </w:rPr>
        <w:t>Y.F. v Turkey</w:t>
      </w:r>
      <w:r w:rsidRPr="002716CF">
        <w:rPr>
          <w:rFonts w:eastAsia="Calibri" w:cs="Times New Roman"/>
          <w:szCs w:val="24"/>
        </w:rPr>
        <w:t>,</w:t>
      </w:r>
      <w:r w:rsidRPr="002716CF">
        <w:rPr>
          <w:rFonts w:eastAsia="Calibri" w:cs="Times New Roman"/>
          <w:szCs w:val="24"/>
          <w:vertAlign w:val="superscript"/>
        </w:rPr>
        <w:footnoteReference w:id="60"/>
      </w:r>
      <w:r w:rsidRPr="002716CF">
        <w:rPr>
          <w:rFonts w:eastAsia="Calibri" w:cs="Times New Roman"/>
          <w:szCs w:val="24"/>
        </w:rPr>
        <w:t xml:space="preserve"> </w:t>
      </w:r>
      <w:r w:rsidR="00C4160D">
        <w:rPr>
          <w:rFonts w:eastAsia="Calibri" w:cs="Times New Roman"/>
          <w:szCs w:val="24"/>
        </w:rPr>
        <w:t xml:space="preserve">the ECtHR </w:t>
      </w:r>
      <w:r w:rsidRPr="002716CF">
        <w:rPr>
          <w:rFonts w:eastAsia="Calibri" w:cs="Times New Roman"/>
          <w:szCs w:val="24"/>
        </w:rPr>
        <w:t>held that a person’s body is linked to the most intimate aspect of private life and that compulsory medical intervention, however minor, constitutes an interf</w:t>
      </w:r>
      <w:r w:rsidR="00C4160D">
        <w:rPr>
          <w:rFonts w:eastAsia="Calibri" w:cs="Times New Roman"/>
          <w:szCs w:val="24"/>
        </w:rPr>
        <w:t>erence with the right to privacy</w:t>
      </w:r>
      <w:r w:rsidRPr="002716CF">
        <w:rPr>
          <w:rFonts w:eastAsia="Calibri" w:cs="Times New Roman"/>
          <w:szCs w:val="24"/>
        </w:rPr>
        <w:t xml:space="preserve">. Article 11 of the ACHR which is similar to Article 8 of the </w:t>
      </w:r>
      <w:r w:rsidR="00597648">
        <w:rPr>
          <w:rFonts w:eastAsia="Calibri" w:cs="Times New Roman"/>
          <w:szCs w:val="24"/>
        </w:rPr>
        <w:t>European Convention on Human Rights</w:t>
      </w:r>
      <w:r w:rsidR="00820DC0">
        <w:rPr>
          <w:rFonts w:eastAsia="Calibri" w:cs="Times New Roman"/>
          <w:szCs w:val="24"/>
        </w:rPr>
        <w:fldChar w:fldCharType="begin"/>
      </w:r>
      <w:r w:rsidR="00A849FD">
        <w:instrText xml:space="preserve"> TA \l "Convention for the Protection of Human Rights and Fundamental Freedoms, 213 U.N.T.S. 222, entered into force September 3, 1953" \c 4 </w:instrText>
      </w:r>
      <w:r w:rsidR="00820DC0">
        <w:rPr>
          <w:rFonts w:eastAsia="Calibri" w:cs="Times New Roman"/>
          <w:szCs w:val="24"/>
        </w:rPr>
        <w:fldChar w:fldCharType="end"/>
      </w:r>
      <w:r w:rsidR="00597648">
        <w:rPr>
          <w:rFonts w:eastAsia="Calibri" w:cs="Times New Roman"/>
          <w:szCs w:val="24"/>
        </w:rPr>
        <w:t xml:space="preserve"> (“ECHR”) </w:t>
      </w:r>
      <w:r w:rsidR="00C4160D">
        <w:rPr>
          <w:rFonts w:eastAsia="Calibri" w:cs="Times New Roman"/>
          <w:szCs w:val="24"/>
        </w:rPr>
        <w:t>should</w:t>
      </w:r>
      <w:r w:rsidRPr="002716CF">
        <w:rPr>
          <w:rFonts w:eastAsia="Calibri" w:cs="Times New Roman"/>
          <w:szCs w:val="24"/>
        </w:rPr>
        <w:t xml:space="preserve"> therefore be interpreted to include the physical and psychological integrity of an individual. The ACHR goes a step further than the ECHR through the existence of Article 5.1</w:t>
      </w:r>
      <w:r w:rsidR="00820DC0">
        <w:rPr>
          <w:rFonts w:eastAsia="Calibri" w:cs="Times New Roman"/>
          <w:szCs w:val="24"/>
        </w:rPr>
        <w:fldChar w:fldCharType="begin"/>
      </w:r>
      <w:r w:rsidR="000274FD">
        <w:instrText xml:space="preserve"> TA \l "</w:instrText>
      </w:r>
      <w:r w:rsidR="000274FD" w:rsidRPr="00E64026">
        <w:rPr>
          <w:rFonts w:eastAsia="Calibri" w:cs="Times New Roman"/>
          <w:szCs w:val="24"/>
        </w:rPr>
        <w:instrText>Article 5.1</w:instrText>
      </w:r>
      <w:r w:rsidR="000274FD">
        <w:instrText xml:space="preserve">" \s "Article 5.1" \c 5 </w:instrText>
      </w:r>
      <w:r w:rsidR="00820DC0">
        <w:rPr>
          <w:rFonts w:eastAsia="Calibri" w:cs="Times New Roman"/>
          <w:szCs w:val="24"/>
        </w:rPr>
        <w:fldChar w:fldCharType="end"/>
      </w:r>
      <w:r w:rsidRPr="002716CF">
        <w:rPr>
          <w:rFonts w:eastAsia="Calibri" w:cs="Times New Roman"/>
          <w:szCs w:val="24"/>
        </w:rPr>
        <w:t xml:space="preserve"> of the ACHR which affords every person the right to have his physical, mental and moral integrity respected. In the circumstances of the present case, Adriana had indicated her choice to undergo intracranial surgery on several occasions prior to her entering into a comatose state</w:t>
      </w:r>
      <w:r w:rsidR="00C4160D">
        <w:rPr>
          <w:rFonts w:eastAsia="Calibri" w:cs="Times New Roman"/>
          <w:szCs w:val="24"/>
        </w:rPr>
        <w:t>.</w:t>
      </w:r>
      <w:r w:rsidRPr="002716CF">
        <w:rPr>
          <w:rFonts w:eastAsia="Calibri" w:cs="Times New Roman"/>
          <w:szCs w:val="24"/>
          <w:vertAlign w:val="superscript"/>
        </w:rPr>
        <w:footnoteReference w:id="61"/>
      </w:r>
      <w:r w:rsidRPr="002716CF">
        <w:rPr>
          <w:rFonts w:eastAsia="Calibri" w:cs="Times New Roman"/>
          <w:szCs w:val="24"/>
        </w:rPr>
        <w:t xml:space="preserve"> </w:t>
      </w:r>
      <w:r w:rsidR="00C4160D">
        <w:rPr>
          <w:rFonts w:eastAsia="Calibri" w:cs="Times New Roman"/>
          <w:szCs w:val="24"/>
        </w:rPr>
        <w:t xml:space="preserve">Therefore, </w:t>
      </w:r>
      <w:r w:rsidRPr="002716CF">
        <w:rPr>
          <w:rFonts w:eastAsia="Calibri" w:cs="Times New Roman"/>
          <w:szCs w:val="24"/>
        </w:rPr>
        <w:t>the failure to give e</w:t>
      </w:r>
      <w:r w:rsidR="00C4160D">
        <w:rPr>
          <w:rFonts w:eastAsia="Calibri" w:cs="Times New Roman"/>
          <w:szCs w:val="24"/>
        </w:rPr>
        <w:t>ffect to Adriana’s wishes will violate</w:t>
      </w:r>
      <w:r w:rsidRPr="002716CF">
        <w:rPr>
          <w:rFonts w:eastAsia="Calibri" w:cs="Times New Roman"/>
          <w:szCs w:val="24"/>
        </w:rPr>
        <w:t xml:space="preserve"> her right to privacy under Article 11</w:t>
      </w:r>
      <w:r w:rsidR="00820DC0">
        <w:rPr>
          <w:rFonts w:eastAsia="Calibri" w:cs="Times New Roman"/>
          <w:szCs w:val="24"/>
        </w:rPr>
        <w:fldChar w:fldCharType="begin"/>
      </w:r>
      <w:r w:rsidR="00BB2EDB">
        <w:instrText xml:space="preserve"> TA \l "</w:instrText>
      </w:r>
      <w:r w:rsidR="00BB2EDB" w:rsidRPr="004972CA">
        <w:rPr>
          <w:rFonts w:eastAsia="Calibri" w:cs="Times New Roman"/>
          <w:szCs w:val="24"/>
        </w:rPr>
        <w:instrText>Article 11</w:instrText>
      </w:r>
      <w:r w:rsidR="00BB2EDB">
        <w:instrText xml:space="preserve">" \s "Article 11" \c 5 </w:instrText>
      </w:r>
      <w:r w:rsidR="00820DC0">
        <w:rPr>
          <w:rFonts w:eastAsia="Calibri" w:cs="Times New Roman"/>
          <w:szCs w:val="24"/>
        </w:rPr>
        <w:fldChar w:fldCharType="end"/>
      </w:r>
      <w:r w:rsidRPr="002716CF">
        <w:rPr>
          <w:rFonts w:eastAsia="Calibri" w:cs="Times New Roman"/>
          <w:szCs w:val="24"/>
        </w:rPr>
        <w:t xml:space="preserve"> and </w:t>
      </w:r>
      <w:r w:rsidR="00C4160D">
        <w:rPr>
          <w:rFonts w:eastAsia="Calibri" w:cs="Times New Roman"/>
          <w:szCs w:val="24"/>
        </w:rPr>
        <w:t>her rights</w:t>
      </w:r>
      <w:r w:rsidRPr="002716CF">
        <w:rPr>
          <w:rFonts w:eastAsia="Calibri" w:cs="Times New Roman"/>
          <w:szCs w:val="24"/>
        </w:rPr>
        <w:t xml:space="preserve"> under Article 5.1. </w:t>
      </w:r>
    </w:p>
    <w:p w:rsidR="002716CF" w:rsidRPr="002716CF" w:rsidRDefault="00C4160D" w:rsidP="008571A4">
      <w:pPr>
        <w:spacing w:after="200" w:line="480" w:lineRule="auto"/>
        <w:jc w:val="both"/>
        <w:rPr>
          <w:rFonts w:eastAsia="Calibri" w:cs="Times New Roman"/>
          <w:szCs w:val="24"/>
        </w:rPr>
      </w:pPr>
      <w:r>
        <w:rPr>
          <w:rFonts w:eastAsia="Calibri" w:cs="Times New Roman"/>
          <w:szCs w:val="24"/>
        </w:rPr>
        <w:t>Having satisfied the elements of extreme gravity, urgency and irreparable harm, it is submitted that</w:t>
      </w:r>
      <w:r w:rsidR="002716CF" w:rsidRPr="002716CF">
        <w:rPr>
          <w:rFonts w:eastAsia="Calibri" w:cs="Times New Roman"/>
          <w:szCs w:val="24"/>
        </w:rPr>
        <w:t xml:space="preserve"> provisional measures </w:t>
      </w:r>
      <w:r>
        <w:rPr>
          <w:rFonts w:eastAsia="Calibri" w:cs="Times New Roman"/>
          <w:szCs w:val="24"/>
        </w:rPr>
        <w:t>should</w:t>
      </w:r>
      <w:r w:rsidR="002716CF" w:rsidRPr="002716CF">
        <w:rPr>
          <w:rFonts w:eastAsia="Calibri" w:cs="Times New Roman"/>
          <w:szCs w:val="24"/>
        </w:rPr>
        <w:t xml:space="preserve"> be granted in this case. </w:t>
      </w:r>
    </w:p>
    <w:p w:rsidR="002D0DC2" w:rsidRDefault="002D0DC2" w:rsidP="001674E8">
      <w:pPr>
        <w:pStyle w:val="Heading2"/>
        <w:numPr>
          <w:ilvl w:val="0"/>
          <w:numId w:val="3"/>
        </w:numPr>
      </w:pPr>
      <w:bookmarkStart w:id="13" w:name="_Toc352007831"/>
      <w:r>
        <w:t>MERITS</w:t>
      </w:r>
      <w:bookmarkEnd w:id="13"/>
    </w:p>
    <w:p w:rsidR="002D0DC2" w:rsidRDefault="002D0DC2" w:rsidP="008571A4">
      <w:pPr>
        <w:jc w:val="both"/>
        <w:rPr>
          <w:rFonts w:cs="Times New Roman"/>
          <w:b/>
          <w:szCs w:val="24"/>
          <w:u w:val="single"/>
        </w:rPr>
      </w:pPr>
    </w:p>
    <w:p w:rsidR="002D0DC2" w:rsidRPr="003979B3" w:rsidRDefault="003979B3" w:rsidP="00D8178D">
      <w:pPr>
        <w:pStyle w:val="Heading3"/>
      </w:pPr>
      <w:r w:rsidRPr="003979B3">
        <w:t>ARTICLE 24 AND ARTICLE 1(1): EQUALITY AND NON-DISCRIMINATION</w:t>
      </w:r>
    </w:p>
    <w:p w:rsidR="00D8178D" w:rsidRPr="006E2970" w:rsidRDefault="00D8178D" w:rsidP="00D8178D">
      <w:pPr>
        <w:rPr>
          <w:i/>
          <w:u w:val="single"/>
        </w:rPr>
      </w:pPr>
    </w:p>
    <w:p w:rsidR="002D0DC2" w:rsidRDefault="002D0DC2" w:rsidP="008571A4">
      <w:pPr>
        <w:spacing w:line="480" w:lineRule="auto"/>
        <w:jc w:val="both"/>
        <w:rPr>
          <w:rFonts w:cs="Times New Roman"/>
          <w:szCs w:val="24"/>
        </w:rPr>
      </w:pPr>
      <w:r>
        <w:rPr>
          <w:rFonts w:cs="Times New Roman"/>
          <w:szCs w:val="24"/>
        </w:rPr>
        <w:t xml:space="preserve">The rights of equality and non-discrimination have been characterized by this Court as fundamental principles underpinning the entire human rights framework, and as norms of a </w:t>
      </w:r>
      <w:r w:rsidRPr="00462568">
        <w:rPr>
          <w:rFonts w:cs="Times New Roman"/>
          <w:i/>
          <w:szCs w:val="24"/>
        </w:rPr>
        <w:t>jus cogens</w:t>
      </w:r>
      <w:r>
        <w:rPr>
          <w:rFonts w:cs="Times New Roman"/>
          <w:szCs w:val="24"/>
        </w:rPr>
        <w:t xml:space="preserve"> stature.</w:t>
      </w:r>
      <w:r>
        <w:rPr>
          <w:rStyle w:val="FootnoteReference"/>
          <w:rFonts w:cs="Times New Roman"/>
          <w:szCs w:val="24"/>
        </w:rPr>
        <w:footnoteReference w:id="62"/>
      </w:r>
      <w:r>
        <w:rPr>
          <w:rFonts w:cs="Times New Roman"/>
          <w:szCs w:val="24"/>
        </w:rPr>
        <w:t xml:space="preserve"> The general non-discrimination provision encapsulated in Article 1.1 of the American Convention requires that State parties guarantee rights enshrined within the </w:t>
      </w:r>
      <w:r>
        <w:rPr>
          <w:rFonts w:cs="Times New Roman"/>
          <w:szCs w:val="24"/>
        </w:rPr>
        <w:lastRenderedPageBreak/>
        <w:t>Convention to all persons within their jurisdiction without discrimination. Further, Article 24</w:t>
      </w:r>
      <w:r w:rsidR="00820DC0">
        <w:rPr>
          <w:rFonts w:cs="Times New Roman"/>
          <w:szCs w:val="24"/>
        </w:rPr>
        <w:fldChar w:fldCharType="begin"/>
      </w:r>
      <w:r w:rsidR="00BB2EDB">
        <w:instrText xml:space="preserve"> TA \s "Article 24" </w:instrText>
      </w:r>
      <w:r w:rsidR="00820DC0">
        <w:rPr>
          <w:rFonts w:cs="Times New Roman"/>
          <w:szCs w:val="24"/>
        </w:rPr>
        <w:fldChar w:fldCharType="end"/>
      </w:r>
      <w:r>
        <w:rPr>
          <w:rFonts w:cs="Times New Roman"/>
          <w:szCs w:val="24"/>
        </w:rPr>
        <w:t xml:space="preserve"> ACHR enshrines equality before the law in relation to all ACHR rights, and laws approved by the State and in their application.</w:t>
      </w:r>
      <w:r>
        <w:rPr>
          <w:rStyle w:val="FootnoteReference"/>
          <w:rFonts w:cs="Times New Roman"/>
          <w:szCs w:val="24"/>
        </w:rPr>
        <w:footnoteReference w:id="63"/>
      </w:r>
      <w:r>
        <w:rPr>
          <w:rFonts w:cs="Times New Roman"/>
          <w:szCs w:val="24"/>
        </w:rPr>
        <w:t xml:space="preserve"> These principles of non-discrimination and equality are also enshrined in Article 9 of Elizabetia’s Constitution,</w:t>
      </w:r>
      <w:r w:rsidR="00992267">
        <w:rPr>
          <w:rFonts w:cs="Times New Roman"/>
          <w:szCs w:val="24"/>
        </w:rPr>
        <w:t xml:space="preserve">  </w:t>
      </w:r>
      <w:r>
        <w:rPr>
          <w:rFonts w:cs="Times New Roman"/>
          <w:szCs w:val="24"/>
        </w:rPr>
        <w:t>and other Inter-American treaties</w:t>
      </w:r>
      <w:r>
        <w:rPr>
          <w:rStyle w:val="FootnoteReference"/>
          <w:rFonts w:cs="Times New Roman"/>
          <w:szCs w:val="24"/>
        </w:rPr>
        <w:footnoteReference w:id="64"/>
      </w:r>
      <w:r w:rsidR="00992267">
        <w:rPr>
          <w:rFonts w:cs="Times New Roman"/>
          <w:szCs w:val="24"/>
        </w:rPr>
        <w:t xml:space="preserve"> </w:t>
      </w:r>
      <w:r>
        <w:rPr>
          <w:rFonts w:cs="Times New Roman"/>
          <w:szCs w:val="24"/>
        </w:rPr>
        <w:t>binding on Elizabetia.</w:t>
      </w:r>
      <w:r>
        <w:rPr>
          <w:rStyle w:val="FootnoteReference"/>
          <w:rFonts w:cs="Times New Roman"/>
          <w:szCs w:val="24"/>
        </w:rPr>
        <w:footnoteReference w:id="65"/>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While sexual orientation is not explicitly mentioned in Article 1.1</w:t>
      </w:r>
      <w:r w:rsidR="00820DC0">
        <w:rPr>
          <w:rFonts w:cs="Times New Roman"/>
          <w:szCs w:val="24"/>
        </w:rPr>
        <w:fldChar w:fldCharType="begin"/>
      </w:r>
      <w:r w:rsidR="00BB2EDB">
        <w:instrText xml:space="preserve"> TA \s "Article 1(1)" </w:instrText>
      </w:r>
      <w:r w:rsidR="00820DC0">
        <w:rPr>
          <w:rFonts w:cs="Times New Roman"/>
          <w:szCs w:val="24"/>
        </w:rPr>
        <w:fldChar w:fldCharType="end"/>
      </w:r>
      <w:r>
        <w:rPr>
          <w:rFonts w:cs="Times New Roman"/>
          <w:szCs w:val="24"/>
        </w:rPr>
        <w:t xml:space="preserve"> ACHR, this Court in the </w:t>
      </w:r>
      <w:r w:rsidRPr="00B47DED">
        <w:rPr>
          <w:rFonts w:cs="Times New Roman"/>
          <w:i/>
          <w:szCs w:val="24"/>
        </w:rPr>
        <w:t>Atala Riffo</w:t>
      </w:r>
      <w:r>
        <w:rPr>
          <w:rFonts w:cs="Times New Roman"/>
          <w:szCs w:val="24"/>
        </w:rPr>
        <w:t xml:space="preserve"> case affirmed the position of the </w:t>
      </w:r>
      <w:r w:rsidR="00247A12">
        <w:rPr>
          <w:rFonts w:cs="Times New Roman"/>
          <w:szCs w:val="24"/>
        </w:rPr>
        <w:t>ECtHR</w:t>
      </w:r>
      <w:r>
        <w:rPr>
          <w:rFonts w:cs="Times New Roman"/>
          <w:szCs w:val="24"/>
        </w:rPr>
        <w:t xml:space="preserve"> and other human rights bodies</w:t>
      </w:r>
      <w:r w:rsidR="00A904C8">
        <w:rPr>
          <w:rFonts w:cs="Times New Roman"/>
          <w:szCs w:val="24"/>
        </w:rPr>
        <w:t>,</w:t>
      </w:r>
      <w:r>
        <w:rPr>
          <w:rStyle w:val="FootnoteReference"/>
          <w:rFonts w:cs="Times New Roman"/>
          <w:szCs w:val="24"/>
        </w:rPr>
        <w:footnoteReference w:id="66"/>
      </w:r>
      <w:r w:rsidR="00A904C8">
        <w:rPr>
          <w:rFonts w:cs="Times New Roman"/>
          <w:szCs w:val="24"/>
        </w:rPr>
        <w:t xml:space="preserve"> </w:t>
      </w:r>
      <w:r>
        <w:rPr>
          <w:rFonts w:cs="Times New Roman"/>
          <w:szCs w:val="24"/>
        </w:rPr>
        <w:t xml:space="preserve">that the grounds listed therein are non-exhaustive, and that sexual orientation falls within the purview </w:t>
      </w:r>
      <w:r w:rsidR="000F6982">
        <w:rPr>
          <w:rFonts w:cs="Times New Roman"/>
          <w:szCs w:val="24"/>
        </w:rPr>
        <w:t>of “</w:t>
      </w:r>
      <w:r>
        <w:rPr>
          <w:rFonts w:cs="Times New Roman"/>
          <w:szCs w:val="24"/>
        </w:rPr>
        <w:t>any other social condition”.</w:t>
      </w:r>
      <w:r>
        <w:rPr>
          <w:rStyle w:val="FootnoteReference"/>
          <w:rFonts w:cs="Times New Roman"/>
          <w:szCs w:val="24"/>
        </w:rPr>
        <w:footnoteReference w:id="67"/>
      </w:r>
      <w:r>
        <w:rPr>
          <w:rFonts w:cs="Times New Roman"/>
          <w:szCs w:val="24"/>
        </w:rPr>
        <w:t xml:space="preserve"> This analysis also applies to the phrase “without discrimination” in Article 24, when it is interpreted in light of Article 1.1. </w:t>
      </w:r>
      <w:r w:rsidR="000F6982">
        <w:rPr>
          <w:rFonts w:cs="Times New Roman"/>
          <w:szCs w:val="24"/>
        </w:rPr>
        <w:t>Furthermore, t</w:t>
      </w:r>
      <w:r>
        <w:rPr>
          <w:rFonts w:cs="Times New Roman"/>
          <w:szCs w:val="24"/>
        </w:rPr>
        <w:t xml:space="preserve">he category of sexual orientation is explicitly </w:t>
      </w:r>
      <w:r w:rsidR="000F6982">
        <w:rPr>
          <w:rFonts w:cs="Times New Roman"/>
          <w:szCs w:val="24"/>
        </w:rPr>
        <w:t>listed</w:t>
      </w:r>
      <w:r>
        <w:rPr>
          <w:rFonts w:cs="Times New Roman"/>
          <w:szCs w:val="24"/>
        </w:rPr>
        <w:t xml:space="preserve"> under the right to equality and nondiscrimination enshrined in Article 9 of the Elizabetian Constitution. </w:t>
      </w:r>
    </w:p>
    <w:p w:rsidR="002D0DC2" w:rsidRDefault="002D0DC2" w:rsidP="008571A4">
      <w:pPr>
        <w:spacing w:line="480" w:lineRule="auto"/>
        <w:jc w:val="both"/>
        <w:rPr>
          <w:rFonts w:cs="Times New Roman"/>
          <w:szCs w:val="24"/>
        </w:rPr>
      </w:pPr>
      <w:r>
        <w:rPr>
          <w:rFonts w:cs="Times New Roman"/>
          <w:szCs w:val="24"/>
        </w:rPr>
        <w:t>This Court has declared that “no regulation, decision, or practice of domestic legislation…may diminish or restrict, in any way whatsoever, the rights of a person based on their sexual orientation.”</w:t>
      </w:r>
      <w:r>
        <w:rPr>
          <w:rStyle w:val="FootnoteReference"/>
          <w:rFonts w:cs="Times New Roman"/>
          <w:szCs w:val="24"/>
        </w:rPr>
        <w:footnoteReference w:id="68"/>
      </w:r>
      <w:r>
        <w:rPr>
          <w:rFonts w:cs="Times New Roman"/>
          <w:szCs w:val="24"/>
        </w:rPr>
        <w:t xml:space="preserve"> While Article 17.2</w:t>
      </w:r>
      <w:r w:rsidR="00820DC0">
        <w:rPr>
          <w:rFonts w:cs="Times New Roman"/>
          <w:szCs w:val="24"/>
        </w:rPr>
        <w:fldChar w:fldCharType="begin"/>
      </w:r>
      <w:r w:rsidR="00BB2EDB">
        <w:instrText xml:space="preserve"> TA \l "</w:instrText>
      </w:r>
      <w:r w:rsidR="00BB2EDB" w:rsidRPr="002F2E51">
        <w:rPr>
          <w:rFonts w:cs="Times New Roman"/>
          <w:szCs w:val="24"/>
        </w:rPr>
        <w:instrText>Article 17.2</w:instrText>
      </w:r>
      <w:r w:rsidR="00BB2EDB">
        <w:instrText xml:space="preserve">" \s "Article 17.2" \c 5 </w:instrText>
      </w:r>
      <w:r w:rsidR="00820DC0">
        <w:rPr>
          <w:rFonts w:cs="Times New Roman"/>
          <w:szCs w:val="24"/>
        </w:rPr>
        <w:fldChar w:fldCharType="end"/>
      </w:r>
      <w:r>
        <w:rPr>
          <w:rFonts w:cs="Times New Roman"/>
          <w:szCs w:val="24"/>
        </w:rPr>
        <w:t xml:space="preserve"> ACHR allows States to prescribe conditions in the domestic law for the granting of marital status and the right to form a family, it also maintains that these </w:t>
      </w:r>
      <w:r>
        <w:rPr>
          <w:rFonts w:cs="Times New Roman"/>
          <w:szCs w:val="24"/>
        </w:rPr>
        <w:lastRenderedPageBreak/>
        <w:t>conditions should not “affect the principle of nondiscrimination established in this Convention.”</w:t>
      </w:r>
      <w:r>
        <w:rPr>
          <w:rStyle w:val="FootnoteReference"/>
          <w:rFonts w:cs="Times New Roman"/>
          <w:szCs w:val="24"/>
        </w:rPr>
        <w:footnoteReference w:id="69"/>
      </w:r>
      <w:r>
        <w:rPr>
          <w:rFonts w:cs="Times New Roman"/>
          <w:szCs w:val="24"/>
        </w:rPr>
        <w:t xml:space="preserve"> Furthermore, States are obliged to implement measures with the aim of removing impediments which perpetuate discrimination against historically disadvantaged sections of the populous.</w:t>
      </w:r>
      <w:r>
        <w:rPr>
          <w:rStyle w:val="FootnoteReference"/>
          <w:rFonts w:cs="Times New Roman"/>
          <w:szCs w:val="24"/>
        </w:rPr>
        <w:footnoteReference w:id="70"/>
      </w:r>
      <w:r>
        <w:rPr>
          <w:rFonts w:cs="Times New Roman"/>
          <w:szCs w:val="24"/>
        </w:rPr>
        <w:t xml:space="preserve"> </w:t>
      </w:r>
      <w:r w:rsidR="009969AC">
        <w:rPr>
          <w:rFonts w:cs="Times New Roman"/>
          <w:szCs w:val="24"/>
        </w:rPr>
        <w:t xml:space="preserve">This </w:t>
      </w:r>
      <w:r w:rsidR="003979B3">
        <w:rPr>
          <w:rFonts w:cs="Times New Roman"/>
          <w:szCs w:val="24"/>
        </w:rPr>
        <w:t>is underscored by</w:t>
      </w:r>
      <w:r w:rsidR="009969AC">
        <w:rPr>
          <w:rFonts w:cs="Times New Roman"/>
          <w:szCs w:val="24"/>
        </w:rPr>
        <w:t xml:space="preserve"> the State’s obligations under Article 2</w:t>
      </w:r>
      <w:r w:rsidR="00820DC0">
        <w:rPr>
          <w:rFonts w:cs="Times New Roman"/>
          <w:szCs w:val="24"/>
        </w:rPr>
        <w:fldChar w:fldCharType="begin"/>
      </w:r>
      <w:r w:rsidR="009969AC">
        <w:instrText xml:space="preserve"> TA \s "Article 2" </w:instrText>
      </w:r>
      <w:r w:rsidR="00820DC0">
        <w:rPr>
          <w:rFonts w:cs="Times New Roman"/>
          <w:szCs w:val="24"/>
        </w:rPr>
        <w:fldChar w:fldCharType="end"/>
      </w:r>
      <w:r w:rsidR="009969AC">
        <w:rPr>
          <w:rFonts w:cs="Times New Roman"/>
          <w:szCs w:val="24"/>
        </w:rPr>
        <w:t xml:space="preserve"> to implement domestic legislation with the aim of guaranteeing fundamental rights under the ACHR.</w:t>
      </w:r>
    </w:p>
    <w:p w:rsidR="003979B3" w:rsidRDefault="003979B3" w:rsidP="008571A4">
      <w:pPr>
        <w:spacing w:line="480" w:lineRule="auto"/>
        <w:jc w:val="both"/>
        <w:rPr>
          <w:rFonts w:cs="Times New Roman"/>
          <w:szCs w:val="24"/>
        </w:rPr>
      </w:pPr>
    </w:p>
    <w:p w:rsidR="002D0DC2" w:rsidRDefault="002D0DC2" w:rsidP="008571A4">
      <w:pPr>
        <w:spacing w:line="480" w:lineRule="auto"/>
        <w:jc w:val="both"/>
        <w:rPr>
          <w:rFonts w:cs="Times New Roman"/>
          <w:szCs w:val="24"/>
        </w:rPr>
      </w:pPr>
      <w:r>
        <w:rPr>
          <w:rFonts w:cs="Times New Roman"/>
          <w:szCs w:val="24"/>
        </w:rPr>
        <w:t>The restriction of the right to marry in Article 396 of Elizabetia’s State Civil Code to only heterosexual couples</w:t>
      </w:r>
      <w:r>
        <w:rPr>
          <w:rStyle w:val="FootnoteReference"/>
          <w:rFonts w:cs="Times New Roman"/>
          <w:szCs w:val="24"/>
        </w:rPr>
        <w:footnoteReference w:id="71"/>
      </w:r>
      <w:r>
        <w:rPr>
          <w:rFonts w:cs="Times New Roman"/>
          <w:szCs w:val="24"/>
        </w:rPr>
        <w:t xml:space="preserve"> constitutes a discriminatory domestic regulation on </w:t>
      </w:r>
      <w:r w:rsidR="000F6982">
        <w:rPr>
          <w:rFonts w:cs="Times New Roman"/>
          <w:szCs w:val="24"/>
        </w:rPr>
        <w:t>the basis of sexual orientation</w:t>
      </w:r>
      <w:r>
        <w:rPr>
          <w:rFonts w:cs="Times New Roman"/>
          <w:szCs w:val="24"/>
        </w:rPr>
        <w:t xml:space="preserve">. By virtue of the State’s denial of Serafina and Adriana’s marriage application on the basis of Article 396 and the subsequent failure of </w:t>
      </w:r>
      <w:r w:rsidR="005A4694">
        <w:rPr>
          <w:rFonts w:cs="Times New Roman"/>
          <w:szCs w:val="24"/>
        </w:rPr>
        <w:t>Elizabetia</w:t>
      </w:r>
      <w:r>
        <w:rPr>
          <w:rFonts w:cs="Times New Roman"/>
          <w:szCs w:val="24"/>
        </w:rPr>
        <w:t xml:space="preserve"> to impugn said legislative provision, </w:t>
      </w:r>
      <w:r w:rsidR="005A4694">
        <w:rPr>
          <w:rFonts w:cs="Times New Roman"/>
          <w:szCs w:val="24"/>
        </w:rPr>
        <w:t>it</w:t>
      </w:r>
      <w:r>
        <w:rPr>
          <w:rFonts w:cs="Times New Roman"/>
          <w:szCs w:val="24"/>
        </w:rPr>
        <w:t xml:space="preserve"> violated Article 1(1)</w:t>
      </w:r>
      <w:r w:rsidR="00820DC0">
        <w:rPr>
          <w:rFonts w:cs="Times New Roman"/>
          <w:szCs w:val="24"/>
        </w:rPr>
        <w:fldChar w:fldCharType="begin"/>
      </w:r>
      <w:r w:rsidR="00BB2EDB">
        <w:instrText xml:space="preserve"> TA \s "Article 1(1)" </w:instrText>
      </w:r>
      <w:r w:rsidR="00820DC0">
        <w:rPr>
          <w:rFonts w:cs="Times New Roman"/>
          <w:szCs w:val="24"/>
        </w:rPr>
        <w:fldChar w:fldCharType="end"/>
      </w:r>
      <w:r>
        <w:rPr>
          <w:rFonts w:cs="Times New Roman"/>
          <w:szCs w:val="24"/>
        </w:rPr>
        <w:t xml:space="preserve"> ACHR</w:t>
      </w:r>
      <w:r>
        <w:rPr>
          <w:rStyle w:val="FootnoteReference"/>
          <w:rFonts w:cs="Times New Roman"/>
          <w:szCs w:val="24"/>
        </w:rPr>
        <w:footnoteReference w:id="72"/>
      </w:r>
      <w:r>
        <w:rPr>
          <w:rFonts w:cs="Times New Roman"/>
          <w:szCs w:val="24"/>
        </w:rPr>
        <w:t xml:space="preserve"> in relation to Article 17.2, in addition to Article 24</w:t>
      </w:r>
      <w:r w:rsidR="00820DC0">
        <w:rPr>
          <w:rFonts w:cs="Times New Roman"/>
          <w:szCs w:val="24"/>
        </w:rPr>
        <w:fldChar w:fldCharType="begin"/>
      </w:r>
      <w:r w:rsidR="00BB2EDB">
        <w:instrText xml:space="preserve"> TA \s "Article 24" </w:instrText>
      </w:r>
      <w:r w:rsidR="00820DC0">
        <w:rPr>
          <w:rFonts w:cs="Times New Roman"/>
          <w:szCs w:val="24"/>
        </w:rPr>
        <w:fldChar w:fldCharType="end"/>
      </w:r>
      <w:r w:rsidR="000F6982">
        <w:rPr>
          <w:rFonts w:cs="Times New Roman"/>
          <w:szCs w:val="24"/>
        </w:rPr>
        <w:t>, to the detriment of Serafina and Adriana</w:t>
      </w:r>
      <w:r>
        <w:rPr>
          <w:rFonts w:cs="Times New Roman"/>
          <w:szCs w:val="24"/>
        </w:rPr>
        <w:t>. Additionally, the restriction of the right to a family, in Article 85 of the Elizabetian Constitution, to only heterosexual couples</w:t>
      </w:r>
      <w:r>
        <w:rPr>
          <w:rStyle w:val="FootnoteReference"/>
          <w:rFonts w:cs="Times New Roman"/>
          <w:szCs w:val="24"/>
        </w:rPr>
        <w:footnoteReference w:id="73"/>
      </w:r>
      <w:r>
        <w:rPr>
          <w:rFonts w:cs="Times New Roman"/>
          <w:szCs w:val="24"/>
        </w:rPr>
        <w:t xml:space="preserve"> also constitutes a discriminatory provision against same-sex couples on the basis of sexual orientation. It is also submitted that Article 406</w:t>
      </w:r>
      <w:r w:rsidR="005A4694">
        <w:rPr>
          <w:rFonts w:cs="Times New Roman"/>
          <w:szCs w:val="24"/>
        </w:rPr>
        <w:t>(2)</w:t>
      </w:r>
      <w:r>
        <w:rPr>
          <w:rFonts w:cs="Times New Roman"/>
          <w:szCs w:val="24"/>
        </w:rPr>
        <w:t xml:space="preserve">, by offering less substantive benefits to same-sex couples than </w:t>
      </w:r>
      <w:r w:rsidR="000F6982">
        <w:rPr>
          <w:rFonts w:cs="Times New Roman"/>
          <w:szCs w:val="24"/>
        </w:rPr>
        <w:t>that which is</w:t>
      </w:r>
      <w:r>
        <w:rPr>
          <w:rFonts w:cs="Times New Roman"/>
          <w:szCs w:val="24"/>
        </w:rPr>
        <w:t xml:space="preserve"> afforded to heterosexual couples</w:t>
      </w:r>
      <w:r w:rsidR="00526500">
        <w:rPr>
          <w:rFonts w:cs="Times New Roman"/>
          <w:szCs w:val="24"/>
        </w:rPr>
        <w:t xml:space="preserve"> and precluding same-sex couples from adopting jointly</w:t>
      </w:r>
      <w:r>
        <w:rPr>
          <w:rFonts w:cs="Times New Roman"/>
          <w:szCs w:val="24"/>
        </w:rPr>
        <w:t xml:space="preserve">, also constitutes discrimination. These provisions affirm discriminatory attitudes against LGBTI individuals, who have been historically disadvantaged </w:t>
      </w:r>
      <w:r w:rsidR="000F6982">
        <w:rPr>
          <w:rFonts w:cs="Times New Roman"/>
          <w:szCs w:val="24"/>
        </w:rPr>
        <w:t xml:space="preserve">in the context of Elizabetian society, </w:t>
      </w:r>
      <w:r>
        <w:rPr>
          <w:rFonts w:cs="Times New Roman"/>
          <w:szCs w:val="24"/>
        </w:rPr>
        <w:t xml:space="preserve">due to their sexuality and gender identity. While this Court has opined that not all </w:t>
      </w:r>
      <w:r>
        <w:rPr>
          <w:rFonts w:cs="Times New Roman"/>
          <w:szCs w:val="24"/>
        </w:rPr>
        <w:lastRenderedPageBreak/>
        <w:t>distinctions in treatment are equivalent to prohibited discrimination,</w:t>
      </w:r>
      <w:r>
        <w:rPr>
          <w:rStyle w:val="FootnoteReference"/>
          <w:rFonts w:cs="Times New Roman"/>
          <w:szCs w:val="24"/>
        </w:rPr>
        <w:footnoteReference w:id="74"/>
      </w:r>
      <w:r>
        <w:rPr>
          <w:rFonts w:cs="Times New Roman"/>
          <w:szCs w:val="24"/>
        </w:rPr>
        <w:t xml:space="preserve"> those which lack objective and reasonable justifications are discriminatory. Any regulation which restricts a right should be proportionate and necessary to the purpose stated.</w:t>
      </w:r>
      <w:r>
        <w:rPr>
          <w:rStyle w:val="FootnoteReference"/>
          <w:rFonts w:cs="Times New Roman"/>
          <w:szCs w:val="24"/>
        </w:rPr>
        <w:footnoteReference w:id="75"/>
      </w:r>
      <w:r>
        <w:rPr>
          <w:rFonts w:cs="Times New Roman"/>
          <w:szCs w:val="24"/>
        </w:rPr>
        <w:t xml:space="preserve"> This Court has emphasized that “t</w:t>
      </w:r>
      <w:r w:rsidRPr="00216D13">
        <w:rPr>
          <w:rFonts w:cs="Times New Roman"/>
          <w:szCs w:val="24"/>
        </w:rPr>
        <w:t>hese aims may not be unjust or unreasonable, that is, they may not be arbitrary, capricious, despotic or in conflict with the essential oneness and dignity of humankind</w:t>
      </w:r>
      <w:r>
        <w:rPr>
          <w:rFonts w:cs="Times New Roman"/>
          <w:szCs w:val="24"/>
        </w:rPr>
        <w:t>.”</w:t>
      </w:r>
      <w:r>
        <w:rPr>
          <w:rStyle w:val="FootnoteReference"/>
          <w:rFonts w:cs="Times New Roman"/>
          <w:szCs w:val="24"/>
        </w:rPr>
        <w:footnoteReference w:id="76"/>
      </w:r>
      <w:r>
        <w:rPr>
          <w:rFonts w:cs="Times New Roman"/>
          <w:szCs w:val="24"/>
        </w:rPr>
        <w:t xml:space="preserve"> Furthermore, the </w:t>
      </w:r>
      <w:r w:rsidR="005A4694">
        <w:rPr>
          <w:rFonts w:cs="Times New Roman"/>
          <w:szCs w:val="24"/>
        </w:rPr>
        <w:t>IACHR</w:t>
      </w:r>
      <w:r>
        <w:rPr>
          <w:rFonts w:cs="Times New Roman"/>
          <w:szCs w:val="24"/>
        </w:rPr>
        <w:t xml:space="preserve"> has maintained that any category of discrimination prohibited under Article 1.1</w:t>
      </w:r>
      <w:r w:rsidR="00820DC0">
        <w:rPr>
          <w:rFonts w:cs="Times New Roman"/>
          <w:szCs w:val="24"/>
        </w:rPr>
        <w:fldChar w:fldCharType="begin"/>
      </w:r>
      <w:r w:rsidR="00BB2EDB">
        <w:instrText xml:space="preserve"> TA \s "Article 1(1)" </w:instrText>
      </w:r>
      <w:r w:rsidR="00820DC0">
        <w:rPr>
          <w:rFonts w:cs="Times New Roman"/>
          <w:szCs w:val="24"/>
        </w:rPr>
        <w:fldChar w:fldCharType="end"/>
      </w:r>
      <w:r>
        <w:rPr>
          <w:rFonts w:cs="Times New Roman"/>
          <w:szCs w:val="24"/>
        </w:rPr>
        <w:t>, such as sexual orientation, is considered to be a ‘suspect’ category, thus requiring heightened scrutiny of the reasons invoked as justification for the distinction, in order to ensure that such distinction is not driven by prejudicial notions.</w:t>
      </w:r>
      <w:r>
        <w:rPr>
          <w:rStyle w:val="FootnoteReference"/>
          <w:rFonts w:cs="Times New Roman"/>
          <w:szCs w:val="24"/>
        </w:rPr>
        <w:footnoteReference w:id="77"/>
      </w:r>
      <w:r>
        <w:rPr>
          <w:rFonts w:cs="Times New Roman"/>
          <w:szCs w:val="24"/>
        </w:rPr>
        <w:t xml:space="preserve"> In other words, a distinction based on any ground prohibited under Article 1.1 ACHR is presumed to be incompatible with the </w:t>
      </w:r>
      <w:r w:rsidR="005A4694">
        <w:rPr>
          <w:rFonts w:cs="Times New Roman"/>
          <w:szCs w:val="24"/>
        </w:rPr>
        <w:t>ACHR</w:t>
      </w:r>
      <w:r>
        <w:rPr>
          <w:rFonts w:cs="Times New Roman"/>
          <w:szCs w:val="24"/>
        </w:rPr>
        <w:t>, and the burden then shifts to the State to provide “</w:t>
      </w:r>
      <w:r w:rsidRPr="001C458E">
        <w:rPr>
          <w:rFonts w:cs="Times New Roman"/>
          <w:szCs w:val="24"/>
        </w:rPr>
        <w:t>an especially weighty interest and compelling justification for the distinction</w:t>
      </w:r>
      <w:r>
        <w:rPr>
          <w:rFonts w:cs="Times New Roman"/>
          <w:szCs w:val="24"/>
        </w:rPr>
        <w:t>.”</w:t>
      </w:r>
      <w:r>
        <w:rPr>
          <w:rStyle w:val="FootnoteReference"/>
          <w:rFonts w:cs="Times New Roman"/>
          <w:szCs w:val="24"/>
        </w:rPr>
        <w:footnoteReference w:id="78"/>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 xml:space="preserve">The </w:t>
      </w:r>
      <w:r w:rsidR="00992267">
        <w:rPr>
          <w:rFonts w:cs="Times New Roman"/>
          <w:szCs w:val="24"/>
        </w:rPr>
        <w:t>EC</w:t>
      </w:r>
      <w:r w:rsidR="009819CD">
        <w:rPr>
          <w:rFonts w:cs="Times New Roman"/>
          <w:szCs w:val="24"/>
        </w:rPr>
        <w:t>t</w:t>
      </w:r>
      <w:r w:rsidR="00992267">
        <w:rPr>
          <w:rFonts w:cs="Times New Roman"/>
          <w:szCs w:val="24"/>
        </w:rPr>
        <w:t>HR</w:t>
      </w:r>
      <w:r>
        <w:rPr>
          <w:rFonts w:cs="Times New Roman"/>
          <w:szCs w:val="24"/>
        </w:rPr>
        <w:t xml:space="preserve"> has taken a similar approach by requiring “particularly serious reasons” for distinctions based on sexual orientation.</w:t>
      </w:r>
      <w:r>
        <w:rPr>
          <w:rStyle w:val="FootnoteReference"/>
          <w:rFonts w:cs="Times New Roman"/>
          <w:szCs w:val="24"/>
        </w:rPr>
        <w:footnoteReference w:id="79"/>
      </w:r>
      <w:r>
        <w:rPr>
          <w:rFonts w:cs="Times New Roman"/>
          <w:szCs w:val="24"/>
        </w:rPr>
        <w:t xml:space="preserve"> Furthermore, it should be noted that Article 29</w:t>
      </w:r>
      <w:r w:rsidR="00820DC0">
        <w:rPr>
          <w:rFonts w:cs="Times New Roman"/>
          <w:szCs w:val="24"/>
        </w:rPr>
        <w:fldChar w:fldCharType="begin"/>
      </w:r>
      <w:r w:rsidR="00BB2EDB">
        <w:instrText xml:space="preserve"> TA \l "</w:instrText>
      </w:r>
      <w:r w:rsidR="00BB2EDB" w:rsidRPr="00615A39">
        <w:rPr>
          <w:rFonts w:cs="Times New Roman"/>
          <w:szCs w:val="24"/>
        </w:rPr>
        <w:instrText>Article 29</w:instrText>
      </w:r>
      <w:r w:rsidR="00BB2EDB">
        <w:instrText xml:space="preserve">" \s "Article 29" \c 5 </w:instrText>
      </w:r>
      <w:r w:rsidR="00820DC0">
        <w:rPr>
          <w:rFonts w:cs="Times New Roman"/>
          <w:szCs w:val="24"/>
        </w:rPr>
        <w:fldChar w:fldCharType="end"/>
      </w:r>
      <w:r>
        <w:rPr>
          <w:rFonts w:cs="Times New Roman"/>
          <w:szCs w:val="24"/>
        </w:rPr>
        <w:t xml:space="preserve"> ACHR invites an interpretation of Convention rights in a manner in which rights are not restricted to a greater extent than what is provided within </w:t>
      </w:r>
      <w:r w:rsidR="005A4694">
        <w:rPr>
          <w:rFonts w:cs="Times New Roman"/>
          <w:szCs w:val="24"/>
        </w:rPr>
        <w:t>the laws of any State Party.</w:t>
      </w:r>
      <w:r>
        <w:rPr>
          <w:rStyle w:val="FootnoteReference"/>
          <w:rFonts w:cs="Times New Roman"/>
          <w:szCs w:val="24"/>
        </w:rPr>
        <w:footnoteReference w:id="80"/>
      </w:r>
      <w:r w:rsidRPr="00C42F62">
        <w:rPr>
          <w:rFonts w:cs="Times New Roman"/>
          <w:szCs w:val="24"/>
        </w:rPr>
        <w:t xml:space="preserve"> </w:t>
      </w:r>
      <w:r>
        <w:rPr>
          <w:rFonts w:cs="Times New Roman"/>
          <w:szCs w:val="24"/>
        </w:rPr>
        <w:t xml:space="preserve">Article 9 of the </w:t>
      </w:r>
      <w:r>
        <w:rPr>
          <w:rFonts w:cs="Times New Roman"/>
          <w:szCs w:val="24"/>
        </w:rPr>
        <w:lastRenderedPageBreak/>
        <w:t>Elizabetian Constitution provides further support for a strict scrutiny analysis, as it requires justification by compelling reasons, suitability, necessity and strict proportionality.</w:t>
      </w:r>
      <w:r>
        <w:rPr>
          <w:rStyle w:val="FootnoteReference"/>
          <w:rFonts w:cs="Times New Roman"/>
          <w:szCs w:val="24"/>
        </w:rPr>
        <w:footnoteReference w:id="81"/>
      </w:r>
      <w:r w:rsidR="00EE657C">
        <w:rPr>
          <w:rFonts w:cs="Times New Roman"/>
          <w:szCs w:val="24"/>
        </w:rPr>
        <w:t xml:space="preserve"> As such, </w:t>
      </w:r>
      <w:r w:rsidR="00992267">
        <w:rPr>
          <w:rFonts w:cs="Times New Roman"/>
          <w:szCs w:val="24"/>
        </w:rPr>
        <w:t xml:space="preserve">this Court should adopt a strict scrutiny analysis in </w:t>
      </w:r>
      <w:r w:rsidR="00E11277">
        <w:rPr>
          <w:rFonts w:cs="Times New Roman"/>
          <w:szCs w:val="24"/>
        </w:rPr>
        <w:t>relation to this</w:t>
      </w:r>
      <w:r w:rsidR="00992267">
        <w:rPr>
          <w:rFonts w:cs="Times New Roman"/>
          <w:szCs w:val="24"/>
        </w:rPr>
        <w:t xml:space="preserve"> matter.</w:t>
      </w:r>
    </w:p>
    <w:p w:rsidR="00BF60DC" w:rsidRDefault="002D0DC2" w:rsidP="008571A4">
      <w:pPr>
        <w:spacing w:line="480" w:lineRule="auto"/>
        <w:jc w:val="both"/>
        <w:rPr>
          <w:rFonts w:cs="Times New Roman"/>
          <w:szCs w:val="24"/>
        </w:rPr>
      </w:pPr>
      <w:r>
        <w:rPr>
          <w:rFonts w:cs="Times New Roman"/>
          <w:szCs w:val="24"/>
        </w:rPr>
        <w:t xml:space="preserve">The rationales posited by the State for the restriction of marriage to heterosexual couples fail to provide a sufficiently compelling justification for the </w:t>
      </w:r>
      <w:r w:rsidR="000F6982">
        <w:rPr>
          <w:rFonts w:cs="Times New Roman"/>
          <w:szCs w:val="24"/>
        </w:rPr>
        <w:t>distinctions perpetuated in the</w:t>
      </w:r>
      <w:r>
        <w:rPr>
          <w:rFonts w:cs="Times New Roman"/>
          <w:szCs w:val="24"/>
        </w:rPr>
        <w:t xml:space="preserve"> legislative and Constitutional provisions. These justifications include the statement by President de la Goblana in which he touted the need to preserve “marriage as the basis of the family”, and the ruling of Court No. 7 for the Review of Administrative Decisions </w:t>
      </w:r>
      <w:r w:rsidR="005A4694">
        <w:rPr>
          <w:rFonts w:cs="Times New Roman"/>
          <w:szCs w:val="24"/>
        </w:rPr>
        <w:t>that</w:t>
      </w:r>
      <w:r>
        <w:rPr>
          <w:rFonts w:cs="Times New Roman"/>
          <w:szCs w:val="24"/>
        </w:rPr>
        <w:t xml:space="preserve"> the law contained a “reasonable restriction necessary to preserve the concept of family.” This stated objective is not in accord with the interpretation of the family unit in this Court’s jurisprudence. </w:t>
      </w:r>
      <w:r w:rsidR="00A904C8">
        <w:rPr>
          <w:rFonts w:cs="Times New Roman"/>
          <w:szCs w:val="24"/>
        </w:rPr>
        <w:t>In Atala</w:t>
      </w:r>
      <w:r w:rsidRPr="00F97809">
        <w:rPr>
          <w:rFonts w:cs="Times New Roman"/>
          <w:i/>
          <w:szCs w:val="24"/>
        </w:rPr>
        <w:t xml:space="preserve"> Riffo</w:t>
      </w:r>
      <w:r w:rsidR="00A904C8">
        <w:rPr>
          <w:rFonts w:cs="Times New Roman"/>
          <w:i/>
          <w:szCs w:val="24"/>
        </w:rPr>
        <w:t>,</w:t>
      </w:r>
      <w:r>
        <w:rPr>
          <w:rStyle w:val="FootnoteReference"/>
          <w:rFonts w:cs="Times New Roman"/>
          <w:i/>
          <w:szCs w:val="24"/>
        </w:rPr>
        <w:footnoteReference w:id="82"/>
      </w:r>
      <w:r w:rsidR="00A904C8">
        <w:rPr>
          <w:rFonts w:cs="Times New Roman"/>
          <w:szCs w:val="24"/>
        </w:rPr>
        <w:t xml:space="preserve"> </w:t>
      </w:r>
      <w:r>
        <w:rPr>
          <w:rFonts w:cs="Times New Roman"/>
          <w:szCs w:val="24"/>
        </w:rPr>
        <w:t xml:space="preserve">this Court endorsed the conceptualization of a family unit which does not conform to traditional heterosexual notions. Furthermore, the </w:t>
      </w:r>
      <w:r w:rsidR="00E11277">
        <w:rPr>
          <w:rFonts w:cs="Times New Roman"/>
          <w:szCs w:val="24"/>
        </w:rPr>
        <w:t>EC</w:t>
      </w:r>
      <w:r w:rsidR="001019C7">
        <w:rPr>
          <w:rFonts w:cs="Times New Roman"/>
          <w:szCs w:val="24"/>
        </w:rPr>
        <w:t>t</w:t>
      </w:r>
      <w:r w:rsidR="00E11277">
        <w:rPr>
          <w:rFonts w:cs="Times New Roman"/>
          <w:szCs w:val="24"/>
        </w:rPr>
        <w:t>HR</w:t>
      </w:r>
      <w:r>
        <w:rPr>
          <w:rFonts w:cs="Times New Roman"/>
          <w:szCs w:val="24"/>
        </w:rPr>
        <w:t xml:space="preserve"> in </w:t>
      </w:r>
      <w:r w:rsidRPr="00777B78">
        <w:rPr>
          <w:rFonts w:cs="Times New Roman"/>
          <w:i/>
          <w:szCs w:val="24"/>
        </w:rPr>
        <w:t>Schalk and Kopf v Austria</w:t>
      </w:r>
      <w:r>
        <w:rPr>
          <w:rFonts w:cs="Times New Roman"/>
          <w:szCs w:val="24"/>
        </w:rPr>
        <w:t xml:space="preserve"> decided that, as in the case of a heterosexual couple, a cohabiting same-sex couple in a stable partnership falls within the notion of “family life.”</w:t>
      </w:r>
      <w:r>
        <w:rPr>
          <w:rStyle w:val="FootnoteReference"/>
          <w:rFonts w:cs="Times New Roman"/>
          <w:szCs w:val="24"/>
        </w:rPr>
        <w:footnoteReference w:id="83"/>
      </w:r>
      <w:r>
        <w:rPr>
          <w:rFonts w:cs="Times New Roman"/>
          <w:szCs w:val="24"/>
        </w:rPr>
        <w:t xml:space="preserve"> </w:t>
      </w:r>
      <w:r w:rsidR="005A4694">
        <w:rPr>
          <w:rFonts w:cs="Times New Roman"/>
          <w:szCs w:val="24"/>
        </w:rPr>
        <w:t>Also, the right to raise a family should not be linked to the biological procreative capacity of a couple.</w:t>
      </w:r>
      <w:r w:rsidR="005A4694">
        <w:rPr>
          <w:rStyle w:val="FootnoteReference"/>
          <w:rFonts w:cs="Times New Roman"/>
          <w:szCs w:val="24"/>
        </w:rPr>
        <w:footnoteReference w:id="84"/>
      </w:r>
      <w:r w:rsidR="005A4694">
        <w:rPr>
          <w:rFonts w:cs="Times New Roman"/>
          <w:szCs w:val="24"/>
        </w:rPr>
        <w:t xml:space="preserve"> </w:t>
      </w:r>
      <w:r>
        <w:rPr>
          <w:rFonts w:cs="Times New Roman"/>
          <w:szCs w:val="24"/>
        </w:rPr>
        <w:t xml:space="preserve">In light of these expansive interpretations of the familial structure, a traditional conceptualization of family as comprising a man and a woman would not constitute a “reasonable and objective” purpose for discriminating against same-sex couples in relation to the right to marry. </w:t>
      </w:r>
    </w:p>
    <w:p w:rsidR="004249A8" w:rsidRDefault="000416B7" w:rsidP="008571A4">
      <w:pPr>
        <w:spacing w:line="480" w:lineRule="auto"/>
        <w:jc w:val="both"/>
        <w:rPr>
          <w:rFonts w:cs="Times New Roman"/>
          <w:szCs w:val="24"/>
        </w:rPr>
      </w:pPr>
      <w:r>
        <w:rPr>
          <w:rFonts w:cs="Times New Roman"/>
          <w:szCs w:val="24"/>
        </w:rPr>
        <w:t xml:space="preserve">Even if this Court considered the purpose stated as a sufficiently legitimate aim, it would need to assess the proportionality of the measure. </w:t>
      </w:r>
      <w:r w:rsidR="004249A8">
        <w:rPr>
          <w:rFonts w:cs="Times New Roman"/>
          <w:szCs w:val="24"/>
        </w:rPr>
        <w:t xml:space="preserve">The objective of preserving the concept of family </w:t>
      </w:r>
      <w:r>
        <w:rPr>
          <w:rFonts w:cs="Times New Roman"/>
          <w:szCs w:val="24"/>
        </w:rPr>
        <w:lastRenderedPageBreak/>
        <w:t xml:space="preserve">encompasses </w:t>
      </w:r>
      <w:r w:rsidR="004249A8">
        <w:rPr>
          <w:rFonts w:cs="Times New Roman"/>
          <w:szCs w:val="24"/>
        </w:rPr>
        <w:t xml:space="preserve">maintaining institutional support to promote and protect the forming of heterosexual unions. </w:t>
      </w:r>
      <w:r w:rsidR="00FE32F1">
        <w:rPr>
          <w:rFonts w:cs="Times New Roman"/>
          <w:szCs w:val="24"/>
        </w:rPr>
        <w:t>In a proportionality analysis, t</w:t>
      </w:r>
      <w:r w:rsidR="004249A8">
        <w:rPr>
          <w:rFonts w:cs="Times New Roman"/>
          <w:szCs w:val="24"/>
        </w:rPr>
        <w:t xml:space="preserve">he interest pursued by the legislation should not outweigh the impact on human dignity and freedom, and there should be no less restrictive means of achieving the stated aim. It is submitted that </w:t>
      </w:r>
      <w:r w:rsidR="00FE32F1">
        <w:rPr>
          <w:rFonts w:cs="Times New Roman"/>
          <w:szCs w:val="24"/>
        </w:rPr>
        <w:t>t</w:t>
      </w:r>
      <w:r w:rsidR="004249A8">
        <w:rPr>
          <w:rFonts w:cs="Times New Roman"/>
          <w:szCs w:val="24"/>
        </w:rPr>
        <w:t xml:space="preserve">he exclusion of same-sex couples from marriage is not necessary to encourage procreation, childbearing and companionship amongst heterosexual couples. </w:t>
      </w:r>
      <w:r w:rsidR="00FE32F1">
        <w:rPr>
          <w:rFonts w:cs="Times New Roman"/>
          <w:szCs w:val="24"/>
        </w:rPr>
        <w:t>T</w:t>
      </w:r>
      <w:r w:rsidR="004249A8">
        <w:rPr>
          <w:rFonts w:cs="Times New Roman"/>
          <w:szCs w:val="24"/>
        </w:rPr>
        <w:t>his is not a matter of balancing the interests of competing groups, as allowing same-sex couples to marry does not simultaneously deprive opposite-sex couples of their access to marriage and ensuing protection. Therefore, allowing same-sex marriage would not preclude Elizabetia from continuing to provide institutional support to heterosexual couples</w:t>
      </w:r>
      <w:r w:rsidR="00B95666">
        <w:rPr>
          <w:rFonts w:cs="Times New Roman"/>
          <w:szCs w:val="24"/>
        </w:rPr>
        <w:t xml:space="preserve"> and thus preserve the concept of family</w:t>
      </w:r>
      <w:r w:rsidR="004249A8">
        <w:rPr>
          <w:rFonts w:cs="Times New Roman"/>
          <w:szCs w:val="24"/>
        </w:rPr>
        <w:t xml:space="preserve">. </w:t>
      </w:r>
    </w:p>
    <w:p w:rsidR="006D67E6" w:rsidRPr="006E2970" w:rsidRDefault="006D67E6" w:rsidP="006E2970">
      <w:pPr>
        <w:spacing w:line="480" w:lineRule="auto"/>
        <w:ind w:firstLine="720"/>
        <w:jc w:val="both"/>
        <w:rPr>
          <w:rFonts w:cs="Times New Roman"/>
          <w:i/>
          <w:szCs w:val="24"/>
        </w:rPr>
      </w:pPr>
      <w:r w:rsidRPr="006E2970">
        <w:rPr>
          <w:rFonts w:cs="Times New Roman"/>
          <w:i/>
          <w:szCs w:val="24"/>
          <w:u w:val="single"/>
        </w:rPr>
        <w:t>Human Dignity</w:t>
      </w:r>
    </w:p>
    <w:p w:rsidR="006D67E6" w:rsidRDefault="006D67E6" w:rsidP="006D67E6">
      <w:pPr>
        <w:spacing w:line="480" w:lineRule="auto"/>
        <w:jc w:val="both"/>
        <w:rPr>
          <w:rFonts w:cs="Times New Roman"/>
          <w:szCs w:val="24"/>
        </w:rPr>
      </w:pPr>
      <w:r>
        <w:rPr>
          <w:rFonts w:cs="Times New Roman"/>
          <w:szCs w:val="24"/>
        </w:rPr>
        <w:t>This Court has proclaimed that “the notion of equality…is linked to the essential dignity of the individual.”</w:t>
      </w:r>
      <w:r>
        <w:rPr>
          <w:rStyle w:val="FootnoteReference"/>
          <w:rFonts w:cs="Times New Roman"/>
          <w:szCs w:val="24"/>
        </w:rPr>
        <w:footnoteReference w:id="85"/>
      </w:r>
      <w:r>
        <w:rPr>
          <w:rFonts w:cs="Times New Roman"/>
          <w:szCs w:val="24"/>
        </w:rPr>
        <w:t xml:space="preserve"> The concept of human dignity is intricately linked to the notion of equality, and constitutes a core foundational element in a plethora of international human rights instruments.</w:t>
      </w:r>
      <w:r>
        <w:rPr>
          <w:rStyle w:val="FootnoteReference"/>
          <w:rFonts w:cs="Times New Roman"/>
          <w:szCs w:val="24"/>
        </w:rPr>
        <w:footnoteReference w:id="86"/>
      </w:r>
      <w:r>
        <w:rPr>
          <w:rFonts w:cs="Times New Roman"/>
          <w:szCs w:val="24"/>
        </w:rPr>
        <w:t xml:space="preserve"> This Court has opined that restrictions of ACHR rights must not be in conflict with the “essential oneness and dignity of humankind.”</w:t>
      </w:r>
      <w:r>
        <w:rPr>
          <w:rStyle w:val="FootnoteReference"/>
          <w:rFonts w:cs="Times New Roman"/>
          <w:szCs w:val="24"/>
        </w:rPr>
        <w:footnoteReference w:id="87"/>
      </w:r>
      <w:r>
        <w:rPr>
          <w:rFonts w:cs="Times New Roman"/>
          <w:szCs w:val="24"/>
        </w:rPr>
        <w:t xml:space="preserve"> The American Declaration and the Pact of San Salvador, to which Elizabetia is a party, emphasizes the importance of dignity as a principle from which all human rights are inherently derived.</w:t>
      </w:r>
      <w:r w:rsidRPr="00BD1E0D">
        <w:rPr>
          <w:rStyle w:val="FootnoteReference"/>
          <w:rFonts w:cs="Times New Roman"/>
          <w:szCs w:val="24"/>
        </w:rPr>
        <w:t xml:space="preserve"> </w:t>
      </w:r>
      <w:r>
        <w:rPr>
          <w:rStyle w:val="FootnoteReference"/>
          <w:rFonts w:cs="Times New Roman"/>
          <w:szCs w:val="24"/>
        </w:rPr>
        <w:footnoteReference w:id="88"/>
      </w:r>
      <w:r>
        <w:rPr>
          <w:rFonts w:cs="Times New Roman"/>
          <w:szCs w:val="24"/>
        </w:rPr>
        <w:t>The Preambles of both instruments affirm that recognition should be accorded to the dignity of the human person. Also the Preamble of the ACHR speaks to rights being “based upon attributes of the human personality.” Furthermore, Article 11.1</w:t>
      </w:r>
      <w:r w:rsidR="00820DC0">
        <w:rPr>
          <w:rFonts w:cs="Times New Roman"/>
          <w:szCs w:val="24"/>
        </w:rPr>
        <w:fldChar w:fldCharType="begin"/>
      </w:r>
      <w:r>
        <w:instrText xml:space="preserve"> TA \s "Article 11" </w:instrText>
      </w:r>
      <w:r w:rsidR="00820DC0">
        <w:rPr>
          <w:rFonts w:cs="Times New Roman"/>
          <w:szCs w:val="24"/>
        </w:rPr>
        <w:fldChar w:fldCharType="end"/>
      </w:r>
      <w:r>
        <w:rPr>
          <w:rFonts w:cs="Times New Roman"/>
          <w:szCs w:val="24"/>
        </w:rPr>
        <w:t xml:space="preserve"> </w:t>
      </w:r>
      <w:r>
        <w:rPr>
          <w:rFonts w:cs="Times New Roman"/>
          <w:szCs w:val="24"/>
        </w:rPr>
        <w:lastRenderedPageBreak/>
        <w:t>ACHR enshrines the right of everyone to have their honor and dignity recognized and respected. Comparative constitutional jurisprudence has increasingly relied on a dignity-centered argument for supporting the right to same-sex marriage.</w:t>
      </w:r>
      <w:r>
        <w:rPr>
          <w:rStyle w:val="FootnoteReference"/>
          <w:rFonts w:cs="Times New Roman"/>
          <w:szCs w:val="24"/>
        </w:rPr>
        <w:footnoteReference w:id="89"/>
      </w:r>
      <w:r>
        <w:rPr>
          <w:rFonts w:cs="Times New Roman"/>
          <w:szCs w:val="24"/>
        </w:rPr>
        <w:t xml:space="preserve"> The preclusion of same-sex couples from the institution of marriage perpetuates the notion that they are “not worthy of the same respect and recognition as opposite-sex couples.”</w:t>
      </w:r>
      <w:r>
        <w:rPr>
          <w:rStyle w:val="FootnoteReference"/>
          <w:rFonts w:cs="Times New Roman"/>
          <w:szCs w:val="24"/>
        </w:rPr>
        <w:footnoteReference w:id="90"/>
      </w:r>
      <w:r>
        <w:rPr>
          <w:rFonts w:cs="Times New Roman"/>
          <w:szCs w:val="24"/>
        </w:rPr>
        <w:t xml:space="preserve"> As such, it places them in a status of inferiority by infusing the dichotomy of heterosexuals as first-class citizens and their LGBTI counterparts as second-class citizens.</w:t>
      </w:r>
      <w:r>
        <w:rPr>
          <w:rStyle w:val="FootnoteReference"/>
          <w:rFonts w:cs="Times New Roman"/>
          <w:szCs w:val="24"/>
        </w:rPr>
        <w:footnoteReference w:id="91"/>
      </w:r>
      <w:r>
        <w:rPr>
          <w:rFonts w:cs="Times New Roman"/>
          <w:szCs w:val="24"/>
        </w:rPr>
        <w:t xml:space="preserve"> The State’s denial of the institution of marriage to same-sex couples “negates their right to self-determination in a most profound way” given its “legal and social significance.”</w:t>
      </w:r>
      <w:r>
        <w:rPr>
          <w:rStyle w:val="FootnoteReference"/>
          <w:rFonts w:cs="Times New Roman"/>
          <w:szCs w:val="24"/>
        </w:rPr>
        <w:footnoteReference w:id="92"/>
      </w:r>
    </w:p>
    <w:p w:rsidR="006D67E6" w:rsidRDefault="006D67E6" w:rsidP="006D67E6">
      <w:pPr>
        <w:spacing w:line="480" w:lineRule="auto"/>
        <w:jc w:val="both"/>
        <w:rPr>
          <w:rFonts w:cs="Times New Roman"/>
          <w:szCs w:val="24"/>
        </w:rPr>
      </w:pPr>
      <w:r>
        <w:rPr>
          <w:rFonts w:cs="Times New Roman"/>
          <w:szCs w:val="24"/>
        </w:rPr>
        <w:t>Elizabetia, by precluding the access of same-sex couples to marriage, violated the dignity of Serafina and Adriana, as members of a historically disadvantaged class of LGBTI Elizabetian citizens. Also, Article 406, by offering less substantive benefits to same-sex couples than what is offered to heterosexual couples and their preclusion from family under Article 85, further emphasizes the classification of LGBTI persons as an inferior social group. The affirmation from the executive and judicial arm of Elizabetia on the validity of these laws and their correlation with Elizabetian societal values</w:t>
      </w:r>
      <w:r>
        <w:rPr>
          <w:rStyle w:val="FootnoteReference"/>
          <w:rFonts w:cs="Times New Roman"/>
          <w:szCs w:val="24"/>
        </w:rPr>
        <w:footnoteReference w:id="93"/>
      </w:r>
      <w:r>
        <w:rPr>
          <w:rFonts w:cs="Times New Roman"/>
          <w:szCs w:val="24"/>
        </w:rPr>
        <w:t xml:space="preserve"> serves to endorse the systematic marginalization of homosexuals as a group, unworthy of equivalent relationship status to heterosexuals. Given that Granti indigenous persons exhibited signs of transsexualism, the historical acts of cultural oppression against persons of Granti ancestry underscores the marginalization of LGBTI persons. As such, Elizabetia has failed to undertake its positive obligation to guarantee the </w:t>
      </w:r>
      <w:r>
        <w:rPr>
          <w:rFonts w:cs="Times New Roman"/>
          <w:szCs w:val="24"/>
        </w:rPr>
        <w:lastRenderedPageBreak/>
        <w:t>fundamental ACHR rights as required by Article 1(1)</w:t>
      </w:r>
      <w:r w:rsidR="00820DC0">
        <w:rPr>
          <w:rFonts w:cs="Times New Roman"/>
          <w:szCs w:val="24"/>
        </w:rPr>
        <w:fldChar w:fldCharType="begin"/>
      </w:r>
      <w:r>
        <w:instrText xml:space="preserve"> TA \s "Article 1(1)" </w:instrText>
      </w:r>
      <w:r w:rsidR="00820DC0">
        <w:rPr>
          <w:rFonts w:cs="Times New Roman"/>
          <w:szCs w:val="24"/>
        </w:rPr>
        <w:fldChar w:fldCharType="end"/>
      </w:r>
      <w:r>
        <w:rPr>
          <w:rFonts w:cs="Times New Roman"/>
          <w:szCs w:val="24"/>
        </w:rPr>
        <w:t>, and has violated the dignity of Serafina and Adriana, in violation of Article 11.1</w:t>
      </w:r>
      <w:r w:rsidR="00820DC0">
        <w:rPr>
          <w:rFonts w:cs="Times New Roman"/>
          <w:szCs w:val="24"/>
        </w:rPr>
        <w:fldChar w:fldCharType="begin"/>
      </w:r>
      <w:r>
        <w:instrText xml:space="preserve"> TA \s "Article 11" </w:instrText>
      </w:r>
      <w:r w:rsidR="00820DC0">
        <w:rPr>
          <w:rFonts w:cs="Times New Roman"/>
          <w:szCs w:val="24"/>
        </w:rPr>
        <w:fldChar w:fldCharType="end"/>
      </w:r>
      <w:r>
        <w:rPr>
          <w:rFonts w:cs="Times New Roman"/>
          <w:szCs w:val="24"/>
        </w:rPr>
        <w:t xml:space="preserve"> ACHR.</w:t>
      </w:r>
    </w:p>
    <w:p w:rsidR="002716CF" w:rsidRPr="003979B3" w:rsidRDefault="003979B3" w:rsidP="00D8178D">
      <w:pPr>
        <w:pStyle w:val="Heading3"/>
        <w:rPr>
          <w:rFonts w:eastAsia="Calibri"/>
        </w:rPr>
      </w:pPr>
      <w:r>
        <w:rPr>
          <w:rFonts w:eastAsia="Calibri"/>
        </w:rPr>
        <w:t>ARTICLE 17: RIGHT TO MARRY AND RIGHT TO FAMILY</w:t>
      </w:r>
    </w:p>
    <w:p w:rsidR="000A6550" w:rsidRPr="006E2970" w:rsidRDefault="000A6550" w:rsidP="008571A4">
      <w:pPr>
        <w:spacing w:after="200" w:line="480" w:lineRule="auto"/>
        <w:jc w:val="both"/>
        <w:rPr>
          <w:rFonts w:eastAsia="Calibri" w:cs="Times New Roman"/>
          <w:i/>
          <w:szCs w:val="24"/>
        </w:rPr>
      </w:pPr>
    </w:p>
    <w:p w:rsidR="002716CF" w:rsidRPr="002716CF" w:rsidRDefault="002716CF" w:rsidP="008571A4">
      <w:pPr>
        <w:spacing w:after="200" w:line="480" w:lineRule="auto"/>
        <w:jc w:val="both"/>
        <w:rPr>
          <w:rFonts w:eastAsia="Calibri" w:cs="Times New Roman"/>
          <w:szCs w:val="24"/>
        </w:rPr>
      </w:pPr>
      <w:r w:rsidRPr="002716CF">
        <w:rPr>
          <w:rFonts w:eastAsia="Calibri" w:cs="Times New Roman"/>
          <w:szCs w:val="24"/>
        </w:rPr>
        <w:t>The right to protection against arbitrary or unlawful interference with the family of an individual under Article 11.2</w:t>
      </w:r>
      <w:r w:rsidR="00820DC0">
        <w:rPr>
          <w:rFonts w:eastAsia="Calibri" w:cs="Times New Roman"/>
          <w:szCs w:val="24"/>
        </w:rPr>
        <w:fldChar w:fldCharType="begin"/>
      </w:r>
      <w:r w:rsidR="00BB2EDB">
        <w:instrText xml:space="preserve"> TA \s "Article 11" </w:instrText>
      </w:r>
      <w:r w:rsidR="00820DC0">
        <w:rPr>
          <w:rFonts w:eastAsia="Calibri" w:cs="Times New Roman"/>
          <w:szCs w:val="24"/>
        </w:rPr>
        <w:fldChar w:fldCharType="end"/>
      </w:r>
      <w:r w:rsidRPr="002716CF">
        <w:rPr>
          <w:rFonts w:eastAsia="Calibri" w:cs="Times New Roman"/>
          <w:szCs w:val="24"/>
        </w:rPr>
        <w:t xml:space="preserve"> is closely linked to the right to protection of the family and to live in a family under Article 17</w:t>
      </w:r>
      <w:r w:rsidR="00820DC0">
        <w:rPr>
          <w:rFonts w:eastAsia="Calibri" w:cs="Times New Roman"/>
          <w:szCs w:val="24"/>
        </w:rPr>
        <w:fldChar w:fldCharType="begin"/>
      </w:r>
      <w:r w:rsidR="00BB2EDB">
        <w:instrText xml:space="preserve"> TA \l "</w:instrText>
      </w:r>
      <w:r w:rsidR="00BB2EDB" w:rsidRPr="007366C1">
        <w:rPr>
          <w:rFonts w:eastAsia="Calibri" w:cs="Times New Roman"/>
          <w:szCs w:val="24"/>
        </w:rPr>
        <w:instrText>Article 17</w:instrText>
      </w:r>
      <w:r w:rsidR="00BB2EDB">
        <w:instrText xml:space="preserve">" \s "Article 17" \c 5 </w:instrText>
      </w:r>
      <w:r w:rsidR="00820DC0">
        <w:rPr>
          <w:rFonts w:eastAsia="Calibri" w:cs="Times New Roman"/>
          <w:szCs w:val="24"/>
        </w:rPr>
        <w:fldChar w:fldCharType="end"/>
      </w:r>
      <w:r w:rsidRPr="002716CF">
        <w:rPr>
          <w:rFonts w:eastAsia="Calibri" w:cs="Times New Roman"/>
          <w:szCs w:val="24"/>
        </w:rPr>
        <w:t xml:space="preserve"> of the Convention</w:t>
      </w:r>
      <w:r w:rsidRPr="002716CF">
        <w:rPr>
          <w:rFonts w:eastAsia="Calibri" w:cs="Times New Roman"/>
          <w:szCs w:val="24"/>
          <w:vertAlign w:val="superscript"/>
        </w:rPr>
        <w:footnoteReference w:id="94"/>
      </w:r>
      <w:r w:rsidRPr="002716CF">
        <w:rPr>
          <w:rFonts w:eastAsia="Calibri" w:cs="Times New Roman"/>
          <w:szCs w:val="24"/>
        </w:rPr>
        <w:t xml:space="preserve"> and any violation of Article 11.2 implicitly gives rise to a violation of Article 17.</w:t>
      </w:r>
      <w:r w:rsidRPr="002716CF">
        <w:rPr>
          <w:rFonts w:eastAsia="Calibri" w:cs="Times New Roman"/>
          <w:szCs w:val="24"/>
          <w:vertAlign w:val="superscript"/>
        </w:rPr>
        <w:footnoteReference w:id="95"/>
      </w:r>
      <w:r w:rsidRPr="002716CF">
        <w:rPr>
          <w:rFonts w:eastAsia="Calibri" w:cs="Times New Roman"/>
          <w:szCs w:val="24"/>
        </w:rPr>
        <w:t xml:space="preserve"> This </w:t>
      </w:r>
      <w:r w:rsidR="00A01B1E">
        <w:rPr>
          <w:rFonts w:eastAsia="Calibri" w:cs="Times New Roman"/>
          <w:szCs w:val="24"/>
        </w:rPr>
        <w:t>right</w:t>
      </w:r>
      <w:r w:rsidRPr="002716CF">
        <w:rPr>
          <w:rFonts w:eastAsia="Calibri" w:cs="Times New Roman"/>
          <w:szCs w:val="24"/>
        </w:rPr>
        <w:t xml:space="preserve"> has been recognized in a number of international instruments</w:t>
      </w:r>
      <w:r w:rsidR="00AC3044">
        <w:rPr>
          <w:rFonts w:eastAsia="Calibri" w:cs="Times New Roman"/>
          <w:szCs w:val="24"/>
        </w:rPr>
        <w:t>.</w:t>
      </w:r>
      <w:r w:rsidRPr="002716CF">
        <w:rPr>
          <w:rFonts w:eastAsia="Calibri" w:cs="Times New Roman"/>
          <w:szCs w:val="24"/>
          <w:vertAlign w:val="superscript"/>
        </w:rPr>
        <w:footnoteReference w:id="96"/>
      </w:r>
      <w:r w:rsidRPr="002716CF">
        <w:rPr>
          <w:rFonts w:eastAsia="Calibri" w:cs="Times New Roman"/>
          <w:szCs w:val="24"/>
        </w:rPr>
        <w:t xml:space="preserve"> The family as the natural and fundamental group unit of society is entitled to protection by society and the state.</w:t>
      </w:r>
      <w:r w:rsidRPr="002716CF">
        <w:rPr>
          <w:rFonts w:eastAsia="Calibri" w:cs="Times New Roman"/>
          <w:szCs w:val="24"/>
          <w:vertAlign w:val="superscript"/>
        </w:rPr>
        <w:footnoteReference w:id="97"/>
      </w:r>
      <w:r w:rsidRPr="002716CF">
        <w:rPr>
          <w:rFonts w:eastAsia="Calibri" w:cs="Times New Roman"/>
          <w:szCs w:val="24"/>
        </w:rPr>
        <w:t xml:space="preserve"> </w:t>
      </w:r>
      <w:r w:rsidRPr="00F70881">
        <w:rPr>
          <w:rFonts w:eastAsia="Calibri" w:cs="Times New Roman"/>
          <w:szCs w:val="24"/>
        </w:rPr>
        <w:t>There is no single model of the family.</w:t>
      </w:r>
      <w:r w:rsidRPr="00F70881">
        <w:rPr>
          <w:rFonts w:eastAsia="Calibri" w:cs="Times New Roman"/>
          <w:szCs w:val="24"/>
          <w:vertAlign w:val="superscript"/>
        </w:rPr>
        <w:footnoteReference w:id="98"/>
      </w:r>
      <w:r w:rsidRPr="002716CF">
        <w:rPr>
          <w:rFonts w:eastAsia="Calibri" w:cs="Times New Roman"/>
          <w:szCs w:val="24"/>
        </w:rPr>
        <w:t xml:space="preserve"> This has led to same sex couples living in stable de facto relationships being included in the notion of ‘family’ in the same way as the relationship of a heterosexual couple in the same situation.</w:t>
      </w:r>
      <w:r w:rsidRPr="002716CF">
        <w:rPr>
          <w:rFonts w:eastAsia="Calibri" w:cs="Times New Roman"/>
          <w:szCs w:val="24"/>
          <w:vertAlign w:val="superscript"/>
        </w:rPr>
        <w:footnoteReference w:id="99"/>
      </w:r>
    </w:p>
    <w:p w:rsidR="002716CF" w:rsidRPr="002716CF" w:rsidRDefault="002716CF" w:rsidP="008571A4">
      <w:pPr>
        <w:spacing w:after="200" w:line="480" w:lineRule="auto"/>
        <w:jc w:val="both"/>
        <w:rPr>
          <w:rFonts w:eastAsia="Calibri" w:cs="Times New Roman"/>
          <w:szCs w:val="24"/>
        </w:rPr>
      </w:pPr>
      <w:r w:rsidRPr="002716CF">
        <w:rPr>
          <w:rFonts w:eastAsia="Calibri" w:cs="Times New Roman"/>
          <w:szCs w:val="24"/>
        </w:rPr>
        <w:t xml:space="preserve">Article 85 of the Elizabetian Constitution, affording special protection to the family resulting from the cohabitation of a man and a woman, is arbitrary and violates the right to the creation and protection of the family afforded to all models of the family under Article 17 of the ACHR. Article 406(2) further violates the right to form and raise a family by precluding same sex couples from adopting jointly. It is unclear upon the facts whether in same sex domestic partnerships a couple is allowed to adopt separately and further in determining whether adoption </w:t>
      </w:r>
      <w:r w:rsidRPr="002716CF">
        <w:rPr>
          <w:rFonts w:eastAsia="Calibri" w:cs="Times New Roman"/>
          <w:szCs w:val="24"/>
        </w:rPr>
        <w:lastRenderedPageBreak/>
        <w:t>should be granted the competent authority takes into account socio-cultural, psychological, financial and health studies.</w:t>
      </w:r>
      <w:r w:rsidRPr="002716CF">
        <w:rPr>
          <w:rFonts w:eastAsia="Calibri" w:cs="Times New Roman"/>
          <w:szCs w:val="24"/>
          <w:vertAlign w:val="superscript"/>
        </w:rPr>
        <w:footnoteReference w:id="100"/>
      </w:r>
      <w:r w:rsidRPr="002716CF">
        <w:rPr>
          <w:rFonts w:eastAsia="Calibri" w:cs="Times New Roman"/>
          <w:szCs w:val="24"/>
        </w:rPr>
        <w:t xml:space="preserve">  While it is unclear as to the extent to which each of the aforementioned factors influences the decision to grant an adoption it noteworthy that none of the factors specifically impugn joint adoption by same sex couples. This is especially true given that the public opinion polls show disapproval of equating same sex domestic partnerships with marry and not disapproval of same sex couples to form a family. </w:t>
      </w:r>
    </w:p>
    <w:p w:rsidR="002716CF" w:rsidRPr="002716CF" w:rsidRDefault="002716CF" w:rsidP="008571A4">
      <w:pPr>
        <w:spacing w:after="200" w:line="480" w:lineRule="auto"/>
        <w:jc w:val="both"/>
        <w:rPr>
          <w:rFonts w:eastAsia="Calibri" w:cs="Times New Roman"/>
          <w:szCs w:val="24"/>
        </w:rPr>
      </w:pPr>
      <w:r w:rsidRPr="002716CF">
        <w:rPr>
          <w:rFonts w:eastAsia="Calibri" w:cs="Times New Roman"/>
          <w:szCs w:val="24"/>
        </w:rPr>
        <w:t>In light of the broad interpretation afforded to the concept of the family, Elizabetia through the continued existence of Article 85 of the constitution and Article 406(2) of the State Civil Code has violated Serafina and Adriana’s right to form and raise a family under Article 17</w:t>
      </w:r>
      <w:r w:rsidR="00820DC0">
        <w:rPr>
          <w:rFonts w:eastAsia="Calibri" w:cs="Times New Roman"/>
          <w:szCs w:val="24"/>
        </w:rPr>
        <w:fldChar w:fldCharType="begin"/>
      </w:r>
      <w:r w:rsidR="00BB2EDB">
        <w:instrText xml:space="preserve"> TA \s "Article 17" </w:instrText>
      </w:r>
      <w:r w:rsidR="00820DC0">
        <w:rPr>
          <w:rFonts w:eastAsia="Calibri" w:cs="Times New Roman"/>
          <w:szCs w:val="24"/>
        </w:rPr>
        <w:fldChar w:fldCharType="end"/>
      </w:r>
      <w:r w:rsidRPr="002716CF">
        <w:rPr>
          <w:rFonts w:eastAsia="Calibri" w:cs="Times New Roman"/>
          <w:szCs w:val="24"/>
        </w:rPr>
        <w:t xml:space="preserve"> of the ACHR.</w:t>
      </w:r>
    </w:p>
    <w:p w:rsidR="002D0DC2" w:rsidRPr="006E2970" w:rsidRDefault="002D0DC2" w:rsidP="006E2970">
      <w:pPr>
        <w:ind w:firstLine="720"/>
        <w:rPr>
          <w:i/>
          <w:u w:val="single"/>
        </w:rPr>
      </w:pPr>
      <w:r w:rsidRPr="006E2970">
        <w:rPr>
          <w:i/>
          <w:u w:val="single"/>
        </w:rPr>
        <w:t>Article 17.2</w:t>
      </w:r>
      <w:r w:rsidR="00820DC0" w:rsidRPr="006E2970">
        <w:rPr>
          <w:i/>
          <w:u w:val="single"/>
        </w:rPr>
        <w:fldChar w:fldCharType="begin"/>
      </w:r>
      <w:r w:rsidR="00BB2EDB" w:rsidRPr="006E2970">
        <w:rPr>
          <w:i/>
          <w:u w:val="single"/>
        </w:rPr>
        <w:instrText xml:space="preserve"> TA \s "Article 17.2" </w:instrText>
      </w:r>
      <w:r w:rsidR="00820DC0" w:rsidRPr="006E2970">
        <w:rPr>
          <w:i/>
          <w:u w:val="single"/>
        </w:rPr>
        <w:fldChar w:fldCharType="end"/>
      </w:r>
      <w:r w:rsidRPr="006E2970">
        <w:rPr>
          <w:i/>
          <w:u w:val="single"/>
        </w:rPr>
        <w:t xml:space="preserve"> – Right to Marry and Raise a Family</w:t>
      </w:r>
    </w:p>
    <w:p w:rsidR="000A6550" w:rsidRDefault="000A6550" w:rsidP="008571A4">
      <w:pPr>
        <w:spacing w:line="480" w:lineRule="auto"/>
        <w:jc w:val="both"/>
        <w:rPr>
          <w:rFonts w:cs="Times New Roman"/>
          <w:szCs w:val="24"/>
        </w:rPr>
      </w:pPr>
    </w:p>
    <w:p w:rsidR="002D0DC2" w:rsidRDefault="002D0DC2" w:rsidP="008571A4">
      <w:pPr>
        <w:spacing w:line="480" w:lineRule="auto"/>
        <w:jc w:val="both"/>
        <w:rPr>
          <w:rFonts w:cs="Times New Roman"/>
          <w:szCs w:val="24"/>
        </w:rPr>
      </w:pPr>
      <w:r>
        <w:rPr>
          <w:rFonts w:cs="Times New Roman"/>
          <w:szCs w:val="24"/>
        </w:rPr>
        <w:t>This Court has held that human rights treaties are “living instruments whose interpretation must consider the changes over time and present day conditions.”</w:t>
      </w:r>
      <w:r>
        <w:rPr>
          <w:rStyle w:val="FootnoteReference"/>
          <w:rFonts w:cs="Times New Roman"/>
          <w:szCs w:val="24"/>
        </w:rPr>
        <w:footnoteReference w:id="101"/>
      </w:r>
      <w:r>
        <w:rPr>
          <w:rFonts w:cs="Times New Roman"/>
          <w:szCs w:val="24"/>
        </w:rPr>
        <w:t xml:space="preserve"> In interpreting the Convention in light of its object and purpose</w:t>
      </w:r>
      <w:r w:rsidR="005A4694">
        <w:rPr>
          <w:rFonts w:cs="Times New Roman"/>
          <w:szCs w:val="24"/>
        </w:rPr>
        <w:t>,</w:t>
      </w:r>
      <w:r>
        <w:rPr>
          <w:rStyle w:val="FootnoteReference"/>
          <w:rFonts w:cs="Times New Roman"/>
          <w:szCs w:val="24"/>
        </w:rPr>
        <w:footnoteReference w:id="102"/>
      </w:r>
      <w:r w:rsidR="005A4694">
        <w:rPr>
          <w:rFonts w:cs="Times New Roman"/>
          <w:szCs w:val="24"/>
        </w:rPr>
        <w:t xml:space="preserve"> </w:t>
      </w:r>
      <w:r>
        <w:rPr>
          <w:rFonts w:cs="Times New Roman"/>
          <w:szCs w:val="24"/>
        </w:rPr>
        <w:t>this Court has opined that Convention rights should be interpreted to afford the greatest level of protection to the individual as long as such interpretation does not modify the system.</w:t>
      </w:r>
      <w:r>
        <w:rPr>
          <w:rStyle w:val="FootnoteReference"/>
          <w:rFonts w:cs="Times New Roman"/>
          <w:szCs w:val="24"/>
        </w:rPr>
        <w:footnoteReference w:id="103"/>
      </w:r>
      <w:r>
        <w:rPr>
          <w:rFonts w:cs="Times New Roman"/>
          <w:szCs w:val="24"/>
        </w:rPr>
        <w:t xml:space="preserve"> In applying the </w:t>
      </w:r>
      <w:r w:rsidRPr="00E31A59">
        <w:rPr>
          <w:rFonts w:cs="Times New Roman"/>
          <w:i/>
          <w:szCs w:val="24"/>
        </w:rPr>
        <w:t>pro homine</w:t>
      </w:r>
      <w:r w:rsidR="0085640F">
        <w:rPr>
          <w:rFonts w:cs="Times New Roman"/>
          <w:szCs w:val="24"/>
        </w:rPr>
        <w:t xml:space="preserve"> principle, this Court has </w:t>
      </w:r>
      <w:r>
        <w:rPr>
          <w:rFonts w:cs="Times New Roman"/>
          <w:szCs w:val="24"/>
        </w:rPr>
        <w:t>also argued that guarantees must be practical and effective (</w:t>
      </w:r>
      <w:r w:rsidRPr="00E31A59">
        <w:rPr>
          <w:rFonts w:cs="Times New Roman"/>
          <w:i/>
          <w:szCs w:val="24"/>
        </w:rPr>
        <w:t>effet utile</w:t>
      </w:r>
      <w:r>
        <w:rPr>
          <w:rFonts w:cs="Times New Roman"/>
          <w:szCs w:val="24"/>
        </w:rPr>
        <w:t>).</w:t>
      </w:r>
      <w:r w:rsidR="00534420">
        <w:rPr>
          <w:rStyle w:val="FootnoteReference"/>
          <w:rFonts w:cs="Times New Roman"/>
          <w:szCs w:val="24"/>
        </w:rPr>
        <w:footnoteReference w:id="104"/>
      </w:r>
      <w:r>
        <w:rPr>
          <w:rFonts w:cs="Times New Roman"/>
          <w:szCs w:val="24"/>
        </w:rPr>
        <w:t xml:space="preserve"> Article 29(c)</w:t>
      </w:r>
      <w:r w:rsidR="00820DC0">
        <w:rPr>
          <w:rFonts w:cs="Times New Roman"/>
          <w:szCs w:val="24"/>
        </w:rPr>
        <w:fldChar w:fldCharType="begin"/>
      </w:r>
      <w:r w:rsidR="00BB2EDB">
        <w:instrText xml:space="preserve"> TA \s "Article 29" </w:instrText>
      </w:r>
      <w:r w:rsidR="00820DC0">
        <w:rPr>
          <w:rFonts w:cs="Times New Roman"/>
          <w:szCs w:val="24"/>
        </w:rPr>
        <w:fldChar w:fldCharType="end"/>
      </w:r>
      <w:r w:rsidR="005A4694">
        <w:rPr>
          <w:rFonts w:cs="Times New Roman"/>
          <w:szCs w:val="24"/>
        </w:rPr>
        <w:t xml:space="preserve"> ACHR</w:t>
      </w:r>
      <w:r>
        <w:rPr>
          <w:rFonts w:cs="Times New Roman"/>
          <w:szCs w:val="24"/>
        </w:rPr>
        <w:t xml:space="preserve"> </w:t>
      </w:r>
      <w:r>
        <w:rPr>
          <w:rFonts w:cs="Times New Roman"/>
          <w:szCs w:val="24"/>
        </w:rPr>
        <w:lastRenderedPageBreak/>
        <w:t xml:space="preserve">mandates that the Convention cannot be interpreted so as to preclude “other rights that are inherent in the human personality”, and the Preamble of the Convention makes reference to essential rights being derived from the attributes of the human personality. </w:t>
      </w:r>
    </w:p>
    <w:p w:rsidR="002D0DC2" w:rsidRDefault="002D0DC2" w:rsidP="008571A4">
      <w:pPr>
        <w:spacing w:line="480" w:lineRule="auto"/>
        <w:jc w:val="both"/>
        <w:rPr>
          <w:rFonts w:cs="Times New Roman"/>
          <w:szCs w:val="24"/>
        </w:rPr>
      </w:pPr>
      <w:r>
        <w:rPr>
          <w:rFonts w:cs="Times New Roman"/>
          <w:szCs w:val="24"/>
        </w:rPr>
        <w:t xml:space="preserve">In adjudicating cases, this Court has repeatedly affirmed its practice of examining the </w:t>
      </w:r>
      <w:r>
        <w:rPr>
          <w:rFonts w:cs="Times New Roman"/>
          <w:i/>
          <w:szCs w:val="24"/>
        </w:rPr>
        <w:t>c</w:t>
      </w:r>
      <w:r w:rsidRPr="003E13FB">
        <w:rPr>
          <w:rFonts w:cs="Times New Roman"/>
          <w:i/>
          <w:szCs w:val="24"/>
        </w:rPr>
        <w:t>orpus juris</w:t>
      </w:r>
      <w:r>
        <w:rPr>
          <w:rFonts w:cs="Times New Roman"/>
          <w:szCs w:val="24"/>
        </w:rPr>
        <w:t xml:space="preserve"> of international human rights law.</w:t>
      </w:r>
      <w:r>
        <w:rPr>
          <w:rStyle w:val="FootnoteReference"/>
          <w:rFonts w:cs="Times New Roman"/>
          <w:szCs w:val="24"/>
        </w:rPr>
        <w:footnoteReference w:id="105"/>
      </w:r>
      <w:r>
        <w:rPr>
          <w:rFonts w:cs="Times New Roman"/>
          <w:szCs w:val="24"/>
        </w:rPr>
        <w:t xml:space="preserve"> The Commission has held that the decisions of other international tribunals may provide constructive insights into the interpretation of Convention rights.</w:t>
      </w:r>
      <w:r>
        <w:rPr>
          <w:rStyle w:val="FootnoteReference"/>
          <w:rFonts w:cs="Times New Roman"/>
          <w:szCs w:val="24"/>
        </w:rPr>
        <w:footnoteReference w:id="106"/>
      </w:r>
      <w:r w:rsidR="00534505">
        <w:rPr>
          <w:rFonts w:cs="Times New Roman"/>
          <w:szCs w:val="24"/>
        </w:rPr>
        <w:t xml:space="preserve"> The ECtHR</w:t>
      </w:r>
      <w:r>
        <w:rPr>
          <w:rFonts w:cs="Times New Roman"/>
          <w:szCs w:val="24"/>
        </w:rPr>
        <w:t xml:space="preserve"> in </w:t>
      </w:r>
      <w:r w:rsidRPr="00F1085D">
        <w:rPr>
          <w:rFonts w:cs="Times New Roman"/>
          <w:i/>
          <w:szCs w:val="24"/>
        </w:rPr>
        <w:t>Goodwin v UK</w:t>
      </w:r>
      <w:r>
        <w:rPr>
          <w:rFonts w:cs="Times New Roman"/>
          <w:szCs w:val="24"/>
        </w:rPr>
        <w:t xml:space="preserve"> in upholding the right of a post-operative transsexual to marry, reasoned that though Article 12 of the ECHR, which is similar to Article 17.2</w:t>
      </w:r>
      <w:r w:rsidR="00820DC0">
        <w:rPr>
          <w:rFonts w:cs="Times New Roman"/>
          <w:szCs w:val="24"/>
        </w:rPr>
        <w:fldChar w:fldCharType="begin"/>
      </w:r>
      <w:r w:rsidR="00BB2EDB">
        <w:instrText xml:space="preserve"> TA \s "Article 17.2" </w:instrText>
      </w:r>
      <w:r w:rsidR="00820DC0">
        <w:rPr>
          <w:rFonts w:cs="Times New Roman"/>
          <w:szCs w:val="24"/>
        </w:rPr>
        <w:fldChar w:fldCharType="end"/>
      </w:r>
      <w:r>
        <w:rPr>
          <w:rFonts w:cs="Times New Roman"/>
          <w:szCs w:val="24"/>
        </w:rPr>
        <w:t xml:space="preserve"> ACHR, is worded as “the right to marry and found a family” the second aspect is not a condition of the first and “the inability of any couple to conceive or parent a child cannot be regarded as per se removing their right to enjoy the first limb of this provision.”</w:t>
      </w:r>
      <w:r>
        <w:rPr>
          <w:rStyle w:val="FootnoteReference"/>
          <w:rFonts w:cs="Times New Roman"/>
          <w:szCs w:val="24"/>
        </w:rPr>
        <w:footnoteReference w:id="107"/>
      </w:r>
      <w:r>
        <w:rPr>
          <w:rFonts w:cs="Times New Roman"/>
          <w:szCs w:val="24"/>
        </w:rPr>
        <w:t xml:space="preserve"> By expanding the interpretation of the terms man and woman beyond biological criteria to include psychological gender identity, the European Court moved away from the traditional notion of the procreative purpose of marriage.  It is this kind of expansive interpretation, in light of the principles discussed above, which this Court is invited to undertake in construing the Article 17.2 provision. The wording of Article 17.2</w:t>
      </w:r>
      <w:r w:rsidR="00820DC0">
        <w:rPr>
          <w:rFonts w:cs="Times New Roman"/>
          <w:szCs w:val="24"/>
        </w:rPr>
        <w:fldChar w:fldCharType="begin"/>
      </w:r>
      <w:r w:rsidR="00BB2EDB">
        <w:instrText xml:space="preserve"> TA \s "Article 17.2" </w:instrText>
      </w:r>
      <w:r w:rsidR="00820DC0">
        <w:rPr>
          <w:rFonts w:cs="Times New Roman"/>
          <w:szCs w:val="24"/>
        </w:rPr>
        <w:fldChar w:fldCharType="end"/>
      </w:r>
      <w:r>
        <w:rPr>
          <w:rFonts w:cs="Times New Roman"/>
          <w:szCs w:val="24"/>
        </w:rPr>
        <w:t xml:space="preserve"> should not </w:t>
      </w:r>
      <w:r w:rsidR="00534505">
        <w:rPr>
          <w:rFonts w:cs="Times New Roman"/>
          <w:szCs w:val="24"/>
        </w:rPr>
        <w:t xml:space="preserve">therefore </w:t>
      </w:r>
      <w:r>
        <w:rPr>
          <w:rFonts w:cs="Times New Roman"/>
          <w:szCs w:val="24"/>
        </w:rPr>
        <w:t xml:space="preserve">be interpreted as only </w:t>
      </w:r>
      <w:r w:rsidR="00534505">
        <w:rPr>
          <w:rFonts w:cs="Times New Roman"/>
          <w:szCs w:val="24"/>
        </w:rPr>
        <w:t>protecting the right of heterosexuals to marry</w:t>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 xml:space="preserve">While the </w:t>
      </w:r>
      <w:r w:rsidR="00534505">
        <w:rPr>
          <w:rFonts w:cs="Times New Roman"/>
          <w:szCs w:val="24"/>
        </w:rPr>
        <w:t>ECtHR</w:t>
      </w:r>
      <w:r>
        <w:rPr>
          <w:rFonts w:cs="Times New Roman"/>
          <w:szCs w:val="24"/>
        </w:rPr>
        <w:t xml:space="preserve"> in </w:t>
      </w:r>
      <w:r w:rsidRPr="00FB340A">
        <w:rPr>
          <w:rFonts w:cs="Times New Roman"/>
          <w:i/>
          <w:szCs w:val="24"/>
        </w:rPr>
        <w:t>Schalk and Kopf</w:t>
      </w:r>
      <w:r>
        <w:rPr>
          <w:rFonts w:cs="Times New Roman"/>
          <w:szCs w:val="24"/>
        </w:rPr>
        <w:t xml:space="preserve"> has decided that there is no right to same-sex marriage protected under the ECHR, and the </w:t>
      </w:r>
      <w:r w:rsidR="003C109F">
        <w:rPr>
          <w:rFonts w:cs="Times New Roman"/>
          <w:szCs w:val="24"/>
        </w:rPr>
        <w:t>Human Rights Committee (“</w:t>
      </w:r>
      <w:r w:rsidR="00534505">
        <w:rPr>
          <w:rFonts w:cs="Times New Roman"/>
          <w:szCs w:val="24"/>
        </w:rPr>
        <w:t>HRC</w:t>
      </w:r>
      <w:r w:rsidR="003C109F">
        <w:rPr>
          <w:rFonts w:cs="Times New Roman"/>
          <w:szCs w:val="24"/>
        </w:rPr>
        <w:t>”)</w:t>
      </w:r>
      <w:r>
        <w:rPr>
          <w:rFonts w:cs="Times New Roman"/>
          <w:szCs w:val="24"/>
        </w:rPr>
        <w:t xml:space="preserve"> in </w:t>
      </w:r>
      <w:r w:rsidRPr="000B72B9">
        <w:rPr>
          <w:rFonts w:cs="Times New Roman"/>
          <w:i/>
          <w:szCs w:val="24"/>
        </w:rPr>
        <w:t xml:space="preserve">Joslin v </w:t>
      </w:r>
      <w:r>
        <w:rPr>
          <w:rFonts w:cs="Times New Roman"/>
          <w:i/>
          <w:szCs w:val="24"/>
        </w:rPr>
        <w:t xml:space="preserve">New </w:t>
      </w:r>
      <w:r>
        <w:rPr>
          <w:rFonts w:cs="Times New Roman"/>
          <w:i/>
          <w:szCs w:val="24"/>
        </w:rPr>
        <w:lastRenderedPageBreak/>
        <w:t>Zealand</w:t>
      </w:r>
      <w:r>
        <w:rPr>
          <w:rStyle w:val="FootnoteReference"/>
          <w:rFonts w:cs="Times New Roman"/>
          <w:i/>
          <w:szCs w:val="24"/>
        </w:rPr>
        <w:footnoteReference w:id="108"/>
      </w:r>
      <w:r>
        <w:rPr>
          <w:rFonts w:cs="Times New Roman"/>
          <w:szCs w:val="24"/>
        </w:rPr>
        <w:t xml:space="preserve"> made the same determination in relation to the ICCPR, it is submitted that </w:t>
      </w:r>
      <w:r w:rsidR="00A904C8">
        <w:rPr>
          <w:rFonts w:cs="Times New Roman"/>
          <w:szCs w:val="24"/>
        </w:rPr>
        <w:t>these decisions are distinguishable from the present case</w:t>
      </w:r>
      <w:r>
        <w:rPr>
          <w:rFonts w:cs="Times New Roman"/>
          <w:szCs w:val="24"/>
        </w:rPr>
        <w:t xml:space="preserve">. The </w:t>
      </w:r>
      <w:r w:rsidR="00534505">
        <w:rPr>
          <w:rFonts w:cs="Times New Roman"/>
          <w:szCs w:val="24"/>
        </w:rPr>
        <w:t>ECtHR</w:t>
      </w:r>
      <w:r>
        <w:rPr>
          <w:rFonts w:cs="Times New Roman"/>
          <w:szCs w:val="24"/>
        </w:rPr>
        <w:t xml:space="preserve"> was </w:t>
      </w:r>
      <w:r w:rsidR="00A904C8">
        <w:rPr>
          <w:rFonts w:cs="Times New Roman"/>
          <w:szCs w:val="24"/>
        </w:rPr>
        <w:t xml:space="preserve">not </w:t>
      </w:r>
      <w:r>
        <w:rPr>
          <w:rFonts w:cs="Times New Roman"/>
          <w:szCs w:val="24"/>
        </w:rPr>
        <w:t xml:space="preserve">tasked with considering the right to marry </w:t>
      </w:r>
      <w:r w:rsidR="005A4694">
        <w:rPr>
          <w:rFonts w:cs="Times New Roman"/>
          <w:szCs w:val="24"/>
        </w:rPr>
        <w:t>in conjunction with</w:t>
      </w:r>
      <w:r>
        <w:rPr>
          <w:rFonts w:cs="Times New Roman"/>
          <w:szCs w:val="24"/>
        </w:rPr>
        <w:t xml:space="preserve"> a stand-alone equality</w:t>
      </w:r>
      <w:r w:rsidR="00A904C8">
        <w:rPr>
          <w:rFonts w:cs="Times New Roman"/>
          <w:szCs w:val="24"/>
        </w:rPr>
        <w:t xml:space="preserve"> right akin to Article 24</w:t>
      </w:r>
      <w:r w:rsidR="00820DC0">
        <w:rPr>
          <w:rFonts w:cs="Times New Roman"/>
          <w:szCs w:val="24"/>
        </w:rPr>
        <w:fldChar w:fldCharType="begin"/>
      </w:r>
      <w:r w:rsidR="00BB2EDB">
        <w:instrText xml:space="preserve"> TA \s "Article 24" </w:instrText>
      </w:r>
      <w:r w:rsidR="00820DC0">
        <w:rPr>
          <w:rFonts w:cs="Times New Roman"/>
          <w:szCs w:val="24"/>
        </w:rPr>
        <w:fldChar w:fldCharType="end"/>
      </w:r>
      <w:r w:rsidR="00A904C8">
        <w:rPr>
          <w:rFonts w:cs="Times New Roman"/>
          <w:szCs w:val="24"/>
        </w:rPr>
        <w:t xml:space="preserve"> ACHR. </w:t>
      </w:r>
      <w:r w:rsidR="005A4694">
        <w:rPr>
          <w:rFonts w:cs="Times New Roman"/>
          <w:szCs w:val="24"/>
        </w:rPr>
        <w:t xml:space="preserve">In the European </w:t>
      </w:r>
      <w:r w:rsidR="00534505">
        <w:rPr>
          <w:rFonts w:cs="Times New Roman"/>
          <w:szCs w:val="24"/>
        </w:rPr>
        <w:t>framework</w:t>
      </w:r>
      <w:r w:rsidR="005A4694">
        <w:rPr>
          <w:rFonts w:cs="Times New Roman"/>
          <w:szCs w:val="24"/>
        </w:rPr>
        <w:t>, t</w:t>
      </w:r>
      <w:r w:rsidR="00A904C8">
        <w:rPr>
          <w:rFonts w:cs="Times New Roman"/>
          <w:szCs w:val="24"/>
        </w:rPr>
        <w:t>his equality right is</w:t>
      </w:r>
      <w:r>
        <w:rPr>
          <w:rFonts w:cs="Times New Roman"/>
          <w:szCs w:val="24"/>
        </w:rPr>
        <w:t xml:space="preserve"> contained in Protocol 12 of the ECHR, which was not binding on the defendant State in the matter. Furthermore, the </w:t>
      </w:r>
      <w:r w:rsidR="00534505">
        <w:rPr>
          <w:rFonts w:cs="Times New Roman"/>
          <w:szCs w:val="24"/>
        </w:rPr>
        <w:t>ECtHR</w:t>
      </w:r>
      <w:r>
        <w:rPr>
          <w:rFonts w:cs="Times New Roman"/>
          <w:szCs w:val="24"/>
        </w:rPr>
        <w:t xml:space="preserve"> did not consider the right to marry in light of the ECHR equivalent</w:t>
      </w:r>
      <w:r w:rsidR="00A904C8">
        <w:rPr>
          <w:rStyle w:val="FootnoteReference"/>
          <w:rFonts w:cs="Times New Roman"/>
          <w:szCs w:val="24"/>
        </w:rPr>
        <w:footnoteReference w:id="109"/>
      </w:r>
      <w:r>
        <w:rPr>
          <w:rFonts w:cs="Times New Roman"/>
          <w:szCs w:val="24"/>
        </w:rPr>
        <w:t xml:space="preserve"> to </w:t>
      </w:r>
      <w:r w:rsidR="00A904C8">
        <w:rPr>
          <w:rFonts w:cs="Times New Roman"/>
          <w:szCs w:val="24"/>
        </w:rPr>
        <w:t xml:space="preserve">the nondiscrimination provision in </w:t>
      </w:r>
      <w:r>
        <w:rPr>
          <w:rFonts w:cs="Times New Roman"/>
          <w:szCs w:val="24"/>
        </w:rPr>
        <w:t>Article 1.1</w:t>
      </w:r>
      <w:r w:rsidR="00820DC0">
        <w:rPr>
          <w:rFonts w:cs="Times New Roman"/>
          <w:szCs w:val="24"/>
        </w:rPr>
        <w:fldChar w:fldCharType="begin"/>
      </w:r>
      <w:r w:rsidR="00BB2EDB">
        <w:instrText xml:space="preserve"> TA \s "Article 1(1)" </w:instrText>
      </w:r>
      <w:r w:rsidR="00820DC0">
        <w:rPr>
          <w:rFonts w:cs="Times New Roman"/>
          <w:szCs w:val="24"/>
        </w:rPr>
        <w:fldChar w:fldCharType="end"/>
      </w:r>
      <w:r>
        <w:rPr>
          <w:rFonts w:cs="Times New Roman"/>
          <w:szCs w:val="24"/>
        </w:rPr>
        <w:t xml:space="preserve"> ACHR, and it is </w:t>
      </w:r>
      <w:r w:rsidR="00BF60DC">
        <w:rPr>
          <w:rFonts w:cs="Times New Roman"/>
          <w:szCs w:val="24"/>
        </w:rPr>
        <w:t>submitted that the result would have been different had it done so</w:t>
      </w:r>
      <w:r>
        <w:rPr>
          <w:rFonts w:cs="Times New Roman"/>
          <w:szCs w:val="24"/>
        </w:rPr>
        <w:t>.</w:t>
      </w:r>
      <w:r>
        <w:rPr>
          <w:rStyle w:val="FootnoteReference"/>
          <w:rFonts w:cs="Times New Roman"/>
          <w:szCs w:val="24"/>
        </w:rPr>
        <w:footnoteReference w:id="110"/>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 xml:space="preserve">Furthermore, though it did not rule that States are obliged to provide for same-sex marriage, the </w:t>
      </w:r>
      <w:r w:rsidR="00534505">
        <w:rPr>
          <w:rFonts w:cs="Times New Roman"/>
          <w:szCs w:val="24"/>
        </w:rPr>
        <w:t>ECtHR</w:t>
      </w:r>
      <w:r>
        <w:rPr>
          <w:rFonts w:cs="Times New Roman"/>
          <w:szCs w:val="24"/>
        </w:rPr>
        <w:t xml:space="preserve"> did acknowledge that in present times the right to marry is not</w:t>
      </w:r>
      <w:r w:rsidR="00F32CAC">
        <w:rPr>
          <w:rFonts w:cs="Times New Roman"/>
          <w:szCs w:val="24"/>
        </w:rPr>
        <w:t xml:space="preserve"> restricted to same-sex couples.</w:t>
      </w:r>
      <w:r>
        <w:rPr>
          <w:rStyle w:val="FootnoteReference"/>
          <w:rFonts w:cs="Times New Roman"/>
          <w:szCs w:val="24"/>
        </w:rPr>
        <w:footnoteReference w:id="111"/>
      </w:r>
      <w:r>
        <w:rPr>
          <w:rFonts w:cs="Times New Roman"/>
          <w:szCs w:val="24"/>
        </w:rPr>
        <w:t xml:space="preserve"> The </w:t>
      </w:r>
      <w:r w:rsidR="00534505">
        <w:rPr>
          <w:rFonts w:cs="Times New Roman"/>
          <w:szCs w:val="24"/>
        </w:rPr>
        <w:t xml:space="preserve">ECtHR </w:t>
      </w:r>
      <w:r>
        <w:rPr>
          <w:rFonts w:cs="Times New Roman"/>
          <w:szCs w:val="24"/>
        </w:rPr>
        <w:t>based its decision almost entirely on ascribing a wide margin of appreciation to the State on the issue due to lack of European consensus on the matter.</w:t>
      </w:r>
      <w:r>
        <w:rPr>
          <w:rStyle w:val="FootnoteReference"/>
          <w:rFonts w:cs="Times New Roman"/>
          <w:szCs w:val="24"/>
        </w:rPr>
        <w:footnoteReference w:id="112"/>
      </w:r>
      <w:r>
        <w:rPr>
          <w:rFonts w:cs="Times New Roman"/>
          <w:szCs w:val="24"/>
        </w:rPr>
        <w:t xml:space="preserve"> It is submitted that such a wide margin of appreciation should not be ascribed to Elizabetia in this case, in light of the concurrent violations established in relation to the </w:t>
      </w:r>
      <w:r w:rsidRPr="009530EF">
        <w:rPr>
          <w:rFonts w:cs="Times New Roman"/>
          <w:i/>
          <w:szCs w:val="24"/>
        </w:rPr>
        <w:t>jus cogens</w:t>
      </w:r>
      <w:r>
        <w:rPr>
          <w:rFonts w:cs="Times New Roman"/>
          <w:szCs w:val="24"/>
        </w:rPr>
        <w:t xml:space="preserve"> principles of equality and nondiscrimination. </w:t>
      </w:r>
      <w:r w:rsidR="00534505">
        <w:rPr>
          <w:rStyle w:val="FootnoteReference"/>
          <w:rFonts w:cs="Times New Roman"/>
          <w:szCs w:val="24"/>
        </w:rPr>
        <w:footnoteReference w:id="113"/>
      </w:r>
    </w:p>
    <w:p w:rsidR="002D0DC2" w:rsidRDefault="002D0DC2" w:rsidP="008571A4">
      <w:pPr>
        <w:spacing w:line="480" w:lineRule="auto"/>
        <w:jc w:val="both"/>
        <w:rPr>
          <w:rFonts w:cs="Times New Roman"/>
          <w:szCs w:val="24"/>
        </w:rPr>
      </w:pPr>
      <w:r>
        <w:rPr>
          <w:rFonts w:cs="Times New Roman"/>
          <w:szCs w:val="24"/>
        </w:rPr>
        <w:t xml:space="preserve">The </w:t>
      </w:r>
      <w:r w:rsidRPr="004C17D2">
        <w:rPr>
          <w:rFonts w:cs="Times New Roman"/>
          <w:i/>
          <w:szCs w:val="24"/>
        </w:rPr>
        <w:t>Joslin v New Zealand</w:t>
      </w:r>
      <w:r>
        <w:rPr>
          <w:rFonts w:cs="Times New Roman"/>
          <w:szCs w:val="24"/>
        </w:rPr>
        <w:t xml:space="preserve"> case also was not considered in light of equality and non-discriminati</w:t>
      </w:r>
      <w:r w:rsidR="00F32CAC">
        <w:rPr>
          <w:rFonts w:cs="Times New Roman"/>
          <w:szCs w:val="24"/>
        </w:rPr>
        <w:t>o</w:t>
      </w:r>
      <w:r w:rsidR="005A4694">
        <w:rPr>
          <w:rFonts w:cs="Times New Roman"/>
          <w:szCs w:val="24"/>
        </w:rPr>
        <w:t xml:space="preserve">n provisions in the ICCPR, and </w:t>
      </w:r>
      <w:r>
        <w:rPr>
          <w:rFonts w:cs="Times New Roman"/>
          <w:szCs w:val="24"/>
        </w:rPr>
        <w:t xml:space="preserve">the decision was rendered in 2002 when only one State in the world had legalized same-sex marriage. </w:t>
      </w:r>
      <w:r w:rsidR="0045760F">
        <w:rPr>
          <w:rFonts w:cs="Times New Roman"/>
          <w:szCs w:val="24"/>
        </w:rPr>
        <w:t xml:space="preserve">The law in this area is constantly evolving and therefore </w:t>
      </w:r>
      <w:r w:rsidR="00A02C70">
        <w:rPr>
          <w:rFonts w:cs="Times New Roman"/>
          <w:szCs w:val="24"/>
        </w:rPr>
        <w:t>that which did not constitute</w:t>
      </w:r>
      <w:r w:rsidR="0045760F">
        <w:rPr>
          <w:rFonts w:cs="Times New Roman"/>
          <w:szCs w:val="24"/>
        </w:rPr>
        <w:t xml:space="preserve"> a violation of a particular right ten years ago could very well be a violation to day. </w:t>
      </w:r>
      <w:r>
        <w:rPr>
          <w:rFonts w:cs="Times New Roman"/>
          <w:szCs w:val="24"/>
        </w:rPr>
        <w:t xml:space="preserve">In light of the living instrument principle and the need to apply an evolutionary interpretation to </w:t>
      </w:r>
      <w:r w:rsidR="00F32CAC">
        <w:rPr>
          <w:rFonts w:cs="Times New Roman"/>
          <w:szCs w:val="24"/>
        </w:rPr>
        <w:t>ACHR</w:t>
      </w:r>
      <w:r>
        <w:rPr>
          <w:rFonts w:cs="Times New Roman"/>
          <w:szCs w:val="24"/>
        </w:rPr>
        <w:t xml:space="preserve"> rights in affording the maximum protection to </w:t>
      </w:r>
      <w:r>
        <w:rPr>
          <w:rFonts w:cs="Times New Roman"/>
          <w:szCs w:val="24"/>
        </w:rPr>
        <w:lastRenderedPageBreak/>
        <w:t xml:space="preserve">individuals, </w:t>
      </w:r>
      <w:r w:rsidR="00F32CAC">
        <w:rPr>
          <w:rFonts w:cs="Times New Roman"/>
          <w:szCs w:val="24"/>
        </w:rPr>
        <w:t>this Court should render Article 17.2</w:t>
      </w:r>
      <w:r w:rsidR="00820DC0">
        <w:rPr>
          <w:rFonts w:cs="Times New Roman"/>
          <w:szCs w:val="24"/>
        </w:rPr>
        <w:fldChar w:fldCharType="begin"/>
      </w:r>
      <w:r w:rsidR="00BB2EDB">
        <w:instrText xml:space="preserve"> TA \s "Article 17.2" </w:instrText>
      </w:r>
      <w:r w:rsidR="00820DC0">
        <w:rPr>
          <w:rFonts w:cs="Times New Roman"/>
          <w:szCs w:val="24"/>
        </w:rPr>
        <w:fldChar w:fldCharType="end"/>
      </w:r>
      <w:r w:rsidR="00F32CAC">
        <w:rPr>
          <w:rFonts w:cs="Times New Roman"/>
          <w:szCs w:val="24"/>
        </w:rPr>
        <w:t xml:space="preserve"> as guaranteeing the right to marry to same-sex couples</w:t>
      </w:r>
      <w:r>
        <w:rPr>
          <w:rFonts w:cs="Times New Roman"/>
          <w:szCs w:val="24"/>
        </w:rPr>
        <w:t xml:space="preserve">. </w:t>
      </w:r>
    </w:p>
    <w:p w:rsidR="000F1CED" w:rsidRDefault="002D0DC2" w:rsidP="008571A4">
      <w:pPr>
        <w:spacing w:line="480" w:lineRule="auto"/>
        <w:jc w:val="both"/>
        <w:rPr>
          <w:rFonts w:cs="Times New Roman"/>
          <w:szCs w:val="24"/>
        </w:rPr>
      </w:pPr>
      <w:r>
        <w:rPr>
          <w:rFonts w:cs="Times New Roman"/>
          <w:szCs w:val="24"/>
        </w:rPr>
        <w:t xml:space="preserve">A similar expansive interpretation should be applied to the right to raise a family. </w:t>
      </w:r>
      <w:r w:rsidR="00F32CAC">
        <w:rPr>
          <w:rFonts w:cs="Times New Roman"/>
          <w:szCs w:val="24"/>
        </w:rPr>
        <w:t>This right</w:t>
      </w:r>
      <w:r>
        <w:rPr>
          <w:rFonts w:cs="Times New Roman"/>
          <w:szCs w:val="24"/>
        </w:rPr>
        <w:t xml:space="preserve"> is also contained in the American Declaration and the Protocol of San Salvador,</w:t>
      </w:r>
      <w:r w:rsidR="00F32CAC">
        <w:rPr>
          <w:rStyle w:val="FootnoteReference"/>
          <w:rFonts w:cs="Times New Roman"/>
          <w:szCs w:val="24"/>
        </w:rPr>
        <w:footnoteReference w:id="114"/>
      </w:r>
      <w:r>
        <w:rPr>
          <w:rFonts w:cs="Times New Roman"/>
          <w:szCs w:val="24"/>
        </w:rPr>
        <w:t xml:space="preserve"> which are also binding on Elizabetia. This Court has developed a practice of utilizing the provisions of other treaties </w:t>
      </w:r>
      <w:r w:rsidR="00F32CAC">
        <w:rPr>
          <w:rFonts w:cs="Times New Roman"/>
          <w:szCs w:val="24"/>
        </w:rPr>
        <w:t xml:space="preserve">which are binding on the State </w:t>
      </w:r>
      <w:r>
        <w:rPr>
          <w:rFonts w:cs="Times New Roman"/>
          <w:szCs w:val="24"/>
        </w:rPr>
        <w:t>to clarify and provide content to Convention rights.</w:t>
      </w:r>
      <w:r>
        <w:rPr>
          <w:rStyle w:val="FootnoteReference"/>
          <w:rFonts w:cs="Times New Roman"/>
          <w:szCs w:val="24"/>
        </w:rPr>
        <w:footnoteReference w:id="115"/>
      </w:r>
      <w:r>
        <w:rPr>
          <w:rFonts w:cs="Times New Roman"/>
          <w:szCs w:val="24"/>
        </w:rPr>
        <w:t xml:space="preserve"> Also, Article 29(d)</w:t>
      </w:r>
      <w:r w:rsidR="00820DC0">
        <w:rPr>
          <w:rFonts w:cs="Times New Roman"/>
          <w:szCs w:val="24"/>
        </w:rPr>
        <w:fldChar w:fldCharType="begin"/>
      </w:r>
      <w:r w:rsidR="00BB2EDB">
        <w:instrText xml:space="preserve"> TA \s "Article 29" </w:instrText>
      </w:r>
      <w:r w:rsidR="00820DC0">
        <w:rPr>
          <w:rFonts w:cs="Times New Roman"/>
          <w:szCs w:val="24"/>
        </w:rPr>
        <w:fldChar w:fldCharType="end"/>
      </w:r>
      <w:r>
        <w:rPr>
          <w:rFonts w:cs="Times New Roman"/>
          <w:szCs w:val="24"/>
        </w:rPr>
        <w:t xml:space="preserve"> ACHR provides that interpretations of Convention provisions should not exclude or limit the effect of the American Declaration. As such, Article 17.2 should be interpreted in light of the wider right enshrined in the American Declaration, which expressly bestows the right to raise a family upon “everyone</w:t>
      </w:r>
      <w:r w:rsidR="00F32CAC">
        <w:rPr>
          <w:rFonts w:cs="Times New Roman"/>
          <w:szCs w:val="24"/>
        </w:rPr>
        <w:t>,</w:t>
      </w:r>
      <w:r>
        <w:rPr>
          <w:rFonts w:cs="Times New Roman"/>
          <w:szCs w:val="24"/>
        </w:rPr>
        <w:t xml:space="preserve">” as opposed to the limiting language of “men and women” used in the Article 17.2. </w:t>
      </w:r>
    </w:p>
    <w:p w:rsidR="000A6550" w:rsidRPr="003979B3" w:rsidRDefault="003979B3" w:rsidP="000A6550">
      <w:pPr>
        <w:pStyle w:val="Heading3"/>
        <w:rPr>
          <w:rFonts w:eastAsia="Calibri"/>
        </w:rPr>
      </w:pPr>
      <w:r w:rsidRPr="003979B3">
        <w:rPr>
          <w:rFonts w:eastAsia="Calibri"/>
        </w:rPr>
        <w:t>ARTICLE 11: RIGHT TO PRIVACY</w:t>
      </w:r>
    </w:p>
    <w:p w:rsidR="000A6550" w:rsidRPr="003979B3" w:rsidRDefault="000A6550" w:rsidP="000A6550">
      <w:pPr>
        <w:rPr>
          <w:u w:val="single"/>
        </w:rPr>
      </w:pPr>
    </w:p>
    <w:p w:rsidR="000A6550" w:rsidRDefault="000A6550" w:rsidP="000A6550">
      <w:pPr>
        <w:spacing w:line="480" w:lineRule="auto"/>
        <w:jc w:val="both"/>
        <w:rPr>
          <w:rFonts w:cs="Times New Roman"/>
          <w:szCs w:val="24"/>
        </w:rPr>
      </w:pPr>
      <w:r w:rsidRPr="00AA2003">
        <w:rPr>
          <w:rFonts w:cs="Times New Roman"/>
          <w:szCs w:val="24"/>
        </w:rPr>
        <w:t>Under Article 11</w:t>
      </w:r>
      <w:r w:rsidR="00820DC0">
        <w:rPr>
          <w:rFonts w:cs="Times New Roman"/>
          <w:szCs w:val="24"/>
        </w:rPr>
        <w:fldChar w:fldCharType="begin"/>
      </w:r>
      <w:r>
        <w:instrText xml:space="preserve"> TA \s "Article 11" </w:instrText>
      </w:r>
      <w:r w:rsidR="00820DC0">
        <w:rPr>
          <w:rFonts w:cs="Times New Roman"/>
          <w:szCs w:val="24"/>
        </w:rPr>
        <w:fldChar w:fldCharType="end"/>
      </w:r>
      <w:r w:rsidRPr="00AA2003">
        <w:rPr>
          <w:rFonts w:cs="Times New Roman"/>
          <w:szCs w:val="24"/>
        </w:rPr>
        <w:t xml:space="preserve"> ACHR, everyone has the right to have his honour respected and his dignity recognized and a State is precluded from arbitrary interference</w:t>
      </w:r>
      <w:r w:rsidR="003C109F">
        <w:rPr>
          <w:rFonts w:cs="Times New Roman"/>
          <w:szCs w:val="24"/>
        </w:rPr>
        <w:t xml:space="preserve"> into the private life and family </w:t>
      </w:r>
      <w:r w:rsidRPr="00AA2003">
        <w:rPr>
          <w:rFonts w:cs="Times New Roman"/>
          <w:szCs w:val="24"/>
        </w:rPr>
        <w:t>of an individual</w:t>
      </w:r>
      <w:r>
        <w:rPr>
          <w:rFonts w:cs="Times New Roman"/>
          <w:szCs w:val="24"/>
        </w:rPr>
        <w:t xml:space="preserve">. </w:t>
      </w:r>
      <w:r w:rsidRPr="00AA2003">
        <w:rPr>
          <w:rFonts w:cs="Times New Roman"/>
          <w:szCs w:val="24"/>
        </w:rPr>
        <w:t>As stated by this Court the</w:t>
      </w:r>
      <w:r>
        <w:rPr>
          <w:rFonts w:cs="Times New Roman"/>
          <w:szCs w:val="24"/>
        </w:rPr>
        <w:t xml:space="preserve"> protection of private lif</w:t>
      </w:r>
      <w:r w:rsidRPr="003C109F">
        <w:rPr>
          <w:rFonts w:cs="Times New Roman"/>
          <w:szCs w:val="24"/>
        </w:rPr>
        <w:t xml:space="preserve">e </w:t>
      </w:r>
      <w:r w:rsidRPr="00CE31E4">
        <w:rPr>
          <w:rFonts w:cs="Times New Roman"/>
          <w:szCs w:val="24"/>
        </w:rPr>
        <w:t>encompasses a series of factors associated</w:t>
      </w:r>
      <w:r>
        <w:rPr>
          <w:rFonts w:cs="Times New Roman"/>
          <w:szCs w:val="24"/>
        </w:rPr>
        <w:t xml:space="preserve"> </w:t>
      </w:r>
      <w:r w:rsidRPr="00CE31E4">
        <w:rPr>
          <w:rFonts w:cs="Times New Roman"/>
          <w:szCs w:val="24"/>
        </w:rPr>
        <w:t>with the dignity of the ind</w:t>
      </w:r>
      <w:r>
        <w:rPr>
          <w:rFonts w:cs="Times New Roman"/>
          <w:szCs w:val="24"/>
        </w:rPr>
        <w:t>ividual, including,</w:t>
      </w:r>
      <w:r w:rsidRPr="00CE31E4">
        <w:rPr>
          <w:rFonts w:cs="Times New Roman"/>
          <w:szCs w:val="24"/>
        </w:rPr>
        <w:t xml:space="preserve"> the ability to develop his or her</w:t>
      </w:r>
      <w:r>
        <w:rPr>
          <w:rFonts w:cs="Times New Roman"/>
          <w:szCs w:val="24"/>
        </w:rPr>
        <w:t xml:space="preserve"> </w:t>
      </w:r>
      <w:r w:rsidRPr="00CE31E4">
        <w:rPr>
          <w:rFonts w:cs="Times New Roman"/>
          <w:szCs w:val="24"/>
        </w:rPr>
        <w:t>own personality and aspirations, to determine his or her own identity and to define his or</w:t>
      </w:r>
      <w:r>
        <w:rPr>
          <w:rFonts w:cs="Times New Roman"/>
          <w:szCs w:val="24"/>
        </w:rPr>
        <w:t xml:space="preserve"> </w:t>
      </w:r>
      <w:r w:rsidRPr="00CE31E4">
        <w:rPr>
          <w:rFonts w:cs="Times New Roman"/>
          <w:szCs w:val="24"/>
        </w:rPr>
        <w:t>her own personal relationships. The concept of private life</w:t>
      </w:r>
      <w:r>
        <w:rPr>
          <w:rFonts w:cs="Times New Roman"/>
          <w:szCs w:val="24"/>
        </w:rPr>
        <w:t xml:space="preserve"> also</w:t>
      </w:r>
      <w:r w:rsidRPr="00CE31E4">
        <w:rPr>
          <w:rFonts w:cs="Times New Roman"/>
          <w:szCs w:val="24"/>
        </w:rPr>
        <w:t xml:space="preserve"> encompasses physical</w:t>
      </w:r>
      <w:r>
        <w:rPr>
          <w:rFonts w:cs="Times New Roman"/>
          <w:szCs w:val="24"/>
        </w:rPr>
        <w:t xml:space="preserve"> </w:t>
      </w:r>
      <w:r w:rsidRPr="00CE31E4">
        <w:rPr>
          <w:rFonts w:cs="Times New Roman"/>
          <w:szCs w:val="24"/>
        </w:rPr>
        <w:t>and social identity, including the right to personal autonomy, personal development and the</w:t>
      </w:r>
      <w:r>
        <w:rPr>
          <w:rFonts w:cs="Times New Roman"/>
          <w:szCs w:val="24"/>
        </w:rPr>
        <w:t xml:space="preserve"> </w:t>
      </w:r>
      <w:r w:rsidRPr="00CE31E4">
        <w:rPr>
          <w:rFonts w:cs="Times New Roman"/>
          <w:szCs w:val="24"/>
        </w:rPr>
        <w:t>right to establish and develop relationships with other human beings</w:t>
      </w:r>
      <w:r>
        <w:rPr>
          <w:rFonts w:cs="Times New Roman"/>
          <w:szCs w:val="24"/>
        </w:rPr>
        <w:t>.</w:t>
      </w:r>
      <w:r>
        <w:rPr>
          <w:rStyle w:val="FootnoteReference"/>
          <w:rFonts w:cs="Times New Roman"/>
          <w:szCs w:val="24"/>
        </w:rPr>
        <w:footnoteReference w:id="116"/>
      </w:r>
      <w:r>
        <w:rPr>
          <w:rFonts w:cs="Times New Roman"/>
          <w:szCs w:val="24"/>
        </w:rPr>
        <w:t xml:space="preserve"> </w:t>
      </w:r>
      <w:r w:rsidRPr="00AA2003">
        <w:rPr>
          <w:rFonts w:cs="Times New Roman"/>
          <w:szCs w:val="24"/>
        </w:rPr>
        <w:t xml:space="preserve">This Court maintained that personal </w:t>
      </w:r>
      <w:r w:rsidRPr="00AA2003">
        <w:rPr>
          <w:rFonts w:cs="Times New Roman"/>
          <w:szCs w:val="24"/>
        </w:rPr>
        <w:lastRenderedPageBreak/>
        <w:t>relationships with other individuals in the context of the right to a private life extends to the public and professional spheres.</w:t>
      </w:r>
      <w:r w:rsidRPr="00AA2003">
        <w:rPr>
          <w:rStyle w:val="FootnoteReference"/>
          <w:rFonts w:cs="Times New Roman"/>
          <w:szCs w:val="24"/>
        </w:rPr>
        <w:footnoteReference w:id="117"/>
      </w:r>
      <w:r w:rsidRPr="00AA2003">
        <w:rPr>
          <w:rFonts w:cs="Times New Roman"/>
          <w:szCs w:val="24"/>
        </w:rPr>
        <w:t xml:space="preserve">  In </w:t>
      </w:r>
      <w:r w:rsidRPr="00AA2003">
        <w:rPr>
          <w:rFonts w:cs="Times New Roman"/>
          <w:i/>
          <w:szCs w:val="24"/>
        </w:rPr>
        <w:t>Au meeruddy-cziffra et al v Mauritius</w:t>
      </w:r>
      <w:r w:rsidRPr="00AA2003">
        <w:rPr>
          <w:rStyle w:val="FootnoteReference"/>
          <w:rFonts w:cs="Times New Roman"/>
          <w:i/>
          <w:szCs w:val="24"/>
        </w:rPr>
        <w:footnoteReference w:id="118"/>
      </w:r>
      <w:r w:rsidRPr="00AA2003">
        <w:rPr>
          <w:rFonts w:cs="Times New Roman"/>
          <w:szCs w:val="24"/>
        </w:rPr>
        <w:t xml:space="preserve"> in construing an equivalent provision of Article 11.2</w:t>
      </w:r>
      <w:r w:rsidR="00820DC0">
        <w:rPr>
          <w:rFonts w:cs="Times New Roman"/>
          <w:szCs w:val="24"/>
        </w:rPr>
        <w:fldChar w:fldCharType="begin"/>
      </w:r>
      <w:r>
        <w:instrText xml:space="preserve"> TA \s "Article 11" </w:instrText>
      </w:r>
      <w:r w:rsidR="00820DC0">
        <w:rPr>
          <w:rFonts w:cs="Times New Roman"/>
          <w:szCs w:val="24"/>
        </w:rPr>
        <w:fldChar w:fldCharType="end"/>
      </w:r>
      <w:r w:rsidRPr="00AA2003">
        <w:rPr>
          <w:rFonts w:cs="Times New Roman"/>
          <w:szCs w:val="24"/>
        </w:rPr>
        <w:t xml:space="preserve"> of the ACHR the HRC </w:t>
      </w:r>
      <w:r w:rsidR="003C109F">
        <w:rPr>
          <w:rFonts w:cs="Times New Roman"/>
          <w:szCs w:val="24"/>
        </w:rPr>
        <w:t>considered</w:t>
      </w:r>
      <w:r w:rsidRPr="00AA2003">
        <w:rPr>
          <w:rFonts w:cs="Times New Roman"/>
          <w:szCs w:val="24"/>
        </w:rPr>
        <w:t xml:space="preserve"> marriage as one such way of establishing and developing a relationship with other human beings entitled to protection against arbitrary interference by the State.</w:t>
      </w:r>
      <w:r>
        <w:rPr>
          <w:rFonts w:cs="Times New Roman"/>
          <w:szCs w:val="24"/>
        </w:rPr>
        <w:t xml:space="preserve"> Further this Court has held that the </w:t>
      </w:r>
      <w:r w:rsidR="003C109F">
        <w:rPr>
          <w:rFonts w:cs="Times New Roman"/>
          <w:szCs w:val="24"/>
        </w:rPr>
        <w:t>right to private life includes the decision to become a parent</w:t>
      </w:r>
      <w:r>
        <w:rPr>
          <w:rFonts w:cs="Times New Roman"/>
          <w:szCs w:val="24"/>
        </w:rPr>
        <w:t>.</w:t>
      </w:r>
      <w:r>
        <w:rPr>
          <w:rStyle w:val="FootnoteReference"/>
          <w:rFonts w:cs="Times New Roman"/>
          <w:szCs w:val="24"/>
        </w:rPr>
        <w:footnoteReference w:id="119"/>
      </w:r>
    </w:p>
    <w:p w:rsidR="000A6550" w:rsidRPr="00AD16D3" w:rsidRDefault="000A6550" w:rsidP="000A6550">
      <w:pPr>
        <w:spacing w:after="200" w:line="480" w:lineRule="auto"/>
        <w:jc w:val="both"/>
        <w:rPr>
          <w:rFonts w:eastAsia="Calibri" w:cs="Times New Roman"/>
          <w:szCs w:val="24"/>
        </w:rPr>
      </w:pPr>
      <w:r>
        <w:rPr>
          <w:rFonts w:eastAsia="Calibri" w:cs="Times New Roman"/>
          <w:szCs w:val="24"/>
        </w:rPr>
        <w:t>I</w:t>
      </w:r>
      <w:r w:rsidRPr="00AD16D3">
        <w:rPr>
          <w:rFonts w:eastAsia="Calibri" w:cs="Times New Roman"/>
          <w:szCs w:val="24"/>
        </w:rPr>
        <w:t>t is submitted that the very existence of Article 396 of the State Civil Code preventing Serafina and Adriana f</w:t>
      </w:r>
      <w:r>
        <w:rPr>
          <w:rFonts w:eastAsia="Calibri" w:cs="Times New Roman"/>
          <w:szCs w:val="24"/>
        </w:rPr>
        <w:t xml:space="preserve">rom getting married </w:t>
      </w:r>
      <w:r w:rsidRPr="00AD16D3">
        <w:rPr>
          <w:rFonts w:eastAsia="Calibri" w:cs="Times New Roman"/>
          <w:szCs w:val="24"/>
        </w:rPr>
        <w:t>dire</w:t>
      </w:r>
      <w:r>
        <w:rPr>
          <w:rFonts w:eastAsia="Calibri" w:cs="Times New Roman"/>
          <w:szCs w:val="24"/>
        </w:rPr>
        <w:t>ctly affects their private life in relation to the development of their relationship with each other and their ability to make a public statement about their relationship.</w:t>
      </w:r>
      <w:r w:rsidRPr="00AD16D3">
        <w:rPr>
          <w:rFonts w:eastAsia="Calibri" w:cs="Times New Roman"/>
          <w:szCs w:val="24"/>
        </w:rPr>
        <w:t xml:space="preserve"> </w:t>
      </w:r>
      <w:r>
        <w:rPr>
          <w:rFonts w:eastAsia="Calibri" w:cs="Times New Roman"/>
          <w:szCs w:val="24"/>
        </w:rPr>
        <w:t xml:space="preserve">Further, it contravenes </w:t>
      </w:r>
      <w:r w:rsidRPr="00AD16D3">
        <w:rPr>
          <w:rFonts w:eastAsia="Calibri" w:cs="Times New Roman"/>
          <w:szCs w:val="24"/>
        </w:rPr>
        <w:t xml:space="preserve">Serafina’s right </w:t>
      </w:r>
      <w:r>
        <w:rPr>
          <w:rFonts w:eastAsia="Calibri" w:cs="Times New Roman"/>
          <w:szCs w:val="24"/>
        </w:rPr>
        <w:t>to have her dignity respected</w:t>
      </w:r>
      <w:r w:rsidR="003C109F">
        <w:rPr>
          <w:rFonts w:eastAsia="Calibri" w:cs="Times New Roman"/>
          <w:szCs w:val="24"/>
        </w:rPr>
        <w:t>,</w:t>
      </w:r>
      <w:r>
        <w:rPr>
          <w:rFonts w:eastAsia="Calibri" w:cs="Times New Roman"/>
          <w:szCs w:val="24"/>
        </w:rPr>
        <w:t xml:space="preserve"> as </w:t>
      </w:r>
      <w:r w:rsidR="003C109F">
        <w:rPr>
          <w:rFonts w:eastAsia="Calibri" w:cs="Times New Roman"/>
          <w:szCs w:val="24"/>
        </w:rPr>
        <w:t xml:space="preserve">being </w:t>
      </w:r>
      <w:r>
        <w:rPr>
          <w:rFonts w:eastAsia="Calibri" w:cs="Times New Roman"/>
          <w:szCs w:val="24"/>
        </w:rPr>
        <w:t>a male to female transsexual she</w:t>
      </w:r>
      <w:r w:rsidRPr="00AD16D3">
        <w:rPr>
          <w:rFonts w:eastAsia="Calibri" w:cs="Times New Roman"/>
          <w:szCs w:val="24"/>
        </w:rPr>
        <w:t xml:space="preserve"> would have to choose between giving effect to the law by relinquishing her acq</w:t>
      </w:r>
      <w:r>
        <w:rPr>
          <w:rFonts w:eastAsia="Calibri" w:cs="Times New Roman"/>
          <w:szCs w:val="24"/>
        </w:rPr>
        <w:t>uired identity as a woman or maintain</w:t>
      </w:r>
      <w:r w:rsidRPr="00AD16D3">
        <w:rPr>
          <w:rFonts w:eastAsia="Calibri" w:cs="Times New Roman"/>
          <w:szCs w:val="24"/>
        </w:rPr>
        <w:t xml:space="preserve"> her acquired gender identity and be prevented from marrying.</w:t>
      </w:r>
      <w:r>
        <w:rPr>
          <w:rFonts w:eastAsia="Calibri" w:cs="Times New Roman"/>
          <w:szCs w:val="24"/>
        </w:rPr>
        <w:t xml:space="preserve"> Further, Article 406(2) of the State Civil Code which prevents same sex couples from adopting jointly, infringes their right to choose whether or not to become a </w:t>
      </w:r>
      <w:r w:rsidR="003C109F">
        <w:rPr>
          <w:rFonts w:eastAsia="Calibri" w:cs="Times New Roman"/>
          <w:szCs w:val="24"/>
        </w:rPr>
        <w:t>parent</w:t>
      </w:r>
      <w:r>
        <w:rPr>
          <w:rFonts w:eastAsia="Calibri" w:cs="Times New Roman"/>
          <w:szCs w:val="24"/>
        </w:rPr>
        <w:t>.</w:t>
      </w:r>
    </w:p>
    <w:p w:rsidR="000A6550" w:rsidRDefault="003C109F" w:rsidP="000A6550">
      <w:pPr>
        <w:spacing w:after="200" w:line="480" w:lineRule="auto"/>
        <w:jc w:val="both"/>
        <w:rPr>
          <w:rFonts w:eastAsia="Calibri" w:cs="Times New Roman"/>
          <w:szCs w:val="24"/>
        </w:rPr>
      </w:pPr>
      <w:r>
        <w:rPr>
          <w:rFonts w:eastAsia="Calibri" w:cs="Times New Roman"/>
          <w:szCs w:val="24"/>
        </w:rPr>
        <w:t>T</w:t>
      </w:r>
      <w:r w:rsidR="000A6550" w:rsidRPr="00AD16D3">
        <w:rPr>
          <w:rFonts w:eastAsia="Calibri" w:cs="Times New Roman"/>
          <w:szCs w:val="24"/>
        </w:rPr>
        <w:t>he right to privacy may be restricted by States provided that the measures are regulated by the law, pursues a legitimate goal, and fulfill suitability, necessity and proportionality.</w:t>
      </w:r>
      <w:r w:rsidR="000A6550" w:rsidRPr="00AD16D3">
        <w:rPr>
          <w:rFonts w:eastAsia="Calibri" w:cs="Times New Roman"/>
          <w:szCs w:val="24"/>
          <w:vertAlign w:val="superscript"/>
        </w:rPr>
        <w:footnoteReference w:id="120"/>
      </w:r>
      <w:r w:rsidR="000A6550" w:rsidRPr="00AD16D3">
        <w:rPr>
          <w:rFonts w:eastAsia="Calibri" w:cs="Times New Roman"/>
          <w:szCs w:val="24"/>
        </w:rPr>
        <w:t xml:space="preserve"> The HRC has noted that even if an interference is provided by law it must be done “in accordance with the </w:t>
      </w:r>
      <w:r w:rsidR="000A6550" w:rsidRPr="00AD16D3">
        <w:rPr>
          <w:rFonts w:eastAsia="Calibri" w:cs="Times New Roman"/>
          <w:szCs w:val="24"/>
        </w:rPr>
        <w:lastRenderedPageBreak/>
        <w:t>provisions aims and objectives of the Covenant</w:t>
      </w:r>
      <w:r w:rsidR="000A6550">
        <w:rPr>
          <w:rFonts w:eastAsia="Calibri" w:cs="Times New Roman"/>
          <w:szCs w:val="24"/>
        </w:rPr>
        <w:t>.</w:t>
      </w:r>
      <w:r w:rsidR="000A6550" w:rsidRPr="00AD16D3">
        <w:rPr>
          <w:rFonts w:eastAsia="Calibri" w:cs="Times New Roman"/>
          <w:szCs w:val="24"/>
        </w:rPr>
        <w:t>”</w:t>
      </w:r>
      <w:r w:rsidR="000A6550" w:rsidRPr="00AD16D3">
        <w:rPr>
          <w:rFonts w:eastAsia="Calibri" w:cs="Times New Roman"/>
          <w:szCs w:val="24"/>
          <w:vertAlign w:val="superscript"/>
        </w:rPr>
        <w:footnoteReference w:id="121"/>
      </w:r>
      <w:r w:rsidR="000A6550" w:rsidRPr="00AD16D3">
        <w:rPr>
          <w:rFonts w:eastAsia="Calibri" w:cs="Times New Roman"/>
          <w:szCs w:val="24"/>
        </w:rPr>
        <w:t xml:space="preserve"> This line of analysis has been adopted by this Court in precluding a State from using domestic legislation as a justification for State interference into the private and family lives of individuals.</w:t>
      </w:r>
      <w:r w:rsidR="000A6550" w:rsidRPr="00AD16D3">
        <w:rPr>
          <w:rFonts w:eastAsia="Calibri" w:cs="Times New Roman"/>
          <w:szCs w:val="24"/>
          <w:vertAlign w:val="superscript"/>
        </w:rPr>
        <w:footnoteReference w:id="122"/>
      </w:r>
      <w:r w:rsidR="000A6550" w:rsidRPr="00AD16D3">
        <w:rPr>
          <w:rFonts w:eastAsia="Calibri" w:cs="Times New Roman"/>
          <w:szCs w:val="24"/>
        </w:rPr>
        <w:t xml:space="preserve"> </w:t>
      </w:r>
    </w:p>
    <w:p w:rsidR="000A6550" w:rsidRDefault="000A6550" w:rsidP="000A6550">
      <w:pPr>
        <w:spacing w:after="200" w:line="480" w:lineRule="auto"/>
        <w:jc w:val="both"/>
        <w:rPr>
          <w:rFonts w:eastAsia="Calibri" w:cs="Times New Roman"/>
          <w:szCs w:val="24"/>
        </w:rPr>
      </w:pPr>
      <w:r w:rsidRPr="00AD16D3">
        <w:rPr>
          <w:rFonts w:eastAsia="Calibri" w:cs="Times New Roman"/>
          <w:szCs w:val="24"/>
        </w:rPr>
        <w:t xml:space="preserve">It is submitted that Elizabetia has failed to advance any compelling reasons justifying </w:t>
      </w:r>
      <w:r>
        <w:rPr>
          <w:rFonts w:eastAsia="Calibri" w:cs="Times New Roman"/>
          <w:szCs w:val="24"/>
        </w:rPr>
        <w:t xml:space="preserve">these </w:t>
      </w:r>
      <w:r w:rsidRPr="00AD16D3">
        <w:rPr>
          <w:rFonts w:eastAsia="Calibri" w:cs="Times New Roman"/>
          <w:szCs w:val="24"/>
        </w:rPr>
        <w:t>interference</w:t>
      </w:r>
      <w:r>
        <w:rPr>
          <w:rFonts w:eastAsia="Calibri" w:cs="Times New Roman"/>
          <w:szCs w:val="24"/>
        </w:rPr>
        <w:t>s</w:t>
      </w:r>
      <w:r w:rsidRPr="00AD16D3">
        <w:rPr>
          <w:rFonts w:eastAsia="Calibri" w:cs="Times New Roman"/>
          <w:szCs w:val="24"/>
        </w:rPr>
        <w:t xml:space="preserve"> into the private lives of Serafina and</w:t>
      </w:r>
      <w:r>
        <w:rPr>
          <w:rFonts w:eastAsia="Calibri" w:cs="Times New Roman"/>
          <w:szCs w:val="24"/>
        </w:rPr>
        <w:t xml:space="preserve"> Adriana</w:t>
      </w:r>
      <w:r w:rsidRPr="00AD16D3">
        <w:rPr>
          <w:rFonts w:eastAsia="Calibri" w:cs="Times New Roman"/>
          <w:szCs w:val="24"/>
        </w:rPr>
        <w:t xml:space="preserve">. In rejecting the motion to vacate, Court No. 7 reasoned that the exclusion from the institution of marriage of same sex couples was a reasonable restriction necessary to preserve the concept of family in the Elizabetian constitutional system. </w:t>
      </w:r>
      <w:r>
        <w:rPr>
          <w:rFonts w:eastAsia="Calibri" w:cs="Times New Roman"/>
          <w:szCs w:val="24"/>
        </w:rPr>
        <w:t>As previously highlighted, the concept of the family is not restricted to heterosexual couples and encompasses other family units, heterosexual or otherwise.</w:t>
      </w:r>
      <w:r>
        <w:rPr>
          <w:rStyle w:val="FootnoteReference"/>
          <w:rFonts w:eastAsia="Calibri" w:cs="Times New Roman"/>
          <w:szCs w:val="24"/>
        </w:rPr>
        <w:footnoteReference w:id="123"/>
      </w:r>
      <w:r>
        <w:rPr>
          <w:rFonts w:eastAsia="Calibri" w:cs="Times New Roman"/>
          <w:szCs w:val="24"/>
        </w:rPr>
        <w:t xml:space="preserve"> </w:t>
      </w:r>
    </w:p>
    <w:p w:rsidR="000A6550" w:rsidRDefault="000A6550" w:rsidP="000A6550">
      <w:pPr>
        <w:spacing w:after="200" w:line="480" w:lineRule="auto"/>
        <w:jc w:val="both"/>
        <w:rPr>
          <w:rFonts w:eastAsia="Calibri" w:cs="Times New Roman"/>
          <w:szCs w:val="24"/>
        </w:rPr>
      </w:pPr>
      <w:r w:rsidRPr="00AD16D3">
        <w:rPr>
          <w:rFonts w:eastAsia="Calibri" w:cs="Times New Roman"/>
          <w:szCs w:val="24"/>
        </w:rPr>
        <w:t>It is further submitted that the</w:t>
      </w:r>
      <w:r>
        <w:rPr>
          <w:rFonts w:eastAsia="Calibri" w:cs="Times New Roman"/>
          <w:szCs w:val="24"/>
        </w:rPr>
        <w:t xml:space="preserve">se intrusions into their private life </w:t>
      </w:r>
      <w:r w:rsidRPr="00AD16D3">
        <w:rPr>
          <w:rFonts w:eastAsia="Calibri" w:cs="Times New Roman"/>
          <w:szCs w:val="24"/>
        </w:rPr>
        <w:t>is neither proportional nor necessary in a democratic society. The concept of necessity as used in the context of an interference being “necessary in a democratic society” is not afforded the same measure of flexibility such as that offered to the expressions, “useful,” “reasonable,” or “desirable” but implies the existence of a “pressing social need” justifying interference.</w:t>
      </w:r>
      <w:r w:rsidRPr="00AD16D3">
        <w:rPr>
          <w:rFonts w:eastAsia="Calibri" w:cs="Times New Roman"/>
          <w:szCs w:val="24"/>
          <w:vertAlign w:val="superscript"/>
        </w:rPr>
        <w:footnoteReference w:id="124"/>
      </w:r>
      <w:r w:rsidRPr="00AD16D3">
        <w:rPr>
          <w:rFonts w:eastAsia="Calibri" w:cs="Times New Roman"/>
          <w:szCs w:val="24"/>
        </w:rPr>
        <w:t xml:space="preserve"> While a State is afforded a margin of appreciation in making an initial assessment of the social need, its decision remains subject to review.</w:t>
      </w:r>
      <w:r w:rsidRPr="00AD16D3">
        <w:rPr>
          <w:rFonts w:eastAsia="Calibri" w:cs="Times New Roman"/>
          <w:szCs w:val="24"/>
          <w:vertAlign w:val="superscript"/>
        </w:rPr>
        <w:footnoteReference w:id="125"/>
      </w:r>
      <w:r w:rsidRPr="00AD16D3">
        <w:rPr>
          <w:rFonts w:eastAsia="Calibri" w:cs="Times New Roman"/>
          <w:szCs w:val="24"/>
        </w:rPr>
        <w:t xml:space="preserve"> Further, the scope of the margin of appreciation afforded to a State is contingent upon the nature of the aim of the restriction as well as the nature of the activities involved.</w:t>
      </w:r>
      <w:r w:rsidRPr="00AD16D3">
        <w:rPr>
          <w:rFonts w:eastAsia="Calibri" w:cs="Times New Roman"/>
          <w:szCs w:val="24"/>
          <w:vertAlign w:val="superscript"/>
        </w:rPr>
        <w:footnoteReference w:id="126"/>
      </w:r>
      <w:r w:rsidRPr="00AD16D3">
        <w:rPr>
          <w:rFonts w:eastAsia="Calibri" w:cs="Times New Roman"/>
          <w:szCs w:val="24"/>
        </w:rPr>
        <w:t xml:space="preserve"> Further, where a restriction imposed affects an intimate aspect of private life, any interference by public authorities must be based on particularly serious reasons.</w:t>
      </w:r>
      <w:r w:rsidRPr="00AD16D3">
        <w:rPr>
          <w:rFonts w:eastAsia="Calibri" w:cs="Times New Roman"/>
          <w:szCs w:val="24"/>
          <w:vertAlign w:val="superscript"/>
        </w:rPr>
        <w:footnoteReference w:id="127"/>
      </w:r>
      <w:r w:rsidRPr="00AD16D3">
        <w:rPr>
          <w:rFonts w:eastAsia="Calibri" w:cs="Times New Roman"/>
          <w:szCs w:val="24"/>
        </w:rPr>
        <w:t xml:space="preserve"> Since </w:t>
      </w:r>
      <w:r w:rsidRPr="00AD16D3">
        <w:rPr>
          <w:rFonts w:eastAsia="Calibri" w:cs="Times New Roman"/>
          <w:szCs w:val="24"/>
        </w:rPr>
        <w:lastRenderedPageBreak/>
        <w:t xml:space="preserve">marriage is a relationship falling under the sphere of privacy and would be considered an intimate aspect of private life interference can only be justified on particularly serious grounds. </w:t>
      </w:r>
    </w:p>
    <w:p w:rsidR="000A6550" w:rsidRPr="00AD16D3" w:rsidRDefault="000A6550" w:rsidP="000A6550">
      <w:pPr>
        <w:spacing w:after="200" w:line="480" w:lineRule="auto"/>
        <w:jc w:val="both"/>
        <w:rPr>
          <w:rFonts w:eastAsia="Calibri" w:cs="Times New Roman"/>
          <w:szCs w:val="24"/>
        </w:rPr>
      </w:pPr>
      <w:r>
        <w:rPr>
          <w:rFonts w:eastAsia="Calibri" w:cs="Times New Roman"/>
          <w:szCs w:val="24"/>
        </w:rPr>
        <w:t xml:space="preserve">Assuming, </w:t>
      </w:r>
      <w:r w:rsidRPr="001C6DF9">
        <w:rPr>
          <w:rFonts w:eastAsia="Calibri" w:cs="Times New Roman"/>
          <w:szCs w:val="24"/>
        </w:rPr>
        <w:t xml:space="preserve">the purpose of </w:t>
      </w:r>
      <w:r>
        <w:rPr>
          <w:rFonts w:eastAsia="Calibri" w:cs="Times New Roman"/>
          <w:szCs w:val="24"/>
        </w:rPr>
        <w:t>restricting marriage and adoption to heterosexual couples is</w:t>
      </w:r>
      <w:r w:rsidRPr="001C6DF9">
        <w:rPr>
          <w:rFonts w:eastAsia="Calibri" w:cs="Times New Roman"/>
          <w:szCs w:val="24"/>
        </w:rPr>
        <w:t xml:space="preserve"> to foster and provide institutional support for adult relationships that allow for the possibility of pr</w:t>
      </w:r>
      <w:r>
        <w:rPr>
          <w:rFonts w:eastAsia="Calibri" w:cs="Times New Roman"/>
          <w:szCs w:val="24"/>
        </w:rPr>
        <w:t xml:space="preserve">ocreation and child-rearing, it is </w:t>
      </w:r>
      <w:r w:rsidRPr="001C6DF9">
        <w:rPr>
          <w:rFonts w:eastAsia="Calibri" w:cs="Times New Roman"/>
          <w:szCs w:val="24"/>
        </w:rPr>
        <w:t>submit</w:t>
      </w:r>
      <w:r>
        <w:rPr>
          <w:rFonts w:eastAsia="Calibri" w:cs="Times New Roman"/>
          <w:szCs w:val="24"/>
        </w:rPr>
        <w:t>ted</w:t>
      </w:r>
      <w:r w:rsidRPr="001C6DF9">
        <w:rPr>
          <w:rFonts w:eastAsia="Calibri" w:cs="Times New Roman"/>
          <w:szCs w:val="24"/>
        </w:rPr>
        <w:t xml:space="preserve"> that the bar against same-sex marriage is not rationally connected to this </w:t>
      </w:r>
      <w:r w:rsidR="003C109F">
        <w:rPr>
          <w:rFonts w:eastAsia="Calibri" w:cs="Times New Roman"/>
          <w:szCs w:val="24"/>
        </w:rPr>
        <w:t>aim</w:t>
      </w:r>
      <w:r w:rsidRPr="001C6DF9">
        <w:rPr>
          <w:rFonts w:eastAsia="Calibri" w:cs="Times New Roman"/>
          <w:szCs w:val="24"/>
        </w:rPr>
        <w:t>.</w:t>
      </w:r>
      <w:r>
        <w:rPr>
          <w:rFonts w:eastAsia="Calibri" w:cs="Times New Roman"/>
          <w:szCs w:val="24"/>
        </w:rPr>
        <w:t xml:space="preserve">  It is submitted that </w:t>
      </w:r>
      <w:r w:rsidRPr="00176B85">
        <w:rPr>
          <w:rFonts w:eastAsia="Calibri" w:cs="Times New Roman"/>
          <w:szCs w:val="24"/>
        </w:rPr>
        <w:t xml:space="preserve">it is the exclusive </w:t>
      </w:r>
      <w:r w:rsidR="003C109F">
        <w:rPr>
          <w:rFonts w:eastAsia="Calibri" w:cs="Times New Roman"/>
          <w:szCs w:val="24"/>
        </w:rPr>
        <w:t xml:space="preserve">and permanent commitment of </w:t>
      </w:r>
      <w:r w:rsidRPr="00176B85">
        <w:rPr>
          <w:rFonts w:eastAsia="Calibri" w:cs="Times New Roman"/>
          <w:szCs w:val="24"/>
        </w:rPr>
        <w:t xml:space="preserve">marriage partners to one another, not </w:t>
      </w:r>
      <w:r w:rsidR="003C109F">
        <w:rPr>
          <w:rFonts w:eastAsia="Calibri" w:cs="Times New Roman"/>
          <w:szCs w:val="24"/>
        </w:rPr>
        <w:t>procreation</w:t>
      </w:r>
      <w:r w:rsidRPr="00176B85">
        <w:rPr>
          <w:rFonts w:eastAsia="Calibri" w:cs="Times New Roman"/>
          <w:szCs w:val="24"/>
        </w:rPr>
        <w:t xml:space="preserve">, that is the </w:t>
      </w:r>
      <w:r w:rsidRPr="003C109F">
        <w:rPr>
          <w:rFonts w:eastAsia="Calibri" w:cs="Times New Roman"/>
          <w:i/>
          <w:szCs w:val="24"/>
        </w:rPr>
        <w:t xml:space="preserve">sine qua non </w:t>
      </w:r>
      <w:r w:rsidRPr="00176B85">
        <w:rPr>
          <w:rFonts w:eastAsia="Calibri" w:cs="Times New Roman"/>
          <w:szCs w:val="24"/>
        </w:rPr>
        <w:t>of marriage</w:t>
      </w:r>
      <w:r>
        <w:rPr>
          <w:rFonts w:eastAsia="Calibri" w:cs="Times New Roman"/>
          <w:szCs w:val="24"/>
        </w:rPr>
        <w:t>.</w:t>
      </w:r>
      <w:r>
        <w:rPr>
          <w:rStyle w:val="FootnoteReference"/>
          <w:rFonts w:eastAsia="Calibri" w:cs="Times New Roman"/>
          <w:szCs w:val="24"/>
        </w:rPr>
        <w:footnoteReference w:id="128"/>
      </w:r>
      <w:r>
        <w:rPr>
          <w:rFonts w:eastAsia="Calibri" w:cs="Times New Roman"/>
          <w:szCs w:val="24"/>
        </w:rPr>
        <w:t xml:space="preserve">  Such a narrow interpretation is inappropriate as it has been held by this Court that the decision to be a parent is solely within one’s private sphere</w:t>
      </w:r>
      <w:r>
        <w:rPr>
          <w:rStyle w:val="FootnoteReference"/>
          <w:rFonts w:eastAsia="Calibri" w:cs="Times New Roman"/>
          <w:szCs w:val="24"/>
        </w:rPr>
        <w:footnoteReference w:id="129"/>
      </w:r>
      <w:r>
        <w:rPr>
          <w:rFonts w:eastAsia="Calibri" w:cs="Times New Roman"/>
          <w:szCs w:val="24"/>
        </w:rPr>
        <w:t xml:space="preserve"> and further the law would be making a distinction between persons who can an</w:t>
      </w:r>
      <w:r w:rsidR="003C109F">
        <w:rPr>
          <w:rFonts w:eastAsia="Calibri" w:cs="Times New Roman"/>
          <w:szCs w:val="24"/>
        </w:rPr>
        <w:t xml:space="preserve">d cannot have children and those persons who procreated </w:t>
      </w:r>
      <w:r>
        <w:rPr>
          <w:rFonts w:eastAsia="Calibri" w:cs="Times New Roman"/>
          <w:szCs w:val="24"/>
        </w:rPr>
        <w:t>outside of marriage. Further, w</w:t>
      </w:r>
      <w:r w:rsidRPr="00AD16D3">
        <w:rPr>
          <w:rFonts w:eastAsia="Calibri" w:cs="Times New Roman"/>
          <w:szCs w:val="24"/>
        </w:rPr>
        <w:t xml:space="preserve">hile public opinion constitutes important indicia in </w:t>
      </w:r>
      <w:r w:rsidR="003C109F">
        <w:rPr>
          <w:rFonts w:eastAsia="Calibri" w:cs="Times New Roman"/>
          <w:szCs w:val="24"/>
        </w:rPr>
        <w:t>assessing</w:t>
      </w:r>
      <w:r w:rsidRPr="00AD16D3">
        <w:rPr>
          <w:rFonts w:eastAsia="Calibri" w:cs="Times New Roman"/>
          <w:szCs w:val="24"/>
        </w:rPr>
        <w:t xml:space="preserve"> whether or not a restriction of a right enshrined under the Convention is necessary within a democratic society, it is not a serious ground to justify a restriction of a right.</w:t>
      </w:r>
      <w:r w:rsidRPr="00AD16D3">
        <w:rPr>
          <w:rFonts w:eastAsia="Calibri" w:cs="Times New Roman"/>
          <w:szCs w:val="24"/>
          <w:vertAlign w:val="superscript"/>
        </w:rPr>
        <w:footnoteReference w:id="130"/>
      </w:r>
    </w:p>
    <w:p w:rsidR="000A6550" w:rsidRPr="00AD16D3" w:rsidRDefault="000A6550" w:rsidP="000A6550">
      <w:pPr>
        <w:spacing w:after="200" w:line="480" w:lineRule="auto"/>
        <w:jc w:val="both"/>
        <w:rPr>
          <w:rFonts w:eastAsia="Calibri" w:cs="Times New Roman"/>
          <w:szCs w:val="24"/>
        </w:rPr>
      </w:pPr>
      <w:r w:rsidRPr="00AD16D3">
        <w:rPr>
          <w:rFonts w:eastAsia="Calibri" w:cs="Times New Roman"/>
          <w:szCs w:val="24"/>
        </w:rPr>
        <w:t>It is further submitted that the</w:t>
      </w:r>
      <w:r>
        <w:rPr>
          <w:rFonts w:eastAsia="Calibri" w:cs="Times New Roman"/>
          <w:szCs w:val="24"/>
        </w:rPr>
        <w:t xml:space="preserve"> measures adopted by Elizabetia are n</w:t>
      </w:r>
      <w:r w:rsidRPr="00AD16D3">
        <w:rPr>
          <w:rFonts w:eastAsia="Calibri" w:cs="Times New Roman"/>
          <w:szCs w:val="24"/>
        </w:rPr>
        <w:t>ot proportional to the aim</w:t>
      </w:r>
      <w:r>
        <w:rPr>
          <w:rFonts w:eastAsia="Calibri" w:cs="Times New Roman"/>
          <w:szCs w:val="24"/>
        </w:rPr>
        <w:t>s highlighted.  It is submitted that the justifications</w:t>
      </w:r>
      <w:r w:rsidRPr="00E71768">
        <w:rPr>
          <w:rFonts w:eastAsia="Calibri" w:cs="Times New Roman"/>
          <w:szCs w:val="24"/>
        </w:rPr>
        <w:t xml:space="preserve"> for retaining the law in force</w:t>
      </w:r>
      <w:r>
        <w:rPr>
          <w:rFonts w:eastAsia="Calibri" w:cs="Times New Roman"/>
          <w:szCs w:val="24"/>
        </w:rPr>
        <w:t xml:space="preserve"> in Elizabetia</w:t>
      </w:r>
      <w:r w:rsidRPr="00E71768">
        <w:rPr>
          <w:rFonts w:eastAsia="Calibri" w:cs="Times New Roman"/>
          <w:szCs w:val="24"/>
        </w:rPr>
        <w:t xml:space="preserve"> unamended are outweighed by the detrimental</w:t>
      </w:r>
      <w:r>
        <w:rPr>
          <w:rFonts w:eastAsia="Calibri" w:cs="Times New Roman"/>
          <w:szCs w:val="24"/>
        </w:rPr>
        <w:t xml:space="preserve"> </w:t>
      </w:r>
      <w:r w:rsidRPr="00E71768">
        <w:rPr>
          <w:rFonts w:eastAsia="Calibri" w:cs="Times New Roman"/>
          <w:szCs w:val="24"/>
        </w:rPr>
        <w:t>effects which the very existence of the legislative provisions in question can have on the</w:t>
      </w:r>
      <w:r>
        <w:rPr>
          <w:rFonts w:eastAsia="Calibri" w:cs="Times New Roman"/>
          <w:szCs w:val="24"/>
        </w:rPr>
        <w:t xml:space="preserve"> private </w:t>
      </w:r>
      <w:r w:rsidRPr="00E71768">
        <w:rPr>
          <w:rFonts w:eastAsia="Calibri" w:cs="Times New Roman"/>
          <w:szCs w:val="24"/>
        </w:rPr>
        <w:t xml:space="preserve">life of </w:t>
      </w:r>
      <w:r>
        <w:rPr>
          <w:rFonts w:eastAsia="Calibri" w:cs="Times New Roman"/>
          <w:szCs w:val="24"/>
        </w:rPr>
        <w:t>same sex couples.</w:t>
      </w:r>
      <w:r>
        <w:rPr>
          <w:rStyle w:val="FootnoteReference"/>
          <w:rFonts w:eastAsia="Calibri" w:cs="Times New Roman"/>
          <w:szCs w:val="24"/>
        </w:rPr>
        <w:footnoteReference w:id="131"/>
      </w:r>
      <w:r>
        <w:rPr>
          <w:rFonts w:eastAsia="Calibri" w:cs="Times New Roman"/>
          <w:szCs w:val="24"/>
        </w:rPr>
        <w:t xml:space="preserve"> </w:t>
      </w:r>
    </w:p>
    <w:p w:rsidR="001B0E8E" w:rsidRPr="000A6550" w:rsidRDefault="000A6550" w:rsidP="000A6550">
      <w:pPr>
        <w:spacing w:after="200" w:line="480" w:lineRule="auto"/>
        <w:jc w:val="both"/>
        <w:rPr>
          <w:rFonts w:eastAsia="Calibri" w:cs="Times New Roman"/>
          <w:szCs w:val="24"/>
        </w:rPr>
      </w:pPr>
      <w:r w:rsidRPr="00AD16D3">
        <w:rPr>
          <w:rFonts w:eastAsia="Calibri" w:cs="Times New Roman"/>
          <w:szCs w:val="24"/>
        </w:rPr>
        <w:t>In view of the foregoing, it is submitted that the</w:t>
      </w:r>
      <w:r>
        <w:rPr>
          <w:rFonts w:eastAsia="Calibri" w:cs="Times New Roman"/>
          <w:szCs w:val="24"/>
        </w:rPr>
        <w:t>re has been a breach of Article 11 and it is</w:t>
      </w:r>
      <w:r w:rsidRPr="00AD16D3">
        <w:rPr>
          <w:rFonts w:eastAsia="Calibri" w:cs="Times New Roman"/>
          <w:szCs w:val="24"/>
        </w:rPr>
        <w:t xml:space="preserve"> not in pursuance of a legitimate aim and was not proportional and necessary within a democratic society.</w:t>
      </w:r>
    </w:p>
    <w:p w:rsidR="002D0DC2" w:rsidRPr="000D3A9F" w:rsidRDefault="000A6550" w:rsidP="00D8178D">
      <w:pPr>
        <w:pStyle w:val="Heading3"/>
        <w:rPr>
          <w:u w:val="none"/>
        </w:rPr>
      </w:pPr>
      <w:bookmarkStart w:id="14" w:name="_Toc352007835"/>
      <w:r w:rsidRPr="000D3A9F">
        <w:rPr>
          <w:u w:val="none"/>
        </w:rPr>
        <w:lastRenderedPageBreak/>
        <w:t>ARTICLE 8 and ARTICLE 25</w:t>
      </w:r>
      <w:r w:rsidR="00820DC0" w:rsidRPr="000D3A9F">
        <w:rPr>
          <w:u w:val="none"/>
        </w:rPr>
        <w:fldChar w:fldCharType="begin"/>
      </w:r>
      <w:r w:rsidR="00BB2EDB" w:rsidRPr="000D3A9F">
        <w:rPr>
          <w:u w:val="none"/>
        </w:rPr>
        <w:instrText xml:space="preserve"> TA \l "Article 8" \s "Article 8" \c 5 </w:instrText>
      </w:r>
      <w:r w:rsidR="00820DC0" w:rsidRPr="000D3A9F">
        <w:rPr>
          <w:u w:val="none"/>
        </w:rPr>
        <w:fldChar w:fldCharType="end"/>
      </w:r>
      <w:r w:rsidR="00336671" w:rsidRPr="000D3A9F">
        <w:rPr>
          <w:u w:val="none"/>
        </w:rPr>
        <w:t xml:space="preserve">: </w:t>
      </w:r>
      <w:r w:rsidRPr="000D3A9F">
        <w:rPr>
          <w:u w:val="none"/>
        </w:rPr>
        <w:t xml:space="preserve">RIGHT TO JUDICIAL PROTECTION </w:t>
      </w:r>
      <w:r w:rsidR="000D3A9F" w:rsidRPr="000D3A9F">
        <w:rPr>
          <w:u w:val="none"/>
        </w:rPr>
        <w:t>and</w:t>
      </w:r>
      <w:r w:rsidRPr="000D3A9F">
        <w:rPr>
          <w:u w:val="none"/>
        </w:rPr>
        <w:t xml:space="preserve"> DUE PROCESS</w:t>
      </w:r>
      <w:bookmarkEnd w:id="14"/>
    </w:p>
    <w:p w:rsidR="000A6550" w:rsidRPr="000A6550" w:rsidRDefault="000A6550" w:rsidP="000A6550"/>
    <w:p w:rsidR="002D0DC2" w:rsidRDefault="00380B95" w:rsidP="008571A4">
      <w:pPr>
        <w:spacing w:line="480" w:lineRule="auto"/>
        <w:jc w:val="both"/>
        <w:rPr>
          <w:rFonts w:cs="Times New Roman"/>
          <w:szCs w:val="24"/>
        </w:rPr>
      </w:pPr>
      <w:r w:rsidRPr="00344043">
        <w:rPr>
          <w:rFonts w:cs="Times New Roman"/>
          <w:szCs w:val="24"/>
        </w:rPr>
        <w:t>Article 2</w:t>
      </w:r>
      <w:r>
        <w:rPr>
          <w:rFonts w:cs="Times New Roman"/>
          <w:szCs w:val="24"/>
        </w:rPr>
        <w:t xml:space="preserve">5 constitutes a fundamental pillar of the </w:t>
      </w:r>
      <w:r w:rsidR="00336671">
        <w:rPr>
          <w:rFonts w:cs="Times New Roman"/>
          <w:szCs w:val="24"/>
        </w:rPr>
        <w:t>ACHR</w:t>
      </w:r>
      <w:r>
        <w:rPr>
          <w:rFonts w:cs="Times New Roman"/>
          <w:szCs w:val="24"/>
        </w:rPr>
        <w:t xml:space="preserve"> and an inherent feature of the rule of law in democratic societies.</w:t>
      </w:r>
      <w:r>
        <w:rPr>
          <w:rStyle w:val="FootnoteReference"/>
          <w:rFonts w:cs="Times New Roman"/>
          <w:szCs w:val="24"/>
        </w:rPr>
        <w:footnoteReference w:id="132"/>
      </w:r>
      <w:r>
        <w:rPr>
          <w:rFonts w:cs="Times New Roman"/>
          <w:szCs w:val="24"/>
        </w:rPr>
        <w:t xml:space="preserve"> Article 25(1) mandates that State Parties provide simple, prompt and effective recourse of a judicial nature. This provision essentially enshrines the right to an effective remedy</w:t>
      </w:r>
      <w:r w:rsidR="00336671">
        <w:rPr>
          <w:rFonts w:cs="Times New Roman"/>
          <w:szCs w:val="24"/>
        </w:rPr>
        <w:t xml:space="preserve"> (</w:t>
      </w:r>
      <w:r w:rsidR="00336671" w:rsidRPr="00336671">
        <w:rPr>
          <w:rFonts w:cs="Times New Roman"/>
          <w:i/>
          <w:szCs w:val="24"/>
        </w:rPr>
        <w:t>amparo</w:t>
      </w:r>
      <w:r w:rsidR="00336671">
        <w:rPr>
          <w:rFonts w:cs="Times New Roman"/>
          <w:szCs w:val="24"/>
        </w:rPr>
        <w:t>)</w:t>
      </w:r>
      <w:r>
        <w:rPr>
          <w:rFonts w:cs="Times New Roman"/>
          <w:szCs w:val="24"/>
        </w:rPr>
        <w:t xml:space="preserve"> against any acts which violate a person’s fundamental rights recognized by the Constitution, domestic laws, or the American Convention.</w:t>
      </w:r>
      <w:r>
        <w:rPr>
          <w:rStyle w:val="FootnoteReference"/>
          <w:rFonts w:cs="Times New Roman"/>
          <w:szCs w:val="24"/>
        </w:rPr>
        <w:footnoteReference w:id="133"/>
      </w:r>
      <w:r>
        <w:rPr>
          <w:rFonts w:cs="Times New Roman"/>
          <w:szCs w:val="24"/>
        </w:rPr>
        <w:t xml:space="preserve"> </w:t>
      </w:r>
      <w:r w:rsidR="00336671">
        <w:rPr>
          <w:rFonts w:cs="Times New Roman"/>
          <w:szCs w:val="24"/>
        </w:rPr>
        <w:t xml:space="preserve">Additionally, </w:t>
      </w:r>
      <w:r w:rsidR="00336671">
        <w:rPr>
          <w:rFonts w:eastAsia="Calibri" w:cs="Times New Roman"/>
          <w:szCs w:val="24"/>
        </w:rPr>
        <w:t>t</w:t>
      </w:r>
      <w:r w:rsidRPr="003F2306">
        <w:rPr>
          <w:rFonts w:eastAsia="Calibri" w:cs="Times New Roman"/>
          <w:szCs w:val="24"/>
        </w:rPr>
        <w:t>he right to a fair</w:t>
      </w:r>
      <w:r>
        <w:rPr>
          <w:rFonts w:eastAsia="Calibri" w:cs="Times New Roman"/>
          <w:szCs w:val="24"/>
        </w:rPr>
        <w:t xml:space="preserve"> trial </w:t>
      </w:r>
      <w:r w:rsidR="00336671">
        <w:rPr>
          <w:rFonts w:eastAsia="Calibri" w:cs="Times New Roman"/>
          <w:szCs w:val="24"/>
        </w:rPr>
        <w:t>in</w:t>
      </w:r>
      <w:r>
        <w:rPr>
          <w:rFonts w:eastAsia="Calibri" w:cs="Times New Roman"/>
          <w:szCs w:val="24"/>
        </w:rPr>
        <w:t xml:space="preserve"> Article 8.1 </w:t>
      </w:r>
      <w:r w:rsidRPr="003F2306">
        <w:rPr>
          <w:rFonts w:eastAsia="Calibri" w:cs="Times New Roman"/>
          <w:szCs w:val="24"/>
        </w:rPr>
        <w:t xml:space="preserve">ACHR includes the concept of “due process of law” which </w:t>
      </w:r>
      <w:r w:rsidR="00336671">
        <w:rPr>
          <w:rFonts w:eastAsia="Calibri" w:cs="Times New Roman"/>
          <w:szCs w:val="24"/>
        </w:rPr>
        <w:t>refers to</w:t>
      </w:r>
      <w:r w:rsidRPr="003F2306">
        <w:rPr>
          <w:rFonts w:eastAsia="Calibri" w:cs="Times New Roman"/>
          <w:szCs w:val="24"/>
        </w:rPr>
        <w:t xml:space="preserve"> the prerequisites necessary for the adequate protection of those persons whose rights or obligations are pending judicial determination</w:t>
      </w:r>
      <w:r w:rsidRPr="003F2306">
        <w:rPr>
          <w:rFonts w:eastAsia="Calibri" w:cs="Times New Roman"/>
          <w:szCs w:val="24"/>
          <w:vertAlign w:val="superscript"/>
        </w:rPr>
        <w:footnoteReference w:id="134"/>
      </w:r>
      <w:r w:rsidRPr="003F2306">
        <w:rPr>
          <w:rFonts w:eastAsia="Calibri" w:cs="Times New Roman"/>
          <w:szCs w:val="24"/>
        </w:rPr>
        <w:t xml:space="preserve"> and applies to all judicial guarantees contained in the ACHR</w:t>
      </w:r>
      <w:r w:rsidR="00336671">
        <w:rPr>
          <w:rFonts w:eastAsia="Calibri" w:cs="Times New Roman"/>
          <w:szCs w:val="24"/>
        </w:rPr>
        <w:t>.</w:t>
      </w:r>
      <w:r w:rsidRPr="003F2306">
        <w:rPr>
          <w:rFonts w:eastAsia="Calibri" w:cs="Times New Roman"/>
          <w:szCs w:val="24"/>
          <w:vertAlign w:val="superscript"/>
        </w:rPr>
        <w:footnoteReference w:id="135"/>
      </w:r>
      <w:r w:rsidR="00336671">
        <w:rPr>
          <w:rFonts w:eastAsia="Calibri" w:cs="Times New Roman"/>
          <w:szCs w:val="24"/>
        </w:rPr>
        <w:t xml:space="preserve"> </w:t>
      </w:r>
      <w:r w:rsidR="00336671">
        <w:rPr>
          <w:rFonts w:cs="Times New Roman"/>
          <w:szCs w:val="24"/>
        </w:rPr>
        <w:t>The remedies guaranteed under Article 25 must be “substantiated in conformity with the rules of due process of law.”</w:t>
      </w:r>
      <w:r w:rsidR="00336671">
        <w:rPr>
          <w:rStyle w:val="FootnoteReference"/>
          <w:rFonts w:cs="Times New Roman"/>
          <w:szCs w:val="24"/>
        </w:rPr>
        <w:footnoteReference w:id="136"/>
      </w:r>
      <w:r w:rsidR="00336671">
        <w:rPr>
          <w:rFonts w:cs="Times New Roman"/>
          <w:szCs w:val="24"/>
        </w:rPr>
        <w:t xml:space="preserve"> As such, Article 25</w:t>
      </w:r>
      <w:r w:rsidR="00820DC0">
        <w:rPr>
          <w:rFonts w:cs="Times New Roman"/>
          <w:szCs w:val="24"/>
        </w:rPr>
        <w:fldChar w:fldCharType="begin"/>
      </w:r>
      <w:r w:rsidR="00BB2EDB">
        <w:instrText xml:space="preserve"> TA \s "Article 25" </w:instrText>
      </w:r>
      <w:r w:rsidR="00820DC0">
        <w:rPr>
          <w:rFonts w:cs="Times New Roman"/>
          <w:szCs w:val="24"/>
        </w:rPr>
        <w:fldChar w:fldCharType="end"/>
      </w:r>
      <w:r w:rsidR="00336671">
        <w:rPr>
          <w:rFonts w:cs="Times New Roman"/>
          <w:szCs w:val="24"/>
        </w:rPr>
        <w:t xml:space="preserve"> and Article 8(1)</w:t>
      </w:r>
      <w:r w:rsidR="00820DC0">
        <w:rPr>
          <w:rFonts w:cs="Times New Roman"/>
          <w:szCs w:val="24"/>
        </w:rPr>
        <w:fldChar w:fldCharType="begin"/>
      </w:r>
      <w:r w:rsidR="00BB2EDB">
        <w:instrText xml:space="preserve"> TA \s "Article 8" </w:instrText>
      </w:r>
      <w:r w:rsidR="00820DC0">
        <w:rPr>
          <w:rFonts w:cs="Times New Roman"/>
          <w:szCs w:val="24"/>
        </w:rPr>
        <w:fldChar w:fldCharType="end"/>
      </w:r>
      <w:r w:rsidR="00336671">
        <w:rPr>
          <w:rFonts w:cs="Times New Roman"/>
          <w:szCs w:val="24"/>
        </w:rPr>
        <w:t xml:space="preserve"> are ineluctably intertwined, and must also be considered in light of the State’s positive obligation to guarantee ACHR rights under Article 1(1)</w:t>
      </w:r>
      <w:r w:rsidR="00820DC0">
        <w:rPr>
          <w:rFonts w:cs="Times New Roman"/>
          <w:szCs w:val="24"/>
        </w:rPr>
        <w:fldChar w:fldCharType="begin"/>
      </w:r>
      <w:r w:rsidR="00BB2EDB">
        <w:instrText xml:space="preserve"> TA \s "Article 1(1)" </w:instrText>
      </w:r>
      <w:r w:rsidR="00820DC0">
        <w:rPr>
          <w:rFonts w:cs="Times New Roman"/>
          <w:szCs w:val="24"/>
        </w:rPr>
        <w:fldChar w:fldCharType="end"/>
      </w:r>
      <w:r w:rsidR="00336671">
        <w:rPr>
          <w:rFonts w:cs="Times New Roman"/>
          <w:szCs w:val="24"/>
        </w:rPr>
        <w:t>.</w:t>
      </w:r>
      <w:r w:rsidR="008117A0">
        <w:rPr>
          <w:rStyle w:val="FootnoteReference"/>
          <w:rFonts w:cs="Times New Roman"/>
          <w:szCs w:val="24"/>
        </w:rPr>
        <w:footnoteReference w:id="137"/>
      </w:r>
      <w:r w:rsidR="00632A71">
        <w:rPr>
          <w:rFonts w:cs="Times New Roman"/>
          <w:szCs w:val="24"/>
        </w:rPr>
        <w:t xml:space="preserve"> </w:t>
      </w:r>
    </w:p>
    <w:p w:rsidR="005A4694" w:rsidRDefault="005A4694" w:rsidP="008571A4">
      <w:pPr>
        <w:spacing w:line="480" w:lineRule="auto"/>
        <w:jc w:val="both"/>
        <w:rPr>
          <w:rFonts w:cs="Times New Roman"/>
          <w:i/>
          <w:szCs w:val="24"/>
          <w:u w:val="single"/>
        </w:rPr>
      </w:pPr>
    </w:p>
    <w:p w:rsidR="002D0DC2" w:rsidRPr="00B247B8" w:rsidRDefault="002D0DC2" w:rsidP="008571A4">
      <w:pPr>
        <w:spacing w:line="480" w:lineRule="auto"/>
        <w:jc w:val="both"/>
        <w:rPr>
          <w:rFonts w:cs="Times New Roman"/>
          <w:i/>
          <w:szCs w:val="24"/>
          <w:u w:val="single"/>
        </w:rPr>
      </w:pPr>
      <w:r w:rsidRPr="00B247B8">
        <w:rPr>
          <w:rFonts w:cs="Times New Roman"/>
          <w:i/>
          <w:szCs w:val="24"/>
          <w:u w:val="single"/>
        </w:rPr>
        <w:t>The available remedies were not effective</w:t>
      </w:r>
    </w:p>
    <w:p w:rsidR="002D0DC2" w:rsidRDefault="002D0DC2" w:rsidP="008571A4">
      <w:pPr>
        <w:spacing w:line="480" w:lineRule="auto"/>
        <w:jc w:val="both"/>
        <w:rPr>
          <w:rFonts w:cs="Times New Roman"/>
          <w:szCs w:val="24"/>
        </w:rPr>
      </w:pPr>
      <w:r>
        <w:rPr>
          <w:rFonts w:cs="Times New Roman"/>
          <w:szCs w:val="24"/>
        </w:rPr>
        <w:t>In interpreting Article 25 in light of Article 1.1, States are required to take affirmative steps to not only enact effective remedies into law but also to ensure that such remedies are implemented properly by judicial authorities. It is not sufficient for a State to claim that a remedy formally exists within the domestic legal framework. Rather, it must be proven to be an effective recourse in the sense that it must be “truly appropriate to establish whether there has been a violation of human rights and to provide everything necessary to remedy it.”</w:t>
      </w:r>
      <w:r>
        <w:rPr>
          <w:rStyle w:val="FootnoteReference"/>
          <w:rFonts w:cs="Times New Roman"/>
          <w:szCs w:val="24"/>
        </w:rPr>
        <w:footnoteReference w:id="138"/>
      </w:r>
      <w:r>
        <w:rPr>
          <w:rFonts w:cs="Times New Roman"/>
          <w:szCs w:val="24"/>
        </w:rPr>
        <w:t>As such, remedies which can be deemed illusory due to the circumstances prevailing in a particular country will not satisfy the requisite level of effectiveness, and result in a breach of Article 25.</w:t>
      </w:r>
      <w:r w:rsidR="008117A0">
        <w:rPr>
          <w:rStyle w:val="FootnoteReference"/>
          <w:rFonts w:cs="Times New Roman"/>
          <w:szCs w:val="24"/>
        </w:rPr>
        <w:footnoteReference w:id="139"/>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The mere existence of an unconstitutionality action in Article 110 of Elizabetia’s Constitution does not satisfy the requirements of an effective remedy under Article 25</w:t>
      </w:r>
      <w:r w:rsidR="00820DC0">
        <w:rPr>
          <w:rFonts w:cs="Times New Roman"/>
          <w:szCs w:val="24"/>
        </w:rPr>
        <w:fldChar w:fldCharType="begin"/>
      </w:r>
      <w:r w:rsidR="00BB2EDB">
        <w:instrText xml:space="preserve"> TA \s "Article 25" </w:instrText>
      </w:r>
      <w:r w:rsidR="00820DC0">
        <w:rPr>
          <w:rFonts w:cs="Times New Roman"/>
          <w:szCs w:val="24"/>
        </w:rPr>
        <w:fldChar w:fldCharType="end"/>
      </w:r>
      <w:r>
        <w:rPr>
          <w:rFonts w:cs="Times New Roman"/>
          <w:szCs w:val="24"/>
        </w:rPr>
        <w:t>. The discretionary and unregulated nature of the approval process required to access the remedy renders the provision ineffective, particularly when one considers the political circumstances prevailing in Elizabetia. Given that access to the remedy is partially contingent upon political advisability,</w:t>
      </w:r>
      <w:r>
        <w:rPr>
          <w:rStyle w:val="FootnoteReference"/>
          <w:rFonts w:cs="Times New Roman"/>
          <w:szCs w:val="24"/>
        </w:rPr>
        <w:footnoteReference w:id="140"/>
      </w:r>
      <w:r>
        <w:rPr>
          <w:rFonts w:cs="Times New Roman"/>
          <w:szCs w:val="24"/>
        </w:rPr>
        <w:t xml:space="preserve"> the anti-same-sex marriage sentiment expressed by the President of Elizabetia, and reflected in public opinion polls, suggest that</w:t>
      </w:r>
      <w:r w:rsidR="00632A71">
        <w:rPr>
          <w:rFonts w:cs="Times New Roman"/>
          <w:szCs w:val="24"/>
        </w:rPr>
        <w:t xml:space="preserve"> access to</w:t>
      </w:r>
      <w:r>
        <w:rPr>
          <w:rFonts w:cs="Times New Roman"/>
          <w:szCs w:val="24"/>
        </w:rPr>
        <w:t xml:space="preserve"> the unconstitutionality action </w:t>
      </w:r>
      <w:r w:rsidR="00632A71">
        <w:rPr>
          <w:rFonts w:cs="Times New Roman"/>
          <w:szCs w:val="24"/>
        </w:rPr>
        <w:t>would not have been granted to</w:t>
      </w:r>
      <w:r>
        <w:rPr>
          <w:rFonts w:cs="Times New Roman"/>
          <w:szCs w:val="24"/>
        </w:rPr>
        <w:t xml:space="preserve"> Serafina and Adriana had they attempted to file for it. Furthermore, there is no alternative remedy available in Elizabetia which would allow Serafina and Adriana to achieve a declaration of unconstitutionality in relation to Article 396,</w:t>
      </w:r>
      <w:r>
        <w:rPr>
          <w:rStyle w:val="FootnoteReference"/>
          <w:rFonts w:cs="Times New Roman"/>
          <w:szCs w:val="24"/>
        </w:rPr>
        <w:footnoteReference w:id="141"/>
      </w:r>
      <w:r>
        <w:rPr>
          <w:rFonts w:cs="Times New Roman"/>
          <w:szCs w:val="24"/>
        </w:rPr>
        <w:t xml:space="preserve"> and thus an amendment of this discriminatory </w:t>
      </w:r>
      <w:r>
        <w:rPr>
          <w:rFonts w:cs="Times New Roman"/>
          <w:szCs w:val="24"/>
        </w:rPr>
        <w:lastRenderedPageBreak/>
        <w:t>provision.  As such, the State has failed to undertake its positive obligation to ensure the provision of an effective remedy for the violations of the ACHR and Constitutional rights of Serafina and Adriana</w:t>
      </w:r>
      <w:r w:rsidR="00632A71">
        <w:rPr>
          <w:rFonts w:cs="Times New Roman"/>
          <w:szCs w:val="24"/>
        </w:rPr>
        <w:t>, an</w:t>
      </w:r>
      <w:r w:rsidR="00336671">
        <w:rPr>
          <w:rFonts w:cs="Times New Roman"/>
          <w:szCs w:val="24"/>
        </w:rPr>
        <w:t>d</w:t>
      </w:r>
      <w:r w:rsidR="00632A71">
        <w:rPr>
          <w:rFonts w:cs="Times New Roman"/>
          <w:szCs w:val="24"/>
        </w:rPr>
        <w:t xml:space="preserve"> thus breached Article 25 in relation to Article 8(1)</w:t>
      </w:r>
      <w:r w:rsidR="00820DC0">
        <w:rPr>
          <w:rFonts w:cs="Times New Roman"/>
          <w:szCs w:val="24"/>
        </w:rPr>
        <w:fldChar w:fldCharType="begin"/>
      </w:r>
      <w:r w:rsidR="00BB2EDB">
        <w:instrText xml:space="preserve"> TA \s "Article 8" </w:instrText>
      </w:r>
      <w:r w:rsidR="00820DC0">
        <w:rPr>
          <w:rFonts w:cs="Times New Roman"/>
          <w:szCs w:val="24"/>
        </w:rPr>
        <w:fldChar w:fldCharType="end"/>
      </w:r>
      <w:r w:rsidR="00632A71">
        <w:rPr>
          <w:rFonts w:cs="Times New Roman"/>
          <w:szCs w:val="24"/>
        </w:rPr>
        <w:t xml:space="preserve"> and 1(1)</w:t>
      </w:r>
      <w:r w:rsidR="00820DC0">
        <w:rPr>
          <w:rFonts w:cs="Times New Roman"/>
          <w:szCs w:val="24"/>
        </w:rPr>
        <w:fldChar w:fldCharType="begin"/>
      </w:r>
      <w:r w:rsidR="00BB2EDB">
        <w:instrText xml:space="preserve"> TA \s "Article 1(1)" </w:instrText>
      </w:r>
      <w:r w:rsidR="00820DC0">
        <w:rPr>
          <w:rFonts w:cs="Times New Roman"/>
          <w:szCs w:val="24"/>
        </w:rPr>
        <w:fldChar w:fldCharType="end"/>
      </w:r>
      <w:r>
        <w:rPr>
          <w:rFonts w:cs="Times New Roman"/>
          <w:szCs w:val="24"/>
        </w:rPr>
        <w:t>.</w:t>
      </w:r>
      <w:r>
        <w:rPr>
          <w:rStyle w:val="FootnoteReference"/>
          <w:rFonts w:cs="Times New Roman"/>
          <w:szCs w:val="24"/>
        </w:rPr>
        <w:footnoteReference w:id="142"/>
      </w:r>
      <w:r>
        <w:rPr>
          <w:rFonts w:cs="Times New Roman"/>
          <w:szCs w:val="24"/>
        </w:rPr>
        <w:t xml:space="preserve"> </w:t>
      </w:r>
    </w:p>
    <w:p w:rsidR="00336671" w:rsidRDefault="00336671" w:rsidP="008571A4">
      <w:pPr>
        <w:spacing w:line="480" w:lineRule="auto"/>
        <w:jc w:val="both"/>
        <w:rPr>
          <w:rFonts w:cs="Times New Roman"/>
          <w:szCs w:val="24"/>
        </w:rPr>
      </w:pPr>
    </w:p>
    <w:p w:rsidR="00336671" w:rsidRPr="00336671" w:rsidRDefault="00336671" w:rsidP="008571A4">
      <w:pPr>
        <w:spacing w:line="480" w:lineRule="auto"/>
        <w:jc w:val="both"/>
        <w:rPr>
          <w:rFonts w:cs="Times New Roman"/>
          <w:i/>
          <w:szCs w:val="24"/>
          <w:u w:val="single"/>
        </w:rPr>
      </w:pPr>
      <w:r w:rsidRPr="00336671">
        <w:rPr>
          <w:rFonts w:cs="Times New Roman"/>
          <w:i/>
          <w:szCs w:val="24"/>
          <w:u w:val="single"/>
        </w:rPr>
        <w:t>Article 8(2)(h) – Right to Appeal the Judgment to a Higher Court</w:t>
      </w:r>
    </w:p>
    <w:p w:rsidR="00EC29DA" w:rsidRDefault="00336671" w:rsidP="008571A4">
      <w:pPr>
        <w:spacing w:line="480" w:lineRule="auto"/>
        <w:jc w:val="both"/>
        <w:rPr>
          <w:rFonts w:cs="Times New Roman"/>
          <w:szCs w:val="24"/>
        </w:rPr>
      </w:pPr>
      <w:r>
        <w:rPr>
          <w:rFonts w:cs="Times New Roman"/>
          <w:szCs w:val="24"/>
        </w:rPr>
        <w:t>Contrary to the argument posited by the Commission in its Merits Report 1-13,</w:t>
      </w:r>
      <w:r>
        <w:rPr>
          <w:rStyle w:val="FootnoteReference"/>
          <w:rFonts w:cs="Times New Roman"/>
          <w:szCs w:val="24"/>
        </w:rPr>
        <w:footnoteReference w:id="143"/>
      </w:r>
      <w:r>
        <w:rPr>
          <w:rFonts w:cs="Times New Roman"/>
          <w:szCs w:val="24"/>
        </w:rPr>
        <w:t xml:space="preserve">  the minimum due process guarantees enumerated in Article 8.2 ACHR are applicable not only to proceedings of a punitive nature, but also to proceedings related to rights of a “civil, labor, fiscal, or any other nature.”</w:t>
      </w:r>
      <w:r>
        <w:rPr>
          <w:rStyle w:val="FootnoteReference"/>
          <w:rFonts w:cs="Times New Roman"/>
          <w:szCs w:val="24"/>
        </w:rPr>
        <w:footnoteReference w:id="144"/>
      </w:r>
      <w:r>
        <w:rPr>
          <w:rFonts w:cs="Times New Roman"/>
          <w:szCs w:val="24"/>
        </w:rPr>
        <w:t xml:space="preserve"> This underscores the breadth of due process rights protected under the Convention with the aim of ensuring that that fairness is exercised by the State in all aspects of decision-making involving the rights of persons. Article 8(2)(h)</w:t>
      </w:r>
      <w:r w:rsidR="00820DC0">
        <w:rPr>
          <w:rFonts w:cs="Times New Roman"/>
          <w:szCs w:val="24"/>
        </w:rPr>
        <w:fldChar w:fldCharType="begin"/>
      </w:r>
      <w:r w:rsidR="009969AC">
        <w:instrText xml:space="preserve"> TA \s "Article 8" </w:instrText>
      </w:r>
      <w:r w:rsidR="00820DC0">
        <w:rPr>
          <w:rFonts w:cs="Times New Roman"/>
          <w:szCs w:val="24"/>
        </w:rPr>
        <w:fldChar w:fldCharType="end"/>
      </w:r>
      <w:r>
        <w:rPr>
          <w:rFonts w:cs="Times New Roman"/>
          <w:szCs w:val="24"/>
        </w:rPr>
        <w:t xml:space="preserve"> mandates that individuals should be afforded the “right to appeal th</w:t>
      </w:r>
      <w:r w:rsidR="0045760F">
        <w:rPr>
          <w:rFonts w:cs="Times New Roman"/>
          <w:szCs w:val="24"/>
        </w:rPr>
        <w:t xml:space="preserve">e judgment to a higher court.” </w:t>
      </w:r>
      <w:r>
        <w:rPr>
          <w:rFonts w:cs="Times New Roman"/>
          <w:szCs w:val="24"/>
        </w:rPr>
        <w:t>Therefore, the State’s law which provides that decisions of Court No. 7 for the Review of Administrative Decisions are not subject to appeal,</w:t>
      </w:r>
      <w:r>
        <w:rPr>
          <w:rStyle w:val="FootnoteReference"/>
          <w:rFonts w:cs="Times New Roman"/>
          <w:szCs w:val="24"/>
        </w:rPr>
        <w:footnoteReference w:id="145"/>
      </w:r>
      <w:r>
        <w:rPr>
          <w:rFonts w:cs="Times New Roman"/>
          <w:szCs w:val="24"/>
        </w:rPr>
        <w:t xml:space="preserve"> is in direct violation of the minimum guarantee enshrined in Article 8(2)(h). </w:t>
      </w:r>
    </w:p>
    <w:p w:rsidR="00336671" w:rsidRDefault="002D0DC2" w:rsidP="008571A4">
      <w:pPr>
        <w:spacing w:line="480" w:lineRule="auto"/>
        <w:jc w:val="both"/>
        <w:rPr>
          <w:rFonts w:cs="Times New Roman"/>
          <w:szCs w:val="24"/>
        </w:rPr>
      </w:pPr>
      <w:r w:rsidRPr="00B247B8">
        <w:rPr>
          <w:rFonts w:cs="Times New Roman"/>
          <w:i/>
          <w:szCs w:val="24"/>
          <w:u w:val="single"/>
        </w:rPr>
        <w:t>Court failed to provide a judgment on the merits</w:t>
      </w:r>
      <w:r>
        <w:rPr>
          <w:rFonts w:cs="Times New Roman"/>
          <w:i/>
          <w:szCs w:val="24"/>
          <w:u w:val="single"/>
        </w:rPr>
        <w:t xml:space="preserve"> </w:t>
      </w:r>
      <w:r>
        <w:rPr>
          <w:rFonts w:cs="Times New Roman"/>
          <w:szCs w:val="24"/>
        </w:rPr>
        <w:t xml:space="preserve"> </w:t>
      </w:r>
    </w:p>
    <w:p w:rsidR="002D0DC2" w:rsidRDefault="002D0DC2" w:rsidP="008571A4">
      <w:pPr>
        <w:spacing w:line="480" w:lineRule="auto"/>
        <w:jc w:val="both"/>
        <w:rPr>
          <w:rFonts w:cs="Times New Roman"/>
          <w:szCs w:val="24"/>
        </w:rPr>
      </w:pPr>
      <w:r>
        <w:rPr>
          <w:rFonts w:cs="Times New Roman"/>
          <w:szCs w:val="24"/>
        </w:rPr>
        <w:t>The Commission</w:t>
      </w:r>
      <w:r w:rsidR="00FC6F10">
        <w:rPr>
          <w:rFonts w:cs="Times New Roman"/>
          <w:szCs w:val="24"/>
        </w:rPr>
        <w:t xml:space="preserve"> and this Court</w:t>
      </w:r>
      <w:r>
        <w:rPr>
          <w:rFonts w:cs="Times New Roman"/>
          <w:szCs w:val="24"/>
        </w:rPr>
        <w:t xml:space="preserve"> has argued that the right to an effective remedy encompasses the right to a reasoned decision on the merits of the matter. In particular, </w:t>
      </w:r>
      <w:r w:rsidR="00FC6F10">
        <w:rPr>
          <w:rFonts w:cs="Times New Roman"/>
          <w:szCs w:val="24"/>
        </w:rPr>
        <w:t>a</w:t>
      </w:r>
      <w:r>
        <w:rPr>
          <w:rFonts w:cs="Times New Roman"/>
          <w:szCs w:val="24"/>
        </w:rPr>
        <w:t xml:space="preserve"> judicial body must </w:t>
      </w:r>
      <w:r w:rsidR="00FC6F10">
        <w:rPr>
          <w:rFonts w:cs="Times New Roman"/>
          <w:szCs w:val="24"/>
        </w:rPr>
        <w:t>provide</w:t>
      </w:r>
      <w:r>
        <w:rPr>
          <w:rFonts w:cs="Times New Roman"/>
          <w:szCs w:val="24"/>
        </w:rPr>
        <w:t xml:space="preserve"> reasons to support its conclusions.</w:t>
      </w:r>
      <w:r>
        <w:rPr>
          <w:rStyle w:val="FootnoteReference"/>
          <w:rFonts w:cs="Times New Roman"/>
          <w:szCs w:val="24"/>
        </w:rPr>
        <w:footnoteReference w:id="146"/>
      </w:r>
      <w:r>
        <w:rPr>
          <w:rFonts w:cs="Times New Roman"/>
          <w:szCs w:val="24"/>
        </w:rPr>
        <w:t xml:space="preserve"> </w:t>
      </w:r>
      <w:r w:rsidR="00916442">
        <w:rPr>
          <w:rFonts w:cs="Times New Roman"/>
          <w:szCs w:val="24"/>
        </w:rPr>
        <w:t>Th</w:t>
      </w:r>
      <w:r w:rsidR="008B5F88">
        <w:rPr>
          <w:rFonts w:cs="Times New Roman"/>
          <w:szCs w:val="24"/>
        </w:rPr>
        <w:t xml:space="preserve">e European Court has held that the imprecise </w:t>
      </w:r>
      <w:r w:rsidR="008B5F88">
        <w:rPr>
          <w:rFonts w:cs="Times New Roman"/>
          <w:szCs w:val="24"/>
        </w:rPr>
        <w:lastRenderedPageBreak/>
        <w:t xml:space="preserve">nature of the statutory </w:t>
      </w:r>
      <w:r w:rsidR="005A4694">
        <w:rPr>
          <w:rFonts w:cs="Times New Roman"/>
          <w:szCs w:val="24"/>
        </w:rPr>
        <w:t>threshold</w:t>
      </w:r>
      <w:r w:rsidR="008B5F88">
        <w:rPr>
          <w:rFonts w:cs="Times New Roman"/>
          <w:szCs w:val="24"/>
        </w:rPr>
        <w:t xml:space="preserve"> of “exceptional circumstances” in that case made it all the more necessary for the Court to give sufficient reasons for its decision.</w:t>
      </w:r>
      <w:r w:rsidR="008B5F88">
        <w:rPr>
          <w:rStyle w:val="FootnoteReference"/>
          <w:rFonts w:cs="Times New Roman"/>
          <w:szCs w:val="24"/>
        </w:rPr>
        <w:footnoteReference w:id="147"/>
      </w:r>
    </w:p>
    <w:p w:rsidR="002D0DC2" w:rsidRDefault="002D0DC2" w:rsidP="008571A4">
      <w:pPr>
        <w:spacing w:line="480" w:lineRule="auto"/>
        <w:jc w:val="both"/>
        <w:rPr>
          <w:rFonts w:cs="Times New Roman"/>
          <w:szCs w:val="24"/>
        </w:rPr>
      </w:pPr>
      <w:r>
        <w:rPr>
          <w:rFonts w:cs="Times New Roman"/>
          <w:szCs w:val="24"/>
        </w:rPr>
        <w:t>The Family Court No. 3 dismissed Serafina and Adriana’s petition for a constitutional reme</w:t>
      </w:r>
      <w:r w:rsidR="00FC6F10">
        <w:rPr>
          <w:rFonts w:cs="Times New Roman"/>
          <w:szCs w:val="24"/>
        </w:rPr>
        <w:t>dy without ruling on the merits,</w:t>
      </w:r>
      <w:r>
        <w:rPr>
          <w:rStyle w:val="FootnoteReference"/>
          <w:rFonts w:cs="Times New Roman"/>
          <w:szCs w:val="24"/>
        </w:rPr>
        <w:footnoteReference w:id="148"/>
      </w:r>
      <w:r w:rsidR="00FC6F10">
        <w:rPr>
          <w:rFonts w:cs="Times New Roman"/>
          <w:szCs w:val="24"/>
        </w:rPr>
        <w:t xml:space="preserve"> which </w:t>
      </w:r>
      <w:r>
        <w:rPr>
          <w:rFonts w:cs="Times New Roman"/>
          <w:szCs w:val="24"/>
        </w:rPr>
        <w:t>constitutes a breach o</w:t>
      </w:r>
      <w:r w:rsidR="00FC6F10">
        <w:rPr>
          <w:rFonts w:cs="Times New Roman"/>
          <w:szCs w:val="24"/>
        </w:rPr>
        <w:t>f Article 25</w:t>
      </w:r>
      <w:r w:rsidR="00820DC0">
        <w:rPr>
          <w:rFonts w:cs="Times New Roman"/>
          <w:szCs w:val="24"/>
        </w:rPr>
        <w:fldChar w:fldCharType="begin"/>
      </w:r>
      <w:r w:rsidR="009969AC">
        <w:instrText xml:space="preserve"> TA \s "Article 25" </w:instrText>
      </w:r>
      <w:r w:rsidR="00820DC0">
        <w:rPr>
          <w:rFonts w:cs="Times New Roman"/>
          <w:szCs w:val="24"/>
        </w:rPr>
        <w:fldChar w:fldCharType="end"/>
      </w:r>
      <w:r w:rsidR="00FC6F10">
        <w:rPr>
          <w:rFonts w:cs="Times New Roman"/>
          <w:szCs w:val="24"/>
        </w:rPr>
        <w:t xml:space="preserve"> of the Convention. Given that the domestic Court took the maximum period of time reserved for “particularly complex cases,” it is even more compelling that it should have provided Serafina and Adriana with more than just a statement that their case did not fulfill a standard of “manifest arbitrariness</w:t>
      </w:r>
      <w:r>
        <w:rPr>
          <w:rFonts w:cs="Times New Roman"/>
          <w:szCs w:val="24"/>
        </w:rPr>
        <w:t>.</w:t>
      </w:r>
      <w:r w:rsidR="00FC6F10">
        <w:rPr>
          <w:rFonts w:cs="Times New Roman"/>
          <w:szCs w:val="24"/>
        </w:rPr>
        <w:t>”</w:t>
      </w:r>
      <w:r>
        <w:rPr>
          <w:rFonts w:cs="Times New Roman"/>
          <w:szCs w:val="24"/>
        </w:rPr>
        <w:t xml:space="preserve"> The absence of a reasoned judgment</w:t>
      </w:r>
      <w:r w:rsidR="00FC6F10">
        <w:rPr>
          <w:rFonts w:cs="Times New Roman"/>
          <w:szCs w:val="24"/>
        </w:rPr>
        <w:t xml:space="preserve"> on the matter</w:t>
      </w:r>
      <w:r>
        <w:rPr>
          <w:rFonts w:cs="Times New Roman"/>
          <w:szCs w:val="24"/>
        </w:rPr>
        <w:t xml:space="preserve"> </w:t>
      </w:r>
      <w:r w:rsidR="00FC6F10">
        <w:rPr>
          <w:rFonts w:cs="Times New Roman"/>
          <w:szCs w:val="24"/>
        </w:rPr>
        <w:t>could</w:t>
      </w:r>
      <w:r>
        <w:rPr>
          <w:rFonts w:cs="Times New Roman"/>
          <w:szCs w:val="24"/>
        </w:rPr>
        <w:t xml:space="preserve"> have impeded Serafina and Adriana from substantiating their subsequent appeal adequately</w:t>
      </w:r>
      <w:r w:rsidR="00FC6F10">
        <w:rPr>
          <w:rFonts w:cs="Times New Roman"/>
          <w:szCs w:val="24"/>
        </w:rPr>
        <w:t xml:space="preserve"> before the Three-Judge Plenary Tribunal</w:t>
      </w:r>
      <w:r>
        <w:rPr>
          <w:rFonts w:cs="Times New Roman"/>
          <w:szCs w:val="24"/>
        </w:rPr>
        <w:t>.</w:t>
      </w:r>
      <w:r>
        <w:rPr>
          <w:rStyle w:val="FootnoteReference"/>
          <w:rFonts w:cs="Times New Roman"/>
          <w:szCs w:val="24"/>
        </w:rPr>
        <w:footnoteReference w:id="149"/>
      </w:r>
      <w:r>
        <w:rPr>
          <w:rFonts w:cs="Times New Roman"/>
          <w:szCs w:val="24"/>
        </w:rPr>
        <w:t xml:space="preserve"> </w:t>
      </w:r>
    </w:p>
    <w:p w:rsidR="00FC6F10" w:rsidRDefault="00FC6F10" w:rsidP="008571A4">
      <w:pPr>
        <w:spacing w:line="480" w:lineRule="auto"/>
        <w:jc w:val="both"/>
        <w:rPr>
          <w:rFonts w:cs="Times New Roman"/>
          <w:szCs w:val="24"/>
        </w:rPr>
      </w:pPr>
      <w:r>
        <w:rPr>
          <w:rFonts w:cs="Times New Roman"/>
          <w:szCs w:val="24"/>
        </w:rPr>
        <w:t>Furthermore, this Court has opined that an effective remedy must guarantee a full review of the decision being challenged.</w:t>
      </w:r>
      <w:r w:rsidRPr="00FC6F10">
        <w:rPr>
          <w:rStyle w:val="FootnoteReference"/>
          <w:rFonts w:cs="Times New Roman"/>
          <w:szCs w:val="24"/>
        </w:rPr>
        <w:t xml:space="preserve"> </w:t>
      </w:r>
      <w:r>
        <w:rPr>
          <w:rStyle w:val="FootnoteReference"/>
          <w:rFonts w:cs="Times New Roman"/>
          <w:szCs w:val="24"/>
        </w:rPr>
        <w:footnoteReference w:id="150"/>
      </w:r>
      <w:r>
        <w:rPr>
          <w:rFonts w:cs="Times New Roman"/>
          <w:szCs w:val="24"/>
        </w:rPr>
        <w:t xml:space="preserve"> On the facts of the present case, there is no indication that such a review was implemented by Family Court No. 3, given that it dismissed the action without ruling on the merits. </w:t>
      </w:r>
      <w:r w:rsidR="00380B95">
        <w:rPr>
          <w:rFonts w:cs="Times New Roman"/>
          <w:szCs w:val="24"/>
        </w:rPr>
        <w:t xml:space="preserve">The standard required by Elizabetian law of “manifest arbitrariness” in the consideration of petitions for a constitutional remedy, also does not seem to facilitate a real possibility of a comprehensive review of the decision of Court No. 7. </w:t>
      </w:r>
      <w:r w:rsidR="008B5F88">
        <w:rPr>
          <w:rFonts w:cs="Times New Roman"/>
          <w:szCs w:val="24"/>
        </w:rPr>
        <w:t>A full review</w:t>
      </w:r>
      <w:r w:rsidR="00380B95">
        <w:rPr>
          <w:rFonts w:cs="Times New Roman"/>
          <w:szCs w:val="24"/>
        </w:rPr>
        <w:t xml:space="preserve"> would have bee</w:t>
      </w:r>
      <w:r w:rsidR="008B5F88">
        <w:rPr>
          <w:rFonts w:cs="Times New Roman"/>
          <w:szCs w:val="24"/>
        </w:rPr>
        <w:t>n particularly necessary in the</w:t>
      </w:r>
      <w:r w:rsidR="00380B95">
        <w:rPr>
          <w:rFonts w:cs="Times New Roman"/>
          <w:szCs w:val="24"/>
        </w:rPr>
        <w:t xml:space="preserve"> context</w:t>
      </w:r>
      <w:r w:rsidR="008B5F88">
        <w:rPr>
          <w:rFonts w:cs="Times New Roman"/>
          <w:szCs w:val="24"/>
        </w:rPr>
        <w:t xml:space="preserve"> of this case</w:t>
      </w:r>
      <w:r w:rsidR="00380B95">
        <w:rPr>
          <w:rFonts w:cs="Times New Roman"/>
          <w:szCs w:val="24"/>
        </w:rPr>
        <w:t xml:space="preserve">, given that Court No. 7’s judgment was rendered final and thus not subject to appeal. </w:t>
      </w:r>
    </w:p>
    <w:p w:rsidR="004249A8" w:rsidRPr="00F80F44" w:rsidRDefault="004249A8" w:rsidP="00F80F44">
      <w:pPr>
        <w:pStyle w:val="Heading1"/>
        <w:numPr>
          <w:ilvl w:val="0"/>
          <w:numId w:val="2"/>
        </w:numPr>
        <w:rPr>
          <w:u w:val="none"/>
        </w:rPr>
      </w:pPr>
      <w:bookmarkStart w:id="15" w:name="_Toc352007836"/>
      <w:r w:rsidRPr="00F80F44">
        <w:rPr>
          <w:u w:val="none"/>
        </w:rPr>
        <w:lastRenderedPageBreak/>
        <w:t>PRAYER FOR RELIEF</w:t>
      </w:r>
      <w:bookmarkEnd w:id="15"/>
    </w:p>
    <w:p w:rsidR="004249A8" w:rsidRPr="004249A8" w:rsidRDefault="004249A8" w:rsidP="008571A4">
      <w:pPr>
        <w:jc w:val="both"/>
        <w:rPr>
          <w:rFonts w:cs="Times New Roman"/>
          <w:szCs w:val="24"/>
        </w:rPr>
      </w:pPr>
    </w:p>
    <w:p w:rsidR="004249A8" w:rsidRPr="004249A8" w:rsidRDefault="004249A8" w:rsidP="008571A4">
      <w:pPr>
        <w:spacing w:line="480" w:lineRule="auto"/>
        <w:jc w:val="both"/>
        <w:rPr>
          <w:rFonts w:cs="Times New Roman"/>
          <w:szCs w:val="24"/>
        </w:rPr>
      </w:pPr>
      <w:r w:rsidRPr="004249A8">
        <w:rPr>
          <w:rFonts w:cs="Times New Roman"/>
          <w:szCs w:val="24"/>
        </w:rPr>
        <w:t>Based on the foregoing submissions, the</w:t>
      </w:r>
      <w:r w:rsidR="001F09C4">
        <w:rPr>
          <w:rFonts w:cs="Times New Roman"/>
          <w:szCs w:val="24"/>
        </w:rPr>
        <w:t xml:space="preserve"> Representatives of the V</w:t>
      </w:r>
      <w:r w:rsidRPr="004249A8">
        <w:rPr>
          <w:rFonts w:cs="Times New Roman"/>
          <w:szCs w:val="24"/>
        </w:rPr>
        <w:t>ictims respectfully request that this Honorable Court:</w:t>
      </w:r>
    </w:p>
    <w:p w:rsidR="0091573B" w:rsidRDefault="004249A8" w:rsidP="0091573B">
      <w:pPr>
        <w:numPr>
          <w:ilvl w:val="0"/>
          <w:numId w:val="1"/>
        </w:numPr>
        <w:spacing w:line="480" w:lineRule="auto"/>
        <w:contextualSpacing/>
        <w:jc w:val="both"/>
        <w:rPr>
          <w:rFonts w:cs="Times New Roman"/>
          <w:szCs w:val="24"/>
        </w:rPr>
      </w:pPr>
      <w:r w:rsidRPr="004249A8">
        <w:rPr>
          <w:rFonts w:cs="Times New Roman"/>
          <w:szCs w:val="24"/>
        </w:rPr>
        <w:t xml:space="preserve">order that the State adopt, without delay, the measures necessary to protect Adriana Timor, by allowing for Serafina to provide </w:t>
      </w:r>
      <w:r w:rsidR="001F09C4">
        <w:rPr>
          <w:rFonts w:cs="Times New Roman"/>
          <w:szCs w:val="24"/>
        </w:rPr>
        <w:t xml:space="preserve">informed </w:t>
      </w:r>
      <w:r w:rsidRPr="004249A8">
        <w:rPr>
          <w:rFonts w:cs="Times New Roman"/>
          <w:szCs w:val="24"/>
        </w:rPr>
        <w:t xml:space="preserve">consent to the medical surgery </w:t>
      </w:r>
      <w:r w:rsidR="001F09C4">
        <w:rPr>
          <w:rFonts w:cs="Times New Roman"/>
          <w:szCs w:val="24"/>
        </w:rPr>
        <w:t>on behalf of Adriana;</w:t>
      </w:r>
      <w:r w:rsidRPr="004249A8">
        <w:rPr>
          <w:rFonts w:cs="Times New Roman"/>
          <w:szCs w:val="24"/>
        </w:rPr>
        <w:t xml:space="preserve"> </w:t>
      </w:r>
    </w:p>
    <w:p w:rsidR="004249A8" w:rsidRPr="0091573B" w:rsidRDefault="004249A8" w:rsidP="0091573B">
      <w:pPr>
        <w:numPr>
          <w:ilvl w:val="0"/>
          <w:numId w:val="1"/>
        </w:numPr>
        <w:spacing w:line="480" w:lineRule="auto"/>
        <w:contextualSpacing/>
        <w:jc w:val="both"/>
        <w:rPr>
          <w:rFonts w:cs="Times New Roman"/>
          <w:szCs w:val="24"/>
        </w:rPr>
      </w:pPr>
      <w:r w:rsidRPr="0091573B">
        <w:rPr>
          <w:rFonts w:cs="Times New Roman"/>
          <w:szCs w:val="24"/>
        </w:rPr>
        <w:t>adjudge and declare that the State of Elizabetia violated Articles 1(1)</w:t>
      </w:r>
      <w:r w:rsidR="00820DC0">
        <w:rPr>
          <w:rFonts w:cs="Times New Roman"/>
          <w:szCs w:val="24"/>
        </w:rPr>
        <w:fldChar w:fldCharType="begin"/>
      </w:r>
      <w:r w:rsidR="009969AC">
        <w:instrText xml:space="preserve"> TA \s "Article 1(1)" </w:instrText>
      </w:r>
      <w:r w:rsidR="00820DC0">
        <w:rPr>
          <w:rFonts w:cs="Times New Roman"/>
          <w:szCs w:val="24"/>
        </w:rPr>
        <w:fldChar w:fldCharType="end"/>
      </w:r>
      <w:r w:rsidRPr="0091573B">
        <w:rPr>
          <w:rFonts w:cs="Times New Roman"/>
          <w:szCs w:val="24"/>
        </w:rPr>
        <w:t>, 2</w:t>
      </w:r>
      <w:r w:rsidR="00820DC0">
        <w:rPr>
          <w:rFonts w:cs="Times New Roman"/>
          <w:szCs w:val="24"/>
        </w:rPr>
        <w:fldChar w:fldCharType="begin"/>
      </w:r>
      <w:r w:rsidR="009969AC">
        <w:instrText xml:space="preserve"> TA \s "Article 2" </w:instrText>
      </w:r>
      <w:r w:rsidR="00820DC0">
        <w:rPr>
          <w:rFonts w:cs="Times New Roman"/>
          <w:szCs w:val="24"/>
        </w:rPr>
        <w:fldChar w:fldCharType="end"/>
      </w:r>
      <w:r w:rsidRPr="0091573B">
        <w:rPr>
          <w:rFonts w:cs="Times New Roman"/>
          <w:szCs w:val="24"/>
        </w:rPr>
        <w:t>, 8</w:t>
      </w:r>
      <w:r w:rsidR="00820DC0">
        <w:rPr>
          <w:rFonts w:cs="Times New Roman"/>
          <w:szCs w:val="24"/>
        </w:rPr>
        <w:fldChar w:fldCharType="begin"/>
      </w:r>
      <w:r w:rsidR="009969AC">
        <w:instrText xml:space="preserve"> TA \s "Article 8" </w:instrText>
      </w:r>
      <w:r w:rsidR="00820DC0">
        <w:rPr>
          <w:rFonts w:cs="Times New Roman"/>
          <w:szCs w:val="24"/>
        </w:rPr>
        <w:fldChar w:fldCharType="end"/>
      </w:r>
      <w:r w:rsidRPr="0091573B">
        <w:rPr>
          <w:rFonts w:cs="Times New Roman"/>
          <w:szCs w:val="24"/>
        </w:rPr>
        <w:t>, 11</w:t>
      </w:r>
      <w:r w:rsidR="00820DC0">
        <w:rPr>
          <w:rFonts w:cs="Times New Roman"/>
          <w:szCs w:val="24"/>
        </w:rPr>
        <w:fldChar w:fldCharType="begin"/>
      </w:r>
      <w:r w:rsidR="009969AC">
        <w:instrText xml:space="preserve"> TA \s "Article 11" </w:instrText>
      </w:r>
      <w:r w:rsidR="00820DC0">
        <w:rPr>
          <w:rFonts w:cs="Times New Roman"/>
          <w:szCs w:val="24"/>
        </w:rPr>
        <w:fldChar w:fldCharType="end"/>
      </w:r>
      <w:r w:rsidRPr="0091573B">
        <w:rPr>
          <w:rFonts w:cs="Times New Roman"/>
          <w:szCs w:val="24"/>
        </w:rPr>
        <w:t>, 17</w:t>
      </w:r>
      <w:r w:rsidR="00820DC0">
        <w:rPr>
          <w:rFonts w:cs="Times New Roman"/>
          <w:szCs w:val="24"/>
        </w:rPr>
        <w:fldChar w:fldCharType="begin"/>
      </w:r>
      <w:r w:rsidR="009969AC">
        <w:instrText xml:space="preserve"> TA \s "Article 17" </w:instrText>
      </w:r>
      <w:r w:rsidR="00820DC0">
        <w:rPr>
          <w:rFonts w:cs="Times New Roman"/>
          <w:szCs w:val="24"/>
        </w:rPr>
        <w:fldChar w:fldCharType="end"/>
      </w:r>
      <w:r w:rsidRPr="0091573B">
        <w:rPr>
          <w:rFonts w:cs="Times New Roman"/>
          <w:szCs w:val="24"/>
        </w:rPr>
        <w:t>, 24</w:t>
      </w:r>
      <w:r w:rsidR="00820DC0">
        <w:rPr>
          <w:rFonts w:cs="Times New Roman"/>
          <w:szCs w:val="24"/>
        </w:rPr>
        <w:fldChar w:fldCharType="begin"/>
      </w:r>
      <w:r w:rsidR="009969AC">
        <w:instrText xml:space="preserve"> TA \s "Article 24" </w:instrText>
      </w:r>
      <w:r w:rsidR="00820DC0">
        <w:rPr>
          <w:rFonts w:cs="Times New Roman"/>
          <w:szCs w:val="24"/>
        </w:rPr>
        <w:fldChar w:fldCharType="end"/>
      </w:r>
      <w:r w:rsidRPr="0091573B">
        <w:rPr>
          <w:rFonts w:cs="Times New Roman"/>
          <w:szCs w:val="24"/>
        </w:rPr>
        <w:t xml:space="preserve"> and 25</w:t>
      </w:r>
      <w:r w:rsidR="00820DC0">
        <w:rPr>
          <w:rFonts w:cs="Times New Roman"/>
          <w:szCs w:val="24"/>
        </w:rPr>
        <w:fldChar w:fldCharType="begin"/>
      </w:r>
      <w:r w:rsidR="009969AC">
        <w:instrText xml:space="preserve"> TA \l "Article </w:instrText>
      </w:r>
      <w:r w:rsidR="009969AC" w:rsidRPr="00B50E9E">
        <w:rPr>
          <w:rFonts w:cs="Times New Roman"/>
          <w:szCs w:val="24"/>
        </w:rPr>
        <w:instrText>25</w:instrText>
      </w:r>
      <w:r w:rsidR="009969AC">
        <w:instrText xml:space="preserve">" \s "25" \c 5 </w:instrText>
      </w:r>
      <w:r w:rsidR="00820DC0">
        <w:rPr>
          <w:rFonts w:cs="Times New Roman"/>
          <w:szCs w:val="24"/>
        </w:rPr>
        <w:fldChar w:fldCharType="end"/>
      </w:r>
      <w:r w:rsidRPr="0091573B">
        <w:rPr>
          <w:rFonts w:cs="Times New Roman"/>
          <w:szCs w:val="24"/>
        </w:rPr>
        <w:t xml:space="preserve"> of the American Convention on Human Rights</w:t>
      </w:r>
      <w:r w:rsidR="00925C10" w:rsidRPr="0091573B">
        <w:rPr>
          <w:rFonts w:cs="Times New Roman"/>
          <w:szCs w:val="24"/>
        </w:rPr>
        <w:t>,</w:t>
      </w:r>
      <w:r w:rsidRPr="0091573B">
        <w:rPr>
          <w:rFonts w:cs="Times New Roman"/>
          <w:szCs w:val="24"/>
        </w:rPr>
        <w:t xml:space="preserve"> and Article VI and Article XVIII of the American Declaration, and order</w:t>
      </w:r>
      <w:r w:rsidR="00925C10" w:rsidRPr="0091573B">
        <w:rPr>
          <w:rFonts w:cs="Times New Roman"/>
          <w:szCs w:val="24"/>
        </w:rPr>
        <w:t xml:space="preserve"> Elizabetia</w:t>
      </w:r>
      <w:r w:rsidR="001F09C4" w:rsidRPr="0091573B">
        <w:rPr>
          <w:rFonts w:cs="Times New Roman"/>
          <w:szCs w:val="24"/>
        </w:rPr>
        <w:t xml:space="preserve"> to</w:t>
      </w:r>
      <w:r w:rsidRPr="0091573B">
        <w:rPr>
          <w:rFonts w:cs="Times New Roman"/>
          <w:szCs w:val="24"/>
        </w:rPr>
        <w:t>:</w:t>
      </w:r>
    </w:p>
    <w:p w:rsidR="004249A8" w:rsidRPr="003C109F" w:rsidRDefault="004249A8" w:rsidP="003C109F">
      <w:pPr>
        <w:numPr>
          <w:ilvl w:val="1"/>
          <w:numId w:val="1"/>
        </w:numPr>
        <w:spacing w:line="480" w:lineRule="auto"/>
        <w:contextualSpacing/>
        <w:jc w:val="both"/>
        <w:rPr>
          <w:rFonts w:cs="Times New Roman"/>
          <w:szCs w:val="24"/>
        </w:rPr>
      </w:pPr>
      <w:r w:rsidRPr="004249A8">
        <w:rPr>
          <w:rFonts w:cs="Times New Roman"/>
          <w:szCs w:val="24"/>
        </w:rPr>
        <w:t>Amend Article 396</w:t>
      </w:r>
      <w:r w:rsidR="00925C10">
        <w:rPr>
          <w:rFonts w:cs="Times New Roman"/>
          <w:szCs w:val="24"/>
        </w:rPr>
        <w:t xml:space="preserve"> of its State Civil Code</w:t>
      </w:r>
      <w:r w:rsidRPr="004249A8">
        <w:rPr>
          <w:rFonts w:cs="Times New Roman"/>
          <w:szCs w:val="24"/>
        </w:rPr>
        <w:t xml:space="preserve"> to allow </w:t>
      </w:r>
      <w:r w:rsidR="00925C10">
        <w:rPr>
          <w:rFonts w:cs="Times New Roman"/>
          <w:szCs w:val="24"/>
        </w:rPr>
        <w:t xml:space="preserve">for </w:t>
      </w:r>
      <w:r w:rsidRPr="004249A8">
        <w:rPr>
          <w:rFonts w:cs="Times New Roman"/>
          <w:szCs w:val="24"/>
        </w:rPr>
        <w:t>same-sex couples to get married</w:t>
      </w:r>
      <w:r w:rsidR="001F09C4">
        <w:rPr>
          <w:rFonts w:cs="Times New Roman"/>
          <w:szCs w:val="24"/>
        </w:rPr>
        <w:t>,</w:t>
      </w:r>
      <w:r w:rsidR="00925C10">
        <w:rPr>
          <w:rFonts w:cs="Times New Roman"/>
          <w:szCs w:val="24"/>
        </w:rPr>
        <w:t xml:space="preserve"> </w:t>
      </w:r>
      <w:r w:rsidR="003C109F">
        <w:rPr>
          <w:rFonts w:cs="Times New Roman"/>
          <w:szCs w:val="24"/>
        </w:rPr>
        <w:t>and a</w:t>
      </w:r>
      <w:r w:rsidRPr="003C109F">
        <w:rPr>
          <w:rFonts w:cs="Times New Roman"/>
          <w:szCs w:val="24"/>
        </w:rPr>
        <w:t xml:space="preserve">mend Article 85 of the Constitution to allow for </w:t>
      </w:r>
      <w:r w:rsidR="00925C10" w:rsidRPr="003C109F">
        <w:rPr>
          <w:rFonts w:cs="Times New Roman"/>
          <w:szCs w:val="24"/>
        </w:rPr>
        <w:t xml:space="preserve">cohabiting </w:t>
      </w:r>
      <w:r w:rsidRPr="003C109F">
        <w:rPr>
          <w:rFonts w:cs="Times New Roman"/>
          <w:szCs w:val="24"/>
        </w:rPr>
        <w:t xml:space="preserve">same-sex </w:t>
      </w:r>
      <w:r w:rsidR="00925C10" w:rsidRPr="003C109F">
        <w:rPr>
          <w:rFonts w:cs="Times New Roman"/>
          <w:szCs w:val="24"/>
        </w:rPr>
        <w:t>couples</w:t>
      </w:r>
      <w:r w:rsidR="00FD1573">
        <w:rPr>
          <w:rFonts w:cs="Times New Roman"/>
          <w:szCs w:val="24"/>
        </w:rPr>
        <w:t xml:space="preserve"> to be deemed as family </w:t>
      </w:r>
    </w:p>
    <w:p w:rsidR="00FD1573" w:rsidRDefault="004249A8" w:rsidP="008571A4">
      <w:pPr>
        <w:numPr>
          <w:ilvl w:val="1"/>
          <w:numId w:val="1"/>
        </w:numPr>
        <w:spacing w:line="480" w:lineRule="auto"/>
        <w:contextualSpacing/>
        <w:jc w:val="both"/>
        <w:rPr>
          <w:rFonts w:cs="Times New Roman"/>
          <w:szCs w:val="24"/>
        </w:rPr>
      </w:pPr>
      <w:r w:rsidRPr="00FD1573">
        <w:rPr>
          <w:rFonts w:cs="Times New Roman"/>
          <w:szCs w:val="24"/>
        </w:rPr>
        <w:t xml:space="preserve">Amend Article 406 to allow for same-sex couples in domestic partnerships to adopt jointly </w:t>
      </w:r>
      <w:r w:rsidR="00FD1573">
        <w:rPr>
          <w:rFonts w:cs="Times New Roman"/>
          <w:szCs w:val="24"/>
        </w:rPr>
        <w:t xml:space="preserve"> </w:t>
      </w:r>
    </w:p>
    <w:p w:rsidR="004249A8" w:rsidRPr="00FD1573" w:rsidRDefault="004249A8" w:rsidP="008571A4">
      <w:pPr>
        <w:numPr>
          <w:ilvl w:val="1"/>
          <w:numId w:val="1"/>
        </w:numPr>
        <w:spacing w:line="480" w:lineRule="auto"/>
        <w:contextualSpacing/>
        <w:jc w:val="both"/>
        <w:rPr>
          <w:rFonts w:cs="Times New Roman"/>
          <w:szCs w:val="24"/>
        </w:rPr>
      </w:pPr>
      <w:r w:rsidRPr="00FD1573">
        <w:rPr>
          <w:rFonts w:cs="Times New Roman"/>
          <w:szCs w:val="24"/>
        </w:rPr>
        <w:t>Public</w:t>
      </w:r>
      <w:r w:rsidR="001F09C4" w:rsidRPr="00FD1573">
        <w:rPr>
          <w:rFonts w:cs="Times New Roman"/>
          <w:szCs w:val="24"/>
        </w:rPr>
        <w:t>ly acknowledge</w:t>
      </w:r>
      <w:r w:rsidR="00A5383D" w:rsidRPr="00FD1573">
        <w:rPr>
          <w:rFonts w:cs="Times New Roman"/>
          <w:szCs w:val="24"/>
        </w:rPr>
        <w:t xml:space="preserve"> </w:t>
      </w:r>
      <w:r w:rsidRPr="00FD1573">
        <w:rPr>
          <w:rFonts w:cs="Times New Roman"/>
          <w:szCs w:val="24"/>
        </w:rPr>
        <w:t>responsibility</w:t>
      </w:r>
      <w:r w:rsidR="001F09C4" w:rsidRPr="00FD1573">
        <w:rPr>
          <w:rFonts w:cs="Times New Roman"/>
          <w:szCs w:val="24"/>
        </w:rPr>
        <w:t xml:space="preserve"> for the above-mentioned violations</w:t>
      </w:r>
      <w:r w:rsidRPr="00FD1573">
        <w:rPr>
          <w:rFonts w:cs="Times New Roman"/>
          <w:szCs w:val="24"/>
        </w:rPr>
        <w:t xml:space="preserve"> and </w:t>
      </w:r>
      <w:r w:rsidR="00FD1573">
        <w:rPr>
          <w:rFonts w:cs="Times New Roman"/>
          <w:szCs w:val="24"/>
        </w:rPr>
        <w:t>issue guarantees of</w:t>
      </w:r>
      <w:r w:rsidR="001F09C4" w:rsidRPr="00FD1573">
        <w:rPr>
          <w:rFonts w:cs="Times New Roman"/>
          <w:szCs w:val="24"/>
        </w:rPr>
        <w:t xml:space="preserve"> </w:t>
      </w:r>
      <w:r w:rsidRPr="00FD1573">
        <w:rPr>
          <w:rFonts w:cs="Times New Roman"/>
          <w:szCs w:val="24"/>
        </w:rPr>
        <w:t>non-repetition</w:t>
      </w:r>
      <w:r w:rsidR="001F09C4" w:rsidRPr="00FD1573">
        <w:rPr>
          <w:rFonts w:cs="Times New Roman"/>
          <w:szCs w:val="24"/>
        </w:rPr>
        <w:t xml:space="preserve"> </w:t>
      </w:r>
    </w:p>
    <w:p w:rsidR="004249A8" w:rsidRPr="004249A8" w:rsidRDefault="001F09C4" w:rsidP="008571A4">
      <w:pPr>
        <w:numPr>
          <w:ilvl w:val="1"/>
          <w:numId w:val="1"/>
        </w:numPr>
        <w:spacing w:line="480" w:lineRule="auto"/>
        <w:contextualSpacing/>
        <w:jc w:val="both"/>
        <w:rPr>
          <w:rFonts w:cs="Times New Roman"/>
          <w:szCs w:val="24"/>
        </w:rPr>
      </w:pPr>
      <w:r>
        <w:rPr>
          <w:rFonts w:cs="Times New Roman"/>
          <w:szCs w:val="24"/>
        </w:rPr>
        <w:t xml:space="preserve">Pay </w:t>
      </w:r>
      <w:r w:rsidR="004249A8" w:rsidRPr="004249A8">
        <w:rPr>
          <w:rFonts w:cs="Times New Roman"/>
          <w:szCs w:val="24"/>
        </w:rPr>
        <w:t xml:space="preserve">the </w:t>
      </w:r>
      <w:r>
        <w:rPr>
          <w:rFonts w:cs="Times New Roman"/>
          <w:szCs w:val="24"/>
        </w:rPr>
        <w:t xml:space="preserve">petitioner’s costs incurred in this </w:t>
      </w:r>
      <w:r w:rsidR="00F30713">
        <w:rPr>
          <w:rFonts w:cs="Times New Roman"/>
          <w:szCs w:val="24"/>
        </w:rPr>
        <w:t>litigation</w:t>
      </w:r>
    </w:p>
    <w:p w:rsidR="004249A8" w:rsidRPr="004249A8" w:rsidRDefault="004249A8" w:rsidP="008571A4">
      <w:pPr>
        <w:numPr>
          <w:ilvl w:val="1"/>
          <w:numId w:val="1"/>
        </w:numPr>
        <w:spacing w:line="480" w:lineRule="auto"/>
        <w:contextualSpacing/>
        <w:jc w:val="both"/>
        <w:rPr>
          <w:rFonts w:cs="Times New Roman"/>
          <w:szCs w:val="24"/>
        </w:rPr>
      </w:pPr>
      <w:r w:rsidRPr="004249A8">
        <w:rPr>
          <w:rFonts w:cs="Times New Roman"/>
          <w:szCs w:val="24"/>
        </w:rPr>
        <w:t xml:space="preserve">Adopt systematic measures to address the structural implications of the historical discrimination experienced by LGBTI persons in Elizabetia </w:t>
      </w:r>
    </w:p>
    <w:sectPr w:rsidR="004249A8" w:rsidRPr="004249A8" w:rsidSect="00D52501">
      <w:headerReference w:type="default" r:id="rId8"/>
      <w:footerReference w:type="default" r:id="rId9"/>
      <w:headerReference w:type="first" r:id="rId10"/>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B2" w:rsidRDefault="00DB5AB2" w:rsidP="002D0DC2">
      <w:r>
        <w:separator/>
      </w:r>
    </w:p>
  </w:endnote>
  <w:endnote w:type="continuationSeparator" w:id="0">
    <w:p w:rsidR="00DB5AB2" w:rsidRDefault="00DB5AB2" w:rsidP="002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60348"/>
      <w:docPartObj>
        <w:docPartGallery w:val="Page Numbers (Bottom of Page)"/>
        <w:docPartUnique/>
      </w:docPartObj>
    </w:sdtPr>
    <w:sdtEndPr>
      <w:rPr>
        <w:noProof/>
      </w:rPr>
    </w:sdtEndPr>
    <w:sdtContent>
      <w:p w:rsidR="00156D87" w:rsidRDefault="00820DC0">
        <w:pPr>
          <w:pStyle w:val="Footer"/>
          <w:jc w:val="center"/>
        </w:pPr>
        <w:r>
          <w:fldChar w:fldCharType="begin"/>
        </w:r>
        <w:r w:rsidR="00156D87">
          <w:instrText xml:space="preserve"> PAGE   \* MERGEFORMAT </w:instrText>
        </w:r>
        <w:r>
          <w:fldChar w:fldCharType="separate"/>
        </w:r>
        <w:r w:rsidR="00B72F85">
          <w:rPr>
            <w:noProof/>
          </w:rPr>
          <w:t>19</w:t>
        </w:r>
        <w:r>
          <w:rPr>
            <w:noProof/>
          </w:rPr>
          <w:fldChar w:fldCharType="end"/>
        </w:r>
      </w:p>
    </w:sdtContent>
  </w:sdt>
  <w:p w:rsidR="00156D87" w:rsidRDefault="00156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B2" w:rsidRDefault="00DB5AB2" w:rsidP="002D0DC2">
      <w:r>
        <w:separator/>
      </w:r>
    </w:p>
  </w:footnote>
  <w:footnote w:type="continuationSeparator" w:id="0">
    <w:p w:rsidR="00DB5AB2" w:rsidRDefault="00DB5AB2" w:rsidP="002D0DC2">
      <w:r>
        <w:continuationSeparator/>
      </w:r>
    </w:p>
  </w:footnote>
  <w:footnote w:id="1">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paras 23, 24 and 6(c) </w:t>
      </w:r>
    </w:p>
  </w:footnote>
  <w:footnote w:id="2">
    <w:p w:rsidR="00156D87" w:rsidRPr="00184919" w:rsidRDefault="00156D87" w:rsidP="00754B17">
      <w:pPr>
        <w:pStyle w:val="FootnoteText"/>
        <w:jc w:val="both"/>
        <w:rPr>
          <w:rFonts w:cs="Times New Roman"/>
        </w:rPr>
      </w:pPr>
      <w:r w:rsidRPr="00184919">
        <w:rPr>
          <w:rStyle w:val="FootnoteReference"/>
          <w:rFonts w:cs="Times New Roman"/>
        </w:rPr>
        <w:footnoteRef/>
      </w:r>
      <w:r>
        <w:rPr>
          <w:rFonts w:cs="Times New Roman"/>
        </w:rPr>
        <w:t xml:space="preserve"> Hypothetical, paras 3, 4 and </w:t>
      </w:r>
      <w:r w:rsidRPr="00184919">
        <w:rPr>
          <w:rFonts w:cs="Times New Roman"/>
        </w:rPr>
        <w:t>2</w:t>
      </w:r>
    </w:p>
  </w:footnote>
  <w:footnote w:id="3">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 6(c)</w:t>
      </w:r>
    </w:p>
  </w:footnote>
  <w:footnote w:id="4">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 8</w:t>
      </w:r>
    </w:p>
  </w:footnote>
  <w:footnote w:id="5">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w:t>
      </w:r>
      <w:r>
        <w:rPr>
          <w:rFonts w:cs="Times New Roman"/>
        </w:rPr>
        <w:t>s 8 and</w:t>
      </w:r>
      <w:r w:rsidRPr="00184919">
        <w:rPr>
          <w:rFonts w:cs="Times New Roman"/>
        </w:rPr>
        <w:t xml:space="preserve"> 9</w:t>
      </w:r>
    </w:p>
  </w:footnote>
  <w:footnote w:id="6">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 10</w:t>
      </w:r>
    </w:p>
  </w:footnote>
  <w:footnote w:id="7">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w:t>
      </w:r>
      <w:r w:rsidRPr="00184919">
        <w:rPr>
          <w:rFonts w:cs="Times New Roman"/>
          <w:i/>
        </w:rPr>
        <w:t>Ibid</w:t>
      </w:r>
    </w:p>
  </w:footnote>
  <w:footnote w:id="8">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 11</w:t>
      </w:r>
    </w:p>
  </w:footnote>
  <w:footnote w:id="9">
    <w:p w:rsidR="00156D87" w:rsidRPr="00184919"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 23</w:t>
      </w:r>
    </w:p>
  </w:footnote>
  <w:footnote w:id="10">
    <w:p w:rsidR="00156D87" w:rsidRPr="00BF5A3F" w:rsidRDefault="00156D87" w:rsidP="00754B17">
      <w:pPr>
        <w:pStyle w:val="FootnoteText"/>
        <w:jc w:val="both"/>
        <w:rPr>
          <w:rFonts w:cs="Times New Roman"/>
        </w:rPr>
      </w:pPr>
      <w:r w:rsidRPr="00184919">
        <w:rPr>
          <w:rStyle w:val="FootnoteReference"/>
          <w:rFonts w:cs="Times New Roman"/>
        </w:rPr>
        <w:footnoteRef/>
      </w:r>
      <w:r w:rsidRPr="00184919">
        <w:rPr>
          <w:rFonts w:cs="Times New Roman"/>
        </w:rPr>
        <w:t xml:space="preserve"> Hypothetical, para 20</w:t>
      </w:r>
    </w:p>
  </w:footnote>
  <w:footnote w:id="11">
    <w:p w:rsidR="00156D87" w:rsidRPr="00BF5A3F" w:rsidRDefault="00156D87" w:rsidP="00754B17">
      <w:pPr>
        <w:pStyle w:val="FootnoteText"/>
        <w:jc w:val="both"/>
        <w:rPr>
          <w:rFonts w:cs="Times New Roman"/>
        </w:rPr>
      </w:pPr>
      <w:r w:rsidRPr="00BF5A3F">
        <w:rPr>
          <w:rStyle w:val="FootnoteReference"/>
          <w:rFonts w:cs="Times New Roman"/>
        </w:rPr>
        <w:footnoteRef/>
      </w:r>
      <w:r w:rsidRPr="00BF5A3F">
        <w:rPr>
          <w:rFonts w:cs="Times New Roman"/>
        </w:rPr>
        <w:t xml:space="preserve"> Hypothetical, para 23</w:t>
      </w:r>
    </w:p>
  </w:footnote>
  <w:footnote w:id="12">
    <w:p w:rsidR="00156D87" w:rsidRPr="00E2410D" w:rsidRDefault="00156D87" w:rsidP="00754B17">
      <w:pPr>
        <w:pStyle w:val="FootnoteText"/>
        <w:jc w:val="both"/>
        <w:rPr>
          <w:rFonts w:cs="Times New Roman"/>
        </w:rPr>
      </w:pPr>
      <w:r w:rsidRPr="00E2410D">
        <w:rPr>
          <w:rStyle w:val="FootnoteReference"/>
          <w:rFonts w:cs="Times New Roman"/>
        </w:rPr>
        <w:footnoteRef/>
      </w:r>
      <w:r w:rsidRPr="00E2410D">
        <w:rPr>
          <w:rFonts w:cs="Times New Roman"/>
        </w:rPr>
        <w:t xml:space="preserve"> Hypothetical, para 24</w:t>
      </w:r>
    </w:p>
  </w:footnote>
  <w:footnote w:id="13">
    <w:p w:rsidR="00156D87" w:rsidRPr="00E2410D" w:rsidRDefault="00156D87" w:rsidP="00754B17">
      <w:pPr>
        <w:pStyle w:val="FootnoteText"/>
        <w:jc w:val="both"/>
        <w:rPr>
          <w:rFonts w:cs="Times New Roman"/>
        </w:rPr>
      </w:pPr>
      <w:r w:rsidRPr="00E2410D">
        <w:rPr>
          <w:rStyle w:val="FootnoteReference"/>
          <w:rFonts w:cs="Times New Roman"/>
        </w:rPr>
        <w:footnoteRef/>
      </w:r>
      <w:r w:rsidRPr="00E2410D">
        <w:rPr>
          <w:rFonts w:cs="Times New Roman"/>
        </w:rPr>
        <w:t xml:space="preserve"> Hypothetical, para 25</w:t>
      </w:r>
      <w:r>
        <w:rPr>
          <w:rFonts w:cs="Times New Roman"/>
        </w:rPr>
        <w:t xml:space="preserve"> and 26</w:t>
      </w:r>
    </w:p>
  </w:footnote>
  <w:footnote w:id="14">
    <w:p w:rsidR="00156D87" w:rsidRPr="00E2410D" w:rsidRDefault="00156D87" w:rsidP="00754B17">
      <w:pPr>
        <w:pStyle w:val="FootnoteText"/>
        <w:jc w:val="both"/>
        <w:rPr>
          <w:rFonts w:cs="Times New Roman"/>
        </w:rPr>
      </w:pPr>
      <w:r w:rsidRPr="00E2410D">
        <w:rPr>
          <w:rStyle w:val="FootnoteReference"/>
          <w:rFonts w:cs="Times New Roman"/>
        </w:rPr>
        <w:footnoteRef/>
      </w:r>
      <w:r w:rsidRPr="00E2410D">
        <w:rPr>
          <w:rFonts w:cs="Times New Roman"/>
        </w:rPr>
        <w:t xml:space="preserve"> Hypothetical, para 27</w:t>
      </w:r>
    </w:p>
  </w:footnote>
  <w:footnote w:id="15">
    <w:p w:rsidR="00156D87" w:rsidRPr="00E2410D" w:rsidRDefault="00156D87" w:rsidP="00754B17">
      <w:pPr>
        <w:pStyle w:val="FootnoteText"/>
        <w:jc w:val="both"/>
        <w:rPr>
          <w:rFonts w:cs="Times New Roman"/>
        </w:rPr>
      </w:pPr>
      <w:r w:rsidRPr="00E2410D">
        <w:rPr>
          <w:rStyle w:val="FootnoteReference"/>
          <w:rFonts w:cs="Times New Roman"/>
        </w:rPr>
        <w:footnoteRef/>
      </w:r>
      <w:r w:rsidRPr="00E2410D">
        <w:rPr>
          <w:rFonts w:cs="Times New Roman"/>
        </w:rPr>
        <w:t xml:space="preserve"> Hypothetical, para</w:t>
      </w:r>
      <w:r>
        <w:rPr>
          <w:rFonts w:cs="Times New Roman"/>
        </w:rPr>
        <w:t>s 29 and</w:t>
      </w:r>
      <w:r w:rsidRPr="00E2410D">
        <w:rPr>
          <w:rFonts w:cs="Times New Roman"/>
        </w:rPr>
        <w:t xml:space="preserve"> 30</w:t>
      </w:r>
    </w:p>
  </w:footnote>
  <w:footnote w:id="16">
    <w:p w:rsidR="00156D87" w:rsidRPr="00E2410D" w:rsidRDefault="00156D87" w:rsidP="00754B17">
      <w:pPr>
        <w:pStyle w:val="FootnoteText"/>
        <w:jc w:val="both"/>
        <w:rPr>
          <w:rFonts w:cs="Times New Roman"/>
        </w:rPr>
      </w:pPr>
      <w:r w:rsidRPr="00E2410D">
        <w:rPr>
          <w:rStyle w:val="FootnoteReference"/>
          <w:rFonts w:cs="Times New Roman"/>
        </w:rPr>
        <w:footnoteRef/>
      </w:r>
      <w:r w:rsidRPr="00E2410D">
        <w:rPr>
          <w:rFonts w:cs="Times New Roman"/>
        </w:rPr>
        <w:t xml:space="preserve"> Hypothetical, para 38</w:t>
      </w:r>
    </w:p>
  </w:footnote>
  <w:footnote w:id="17">
    <w:p w:rsidR="00156D87" w:rsidRPr="00CA68E5" w:rsidRDefault="00156D87" w:rsidP="00754B17">
      <w:pPr>
        <w:pStyle w:val="FootnoteText"/>
        <w:jc w:val="both"/>
        <w:rPr>
          <w:rFonts w:cs="Times New Roman"/>
        </w:rPr>
      </w:pPr>
      <w:r w:rsidRPr="00CA68E5">
        <w:rPr>
          <w:rStyle w:val="FootnoteReference"/>
          <w:rFonts w:cs="Times New Roman"/>
        </w:rPr>
        <w:footnoteRef/>
      </w:r>
      <w:r w:rsidRPr="00CA68E5">
        <w:rPr>
          <w:rFonts w:cs="Times New Roman"/>
        </w:rPr>
        <w:t xml:space="preserve"> Hypothetical, para 19</w:t>
      </w:r>
    </w:p>
  </w:footnote>
  <w:footnote w:id="18">
    <w:p w:rsidR="00156D87" w:rsidRPr="00CA68E5" w:rsidRDefault="00156D87" w:rsidP="00754B17">
      <w:pPr>
        <w:pStyle w:val="FootnoteText"/>
        <w:jc w:val="both"/>
        <w:rPr>
          <w:rFonts w:cs="Times New Roman"/>
        </w:rPr>
      </w:pPr>
      <w:r w:rsidRPr="00CA68E5">
        <w:rPr>
          <w:rStyle w:val="FootnoteReference"/>
          <w:rFonts w:cs="Times New Roman"/>
        </w:rPr>
        <w:footnoteRef/>
      </w:r>
      <w:r w:rsidRPr="00CA68E5">
        <w:rPr>
          <w:rFonts w:cs="Times New Roman"/>
        </w:rPr>
        <w:t xml:space="preserve"> Hypothetical, para</w:t>
      </w:r>
      <w:r>
        <w:rPr>
          <w:rFonts w:cs="Times New Roman"/>
        </w:rPr>
        <w:t>s 13 and</w:t>
      </w:r>
      <w:r w:rsidRPr="00CA68E5">
        <w:rPr>
          <w:rFonts w:cs="Times New Roman"/>
        </w:rPr>
        <w:t xml:space="preserve"> 4</w:t>
      </w:r>
    </w:p>
  </w:footnote>
  <w:footnote w:id="19">
    <w:p w:rsidR="00156D87" w:rsidRPr="00CA68E5" w:rsidRDefault="00156D87" w:rsidP="00754B17">
      <w:pPr>
        <w:pStyle w:val="FootnoteText"/>
        <w:jc w:val="both"/>
        <w:rPr>
          <w:rFonts w:cs="Times New Roman"/>
        </w:rPr>
      </w:pPr>
      <w:r w:rsidRPr="00CA68E5">
        <w:rPr>
          <w:rStyle w:val="FootnoteReference"/>
          <w:rFonts w:cs="Times New Roman"/>
        </w:rPr>
        <w:footnoteRef/>
      </w:r>
      <w:r w:rsidRPr="00CA68E5">
        <w:rPr>
          <w:rFonts w:cs="Times New Roman"/>
        </w:rPr>
        <w:t xml:space="preserve"> Hypothetical, paras 12 and 15</w:t>
      </w:r>
    </w:p>
  </w:footnote>
  <w:footnote w:id="20">
    <w:p w:rsidR="00156D87" w:rsidRPr="00CA68E5" w:rsidRDefault="00156D87" w:rsidP="00754B17">
      <w:pPr>
        <w:pStyle w:val="FootnoteText"/>
        <w:jc w:val="both"/>
        <w:rPr>
          <w:rFonts w:cs="Times New Roman"/>
        </w:rPr>
      </w:pPr>
      <w:r w:rsidRPr="00CA68E5">
        <w:rPr>
          <w:rStyle w:val="FootnoteReference"/>
          <w:rFonts w:cs="Times New Roman"/>
        </w:rPr>
        <w:footnoteRef/>
      </w:r>
      <w:r w:rsidRPr="00CA68E5">
        <w:rPr>
          <w:rFonts w:cs="Times New Roman"/>
        </w:rPr>
        <w:t xml:space="preserve"> Hypothetical, para 17</w:t>
      </w:r>
    </w:p>
  </w:footnote>
  <w:footnote w:id="21">
    <w:p w:rsidR="00156D87" w:rsidRPr="00CA68E5" w:rsidRDefault="00156D87" w:rsidP="00754B17">
      <w:pPr>
        <w:pStyle w:val="FootnoteText"/>
        <w:jc w:val="both"/>
        <w:rPr>
          <w:rFonts w:cs="Times New Roman"/>
        </w:rPr>
      </w:pPr>
      <w:r w:rsidRPr="00CA68E5">
        <w:rPr>
          <w:rStyle w:val="FootnoteReference"/>
          <w:rFonts w:cs="Times New Roman"/>
        </w:rPr>
        <w:footnoteRef/>
      </w:r>
      <w:r>
        <w:rPr>
          <w:rFonts w:cs="Times New Roman"/>
        </w:rPr>
        <w:t xml:space="preserve"> Hypothetical, paras 30 and </w:t>
      </w:r>
      <w:r w:rsidRPr="00CA68E5">
        <w:rPr>
          <w:rFonts w:cs="Times New Roman"/>
        </w:rPr>
        <w:t>41</w:t>
      </w:r>
    </w:p>
  </w:footnote>
  <w:footnote w:id="22">
    <w:p w:rsidR="00156D87" w:rsidRPr="00CA68E5" w:rsidRDefault="00156D87" w:rsidP="00754B17">
      <w:pPr>
        <w:pStyle w:val="FootnoteText"/>
        <w:jc w:val="both"/>
        <w:rPr>
          <w:rFonts w:cs="Times New Roman"/>
        </w:rPr>
      </w:pPr>
      <w:r w:rsidRPr="00CA68E5">
        <w:rPr>
          <w:rStyle w:val="FootnoteReference"/>
          <w:rFonts w:cs="Times New Roman"/>
        </w:rPr>
        <w:footnoteRef/>
      </w:r>
      <w:r w:rsidRPr="00CA68E5">
        <w:rPr>
          <w:rFonts w:cs="Times New Roman"/>
        </w:rPr>
        <w:t xml:space="preserve"> Hypothetical, para 20 and 39</w:t>
      </w:r>
    </w:p>
  </w:footnote>
  <w:footnote w:id="23">
    <w:p w:rsidR="00156D87" w:rsidRPr="00CA68E5" w:rsidRDefault="00156D87" w:rsidP="00754B17">
      <w:pPr>
        <w:pStyle w:val="FootnoteText"/>
        <w:jc w:val="both"/>
        <w:rPr>
          <w:rFonts w:cs="Times New Roman"/>
        </w:rPr>
      </w:pPr>
      <w:r w:rsidRPr="00CA68E5">
        <w:rPr>
          <w:rStyle w:val="FootnoteReference"/>
          <w:rFonts w:cs="Times New Roman"/>
        </w:rPr>
        <w:footnoteRef/>
      </w:r>
      <w:r w:rsidRPr="00CA68E5">
        <w:rPr>
          <w:rFonts w:cs="Times New Roman"/>
        </w:rPr>
        <w:t xml:space="preserve"> Hypothetical, para 39</w:t>
      </w:r>
    </w:p>
  </w:footnote>
  <w:footnote w:id="24">
    <w:p w:rsidR="00156D87" w:rsidRDefault="00156D87" w:rsidP="00754B17">
      <w:pPr>
        <w:pStyle w:val="FootnoteText"/>
        <w:jc w:val="both"/>
      </w:pPr>
      <w:r w:rsidRPr="00CA68E5">
        <w:rPr>
          <w:rStyle w:val="FootnoteReference"/>
          <w:rFonts w:cs="Times New Roman"/>
        </w:rPr>
        <w:footnoteRef/>
      </w:r>
      <w:r w:rsidRPr="00CA68E5">
        <w:rPr>
          <w:rFonts w:cs="Times New Roman"/>
        </w:rPr>
        <w:t xml:space="preserve"> Hypothetical, para 40</w:t>
      </w:r>
    </w:p>
  </w:footnote>
  <w:footnote w:id="25">
    <w:p w:rsidR="00156D87" w:rsidRPr="00147CF3" w:rsidRDefault="00156D87" w:rsidP="00754B17">
      <w:pPr>
        <w:pStyle w:val="FootnoteText"/>
        <w:jc w:val="both"/>
        <w:rPr>
          <w:rFonts w:cs="Times New Roman"/>
        </w:rPr>
      </w:pPr>
      <w:r w:rsidRPr="00147CF3">
        <w:rPr>
          <w:rStyle w:val="FootnoteReference"/>
          <w:rFonts w:cs="Times New Roman"/>
        </w:rPr>
        <w:footnoteRef/>
      </w:r>
      <w:r w:rsidRPr="00147CF3">
        <w:rPr>
          <w:rFonts w:cs="Times New Roman"/>
        </w:rPr>
        <w:t xml:space="preserve"> Hypothetical, para 42</w:t>
      </w:r>
    </w:p>
  </w:footnote>
  <w:footnote w:id="26">
    <w:p w:rsidR="00156D87" w:rsidRPr="00147CF3" w:rsidRDefault="00156D87" w:rsidP="00754B17">
      <w:pPr>
        <w:pStyle w:val="FootnoteText"/>
        <w:jc w:val="both"/>
        <w:rPr>
          <w:rFonts w:cs="Times New Roman"/>
        </w:rPr>
      </w:pPr>
      <w:r w:rsidRPr="00147CF3">
        <w:rPr>
          <w:rStyle w:val="FootnoteReference"/>
          <w:rFonts w:cs="Times New Roman"/>
        </w:rPr>
        <w:footnoteRef/>
      </w:r>
      <w:r w:rsidRPr="00147CF3">
        <w:rPr>
          <w:rFonts w:cs="Times New Roman"/>
        </w:rPr>
        <w:t xml:space="preserve"> Hypothetical, paras 46 and 47</w:t>
      </w:r>
    </w:p>
  </w:footnote>
  <w:footnote w:id="27">
    <w:p w:rsidR="00156D87" w:rsidRPr="00147CF3" w:rsidRDefault="00156D87" w:rsidP="00754B17">
      <w:pPr>
        <w:pStyle w:val="FootnoteText"/>
        <w:jc w:val="both"/>
        <w:rPr>
          <w:rFonts w:cs="Times New Roman"/>
        </w:rPr>
      </w:pPr>
      <w:r w:rsidRPr="00147CF3">
        <w:rPr>
          <w:rStyle w:val="FootnoteReference"/>
          <w:rFonts w:cs="Times New Roman"/>
        </w:rPr>
        <w:footnoteRef/>
      </w:r>
      <w:r w:rsidRPr="00147CF3">
        <w:rPr>
          <w:rFonts w:cs="Times New Roman"/>
        </w:rPr>
        <w:t xml:space="preserve"> Hypothetical, para 45</w:t>
      </w:r>
    </w:p>
  </w:footnote>
  <w:footnote w:id="28">
    <w:p w:rsidR="00156D87" w:rsidRPr="00147CF3" w:rsidRDefault="00156D87" w:rsidP="00754B17">
      <w:pPr>
        <w:pStyle w:val="FootnoteText"/>
        <w:jc w:val="both"/>
        <w:rPr>
          <w:rFonts w:cs="Times New Roman"/>
        </w:rPr>
      </w:pPr>
      <w:r w:rsidRPr="00147CF3">
        <w:rPr>
          <w:rStyle w:val="FootnoteReference"/>
          <w:rFonts w:cs="Times New Roman"/>
        </w:rPr>
        <w:footnoteRef/>
      </w:r>
      <w:r w:rsidRPr="00147CF3">
        <w:rPr>
          <w:rFonts w:cs="Times New Roman"/>
        </w:rPr>
        <w:t xml:space="preserve"> Hypothetical, para 48</w:t>
      </w:r>
    </w:p>
  </w:footnote>
  <w:footnote w:id="29">
    <w:p w:rsidR="00156D87" w:rsidRPr="00147CF3" w:rsidRDefault="00156D87" w:rsidP="00754B17">
      <w:pPr>
        <w:pStyle w:val="FootnoteText"/>
        <w:jc w:val="both"/>
        <w:rPr>
          <w:rFonts w:cs="Times New Roman"/>
        </w:rPr>
      </w:pPr>
      <w:r w:rsidRPr="00147CF3">
        <w:rPr>
          <w:rStyle w:val="FootnoteReference"/>
          <w:rFonts w:cs="Times New Roman"/>
        </w:rPr>
        <w:footnoteRef/>
      </w:r>
      <w:r w:rsidRPr="00147CF3">
        <w:rPr>
          <w:rFonts w:cs="Times New Roman"/>
        </w:rPr>
        <w:t xml:space="preserve"> </w:t>
      </w:r>
      <w:r w:rsidRPr="009605FA">
        <w:rPr>
          <w:rFonts w:cs="Times New Roman"/>
          <w:i/>
        </w:rPr>
        <w:t>Ibid</w:t>
      </w:r>
    </w:p>
  </w:footnote>
  <w:footnote w:id="30">
    <w:p w:rsidR="00156D87" w:rsidRPr="00147CF3" w:rsidRDefault="00156D87" w:rsidP="00754B17">
      <w:pPr>
        <w:pStyle w:val="FootnoteText"/>
        <w:jc w:val="both"/>
        <w:rPr>
          <w:rFonts w:cs="Times New Roman"/>
        </w:rPr>
      </w:pPr>
      <w:r w:rsidRPr="00147CF3">
        <w:rPr>
          <w:rStyle w:val="FootnoteReference"/>
          <w:rFonts w:cs="Times New Roman"/>
        </w:rPr>
        <w:footnoteRef/>
      </w:r>
      <w:r w:rsidRPr="00147CF3">
        <w:rPr>
          <w:rFonts w:cs="Times New Roman"/>
        </w:rPr>
        <w:t xml:space="preserve"> Clarification Questions and Answers, No. 28</w:t>
      </w:r>
    </w:p>
  </w:footnote>
  <w:footnote w:id="31">
    <w:p w:rsidR="00156D87" w:rsidRPr="00F01566" w:rsidRDefault="00156D87" w:rsidP="00754B17">
      <w:pPr>
        <w:pStyle w:val="FootnoteText"/>
        <w:jc w:val="both"/>
        <w:rPr>
          <w:rFonts w:cs="Times New Roman"/>
        </w:rPr>
      </w:pPr>
      <w:r w:rsidRPr="00F01566">
        <w:rPr>
          <w:rStyle w:val="FootnoteReference"/>
          <w:rFonts w:cs="Times New Roman"/>
        </w:rPr>
        <w:footnoteRef/>
      </w:r>
      <w:r w:rsidRPr="00F01566">
        <w:rPr>
          <w:rFonts w:cs="Times New Roman"/>
        </w:rPr>
        <w:t xml:space="preserve"> </w:t>
      </w:r>
      <w:r w:rsidRPr="00F01566">
        <w:rPr>
          <w:rFonts w:cs="Times New Roman"/>
          <w:i/>
        </w:rPr>
        <w:t>Ibid</w:t>
      </w:r>
    </w:p>
  </w:footnote>
  <w:footnote w:id="32">
    <w:p w:rsidR="00156D87" w:rsidRPr="00F01566" w:rsidRDefault="00156D87" w:rsidP="00754B17">
      <w:pPr>
        <w:pStyle w:val="FootnoteText"/>
        <w:jc w:val="both"/>
        <w:rPr>
          <w:rFonts w:cs="Times New Roman"/>
        </w:rPr>
      </w:pPr>
      <w:r w:rsidRPr="00F01566">
        <w:rPr>
          <w:rStyle w:val="FootnoteReference"/>
          <w:rFonts w:cs="Times New Roman"/>
        </w:rPr>
        <w:footnoteRef/>
      </w:r>
      <w:r w:rsidRPr="00F01566">
        <w:rPr>
          <w:rFonts w:cs="Times New Roman"/>
        </w:rPr>
        <w:t xml:space="preserve"> Hypothetical, para 61</w:t>
      </w:r>
    </w:p>
  </w:footnote>
  <w:footnote w:id="33">
    <w:p w:rsidR="00156D87" w:rsidRPr="00F01566" w:rsidRDefault="00156D87" w:rsidP="00754B17">
      <w:pPr>
        <w:pStyle w:val="FootnoteText"/>
        <w:jc w:val="both"/>
        <w:rPr>
          <w:rFonts w:cs="Times New Roman"/>
        </w:rPr>
      </w:pPr>
      <w:r w:rsidRPr="00F01566">
        <w:rPr>
          <w:rStyle w:val="FootnoteReference"/>
          <w:rFonts w:cs="Times New Roman"/>
        </w:rPr>
        <w:footnoteRef/>
      </w:r>
      <w:r w:rsidRPr="00F01566">
        <w:rPr>
          <w:rFonts w:cs="Times New Roman"/>
        </w:rPr>
        <w:t xml:space="preserve"> Hypothetical, para 59</w:t>
      </w:r>
    </w:p>
  </w:footnote>
  <w:footnote w:id="34">
    <w:p w:rsidR="00156D87" w:rsidRPr="00F01566" w:rsidRDefault="00156D87" w:rsidP="00754B17">
      <w:pPr>
        <w:pStyle w:val="FootnoteText"/>
        <w:jc w:val="both"/>
        <w:rPr>
          <w:rFonts w:cs="Times New Roman"/>
        </w:rPr>
      </w:pPr>
      <w:r w:rsidRPr="00F01566">
        <w:rPr>
          <w:rStyle w:val="FootnoteReference"/>
          <w:rFonts w:cs="Times New Roman"/>
        </w:rPr>
        <w:footnoteRef/>
      </w:r>
      <w:r w:rsidRPr="00F01566">
        <w:rPr>
          <w:rFonts w:cs="Times New Roman"/>
        </w:rPr>
        <w:t xml:space="preserve"> Hypothetical, para 60</w:t>
      </w:r>
    </w:p>
  </w:footnote>
  <w:footnote w:id="35">
    <w:p w:rsidR="00156D87" w:rsidRPr="00147CF3" w:rsidRDefault="00156D87" w:rsidP="00754B17">
      <w:pPr>
        <w:pStyle w:val="FootnoteText"/>
        <w:jc w:val="both"/>
        <w:rPr>
          <w:rFonts w:cs="Times New Roman"/>
        </w:rPr>
      </w:pPr>
      <w:r w:rsidRPr="00F01566">
        <w:rPr>
          <w:rStyle w:val="FootnoteReference"/>
          <w:rFonts w:cs="Times New Roman"/>
        </w:rPr>
        <w:footnoteRef/>
      </w:r>
      <w:r w:rsidRPr="00F01566">
        <w:rPr>
          <w:rFonts w:cs="Times New Roman"/>
        </w:rPr>
        <w:t xml:space="preserve"> Hypothetical, para 58</w:t>
      </w:r>
    </w:p>
  </w:footnote>
  <w:footnote w:id="36">
    <w:p w:rsidR="00156D87" w:rsidRPr="006E0DB9" w:rsidRDefault="00156D87" w:rsidP="00754B17">
      <w:pPr>
        <w:pStyle w:val="FootnoteText"/>
        <w:jc w:val="both"/>
        <w:rPr>
          <w:rFonts w:cs="Times New Roman"/>
        </w:rPr>
      </w:pPr>
      <w:r w:rsidRPr="006E0DB9">
        <w:rPr>
          <w:rStyle w:val="FootnoteReference"/>
          <w:rFonts w:cs="Times New Roman"/>
        </w:rPr>
        <w:footnoteRef/>
      </w:r>
      <w:r w:rsidRPr="006E0DB9">
        <w:rPr>
          <w:rFonts w:cs="Times New Roman"/>
        </w:rPr>
        <w:t xml:space="preserve"> </w:t>
      </w:r>
      <w:r w:rsidRPr="00E1466E">
        <w:rPr>
          <w:rFonts w:cs="Times New Roman"/>
        </w:rPr>
        <w:t>I/A Court H.R</w:t>
      </w:r>
      <w:r>
        <w:rPr>
          <w:rFonts w:cs="Times New Roman"/>
        </w:rPr>
        <w:t xml:space="preserve">, </w:t>
      </w:r>
      <w:r w:rsidRPr="00335709">
        <w:rPr>
          <w:rFonts w:cs="Times New Roman"/>
          <w:i/>
        </w:rPr>
        <w:t>Case of Velásquez-Rodríguez v. Honduras</w:t>
      </w:r>
      <w:r w:rsidRPr="00335709">
        <w:rPr>
          <w:rFonts w:cs="Times New Roman"/>
        </w:rPr>
        <w:t>. Merits. Judgment of July 29, 1988. Series C No. 4</w:t>
      </w:r>
      <w:r>
        <w:rPr>
          <w:rFonts w:cs="Times New Roman"/>
        </w:rPr>
        <w:t>,</w:t>
      </w:r>
      <w:r w:rsidR="00820DC0">
        <w:rPr>
          <w:rFonts w:cs="Times New Roman"/>
        </w:rPr>
        <w:fldChar w:fldCharType="begin"/>
      </w:r>
      <w:r>
        <w:instrText xml:space="preserve"> TA \l "</w:instrText>
      </w:r>
      <w:r w:rsidRPr="0038526E">
        <w:rPr>
          <w:rFonts w:cs="Times New Roman"/>
        </w:rPr>
        <w:instrText xml:space="preserve">I/A Court H.R, </w:instrText>
      </w:r>
      <w:r w:rsidRPr="0038526E">
        <w:rPr>
          <w:rFonts w:cs="Times New Roman"/>
          <w:i/>
        </w:rPr>
        <w:instrText>Case of Velásquez-Rodríguez v. Honduras</w:instrText>
      </w:r>
      <w:r w:rsidRPr="0038526E">
        <w:rPr>
          <w:rFonts w:cs="Times New Roman"/>
        </w:rPr>
        <w:instrText>. Merits. Judgment of July 29, 1988. Series C No. 4,</w:instrText>
      </w:r>
      <w:r>
        <w:instrText xml:space="preserve">" \s "I/A Court H.R, Case of Velásquez-Rodríguez v. Honduras. Merits. Judgment of July 29, 1988. Series C No. 4," \c 1 </w:instrText>
      </w:r>
      <w:r w:rsidR="00820DC0">
        <w:rPr>
          <w:rFonts w:cs="Times New Roman"/>
        </w:rPr>
        <w:fldChar w:fldCharType="end"/>
      </w:r>
      <w:r w:rsidRPr="006E0DB9">
        <w:rPr>
          <w:rFonts w:cs="Times New Roman"/>
        </w:rPr>
        <w:t xml:space="preserve"> para 163; </w:t>
      </w:r>
      <w:r w:rsidRPr="00E1466E">
        <w:rPr>
          <w:rFonts w:cs="Times New Roman"/>
        </w:rPr>
        <w:t>I/A Court H.R</w:t>
      </w:r>
      <w:r>
        <w:rPr>
          <w:rFonts w:cs="Times New Roman"/>
        </w:rPr>
        <w:t xml:space="preserve">, </w:t>
      </w:r>
      <w:r w:rsidRPr="004D58AF">
        <w:rPr>
          <w:rFonts w:cs="Times New Roman"/>
          <w:i/>
        </w:rPr>
        <w:t xml:space="preserve">Case of Mejía-Idrovo v. Ecuador. </w:t>
      </w:r>
      <w:r w:rsidRPr="004D58AF">
        <w:rPr>
          <w:rFonts w:cs="Times New Roman"/>
        </w:rPr>
        <w:t>Preliminary Objections, Merits, Reparations, and Costs. Judgment of July 5, 2011. Series C No. 228,</w:t>
      </w:r>
      <w:r w:rsidR="00820DC0">
        <w:rPr>
          <w:rFonts w:cs="Times New Roman"/>
        </w:rPr>
        <w:fldChar w:fldCharType="begin"/>
      </w:r>
      <w:r>
        <w:instrText xml:space="preserve"> TA \l "</w:instrText>
      </w:r>
      <w:r w:rsidRPr="00174202">
        <w:rPr>
          <w:rFonts w:cs="Times New Roman"/>
        </w:rPr>
        <w:instrText xml:space="preserve">I/A Court H.R, </w:instrText>
      </w:r>
      <w:r w:rsidRPr="00174202">
        <w:rPr>
          <w:rFonts w:cs="Times New Roman"/>
          <w:i/>
        </w:rPr>
        <w:instrText xml:space="preserve">Case of Mejía-Idrovo v. Ecuador. </w:instrText>
      </w:r>
      <w:r w:rsidRPr="00174202">
        <w:rPr>
          <w:rFonts w:cs="Times New Roman"/>
        </w:rPr>
        <w:instrText>Preliminary Objections, Merits, Reparations, and Costs. Judgment of July 5, 2011. Series C No. 228,</w:instrText>
      </w:r>
      <w:r>
        <w:instrText xml:space="preserve">" \s "I/A Court H.R, Case of Mejía-Idrovo v. Ecuador. Preliminary Objections, Merits, Reparations, and Costs. Judgment of July 5, 2011. Series C No. 228," \c 1 </w:instrText>
      </w:r>
      <w:r w:rsidR="00820DC0">
        <w:rPr>
          <w:rFonts w:cs="Times New Roman"/>
        </w:rPr>
        <w:fldChar w:fldCharType="end"/>
      </w:r>
      <w:r>
        <w:rPr>
          <w:rFonts w:cs="Times New Roman"/>
        </w:rPr>
        <w:t xml:space="preserve"> para 21; </w:t>
      </w:r>
      <w:r w:rsidRPr="00335709">
        <w:rPr>
          <w:rFonts w:cs="Times New Roman"/>
          <w:i/>
        </w:rPr>
        <w:t xml:space="preserve">Lotus: France v Turkey, </w:t>
      </w:r>
      <w:r w:rsidRPr="00335709">
        <w:rPr>
          <w:rFonts w:cs="Times New Roman"/>
        </w:rPr>
        <w:t>Judgment, PCIJ Series A no 10 07 September 1927,</w:t>
      </w:r>
      <w:r w:rsidR="00820DC0">
        <w:rPr>
          <w:rFonts w:cs="Times New Roman"/>
        </w:rPr>
        <w:fldChar w:fldCharType="begin"/>
      </w:r>
      <w:r>
        <w:instrText xml:space="preserve"> TA \l "</w:instrText>
      </w:r>
      <w:r w:rsidRPr="00573088">
        <w:rPr>
          <w:rFonts w:cs="Times New Roman"/>
          <w:i/>
        </w:rPr>
        <w:instrText xml:space="preserve">Lotus: France v Turkey, </w:instrText>
      </w:r>
      <w:r w:rsidRPr="00573088">
        <w:rPr>
          <w:rFonts w:cs="Times New Roman"/>
        </w:rPr>
        <w:instrText>Judgment, PCIJ Series A no 10 07 September 1927,</w:instrText>
      </w:r>
      <w:r>
        <w:instrText xml:space="preserve">" \s "Lotus: France v Turkey, Judgment, PCIJ Series A no 10 07 September 1927," \c 1 </w:instrText>
      </w:r>
      <w:r w:rsidR="00820DC0">
        <w:rPr>
          <w:rFonts w:cs="Times New Roman"/>
        </w:rPr>
        <w:fldChar w:fldCharType="end"/>
      </w:r>
      <w:r>
        <w:rPr>
          <w:rFonts w:cs="Times New Roman"/>
          <w:i/>
        </w:rPr>
        <w:t xml:space="preserve"> </w:t>
      </w:r>
      <w:r w:rsidRPr="006E0DB9">
        <w:rPr>
          <w:rFonts w:cs="Times New Roman"/>
        </w:rPr>
        <w:t xml:space="preserve">p. 31; </w:t>
      </w:r>
      <w:r>
        <w:rPr>
          <w:rFonts w:cs="Times New Roman"/>
        </w:rPr>
        <w:t xml:space="preserve">ECtHR, </w:t>
      </w:r>
      <w:r w:rsidRPr="00BF266E">
        <w:rPr>
          <w:rFonts w:cs="Times New Roman"/>
          <w:i/>
        </w:rPr>
        <w:t>Handyside v the UK</w:t>
      </w:r>
      <w:r>
        <w:rPr>
          <w:rFonts w:cs="Times New Roman"/>
        </w:rPr>
        <w:t xml:space="preserve">, Application No. </w:t>
      </w:r>
      <w:r w:rsidRPr="00B8070A">
        <w:rPr>
          <w:rFonts w:cs="Times New Roman"/>
        </w:rPr>
        <w:t>5493/72</w:t>
      </w:r>
      <w:r>
        <w:rPr>
          <w:rFonts w:cs="Times New Roman"/>
        </w:rPr>
        <w:t>,November 4, 1976</w:t>
      </w:r>
      <w:r w:rsidR="00820DC0">
        <w:rPr>
          <w:rFonts w:cs="Times New Roman"/>
        </w:rPr>
        <w:fldChar w:fldCharType="begin"/>
      </w:r>
      <w:r>
        <w:instrText xml:space="preserve"> TA \l "ECtHR, Handyside v the UK, (Application No. 5493/72),November 4, 1976" \c 1 </w:instrText>
      </w:r>
      <w:r w:rsidR="00820DC0">
        <w:rPr>
          <w:rFonts w:cs="Times New Roman"/>
        </w:rPr>
        <w:fldChar w:fldCharType="end"/>
      </w:r>
      <w:r>
        <w:rPr>
          <w:rFonts w:cs="Times New Roman"/>
        </w:rPr>
        <w:t xml:space="preserve">, </w:t>
      </w:r>
      <w:r w:rsidRPr="006E0DB9">
        <w:rPr>
          <w:rFonts w:cs="Times New Roman"/>
        </w:rPr>
        <w:t>para 41</w:t>
      </w:r>
    </w:p>
  </w:footnote>
  <w:footnote w:id="37">
    <w:p w:rsidR="00156D87" w:rsidRPr="00A35BED" w:rsidRDefault="00156D87" w:rsidP="00754B17">
      <w:pPr>
        <w:pStyle w:val="FootnoteText"/>
        <w:jc w:val="both"/>
        <w:rPr>
          <w:lang w:val="es-CO"/>
        </w:rPr>
      </w:pPr>
      <w:r w:rsidRPr="006E0DB9">
        <w:rPr>
          <w:rStyle w:val="FootnoteReference"/>
          <w:rFonts w:cs="Times New Roman"/>
        </w:rPr>
        <w:footnoteRef/>
      </w:r>
      <w:r w:rsidRPr="006E0DB9">
        <w:rPr>
          <w:rFonts w:cs="Times New Roman"/>
        </w:rPr>
        <w:t xml:space="preserve"> </w:t>
      </w:r>
      <w:r w:rsidRPr="00E1466E">
        <w:rPr>
          <w:rFonts w:cs="Times New Roman"/>
        </w:rPr>
        <w:t>I/A Court H.R</w:t>
      </w:r>
      <w:r>
        <w:rPr>
          <w:rFonts w:cs="Times New Roman"/>
        </w:rPr>
        <w:t>,</w:t>
      </w:r>
      <w:r w:rsidRPr="00E1466E">
        <w:rPr>
          <w:rFonts w:cs="Times New Roman"/>
        </w:rPr>
        <w:t xml:space="preserve"> </w:t>
      </w:r>
      <w:r w:rsidRPr="004D58AF">
        <w:rPr>
          <w:rFonts w:cs="Times New Roman"/>
          <w:i/>
        </w:rPr>
        <w:t xml:space="preserve">Case of Hilaire, Constantine and Benjamin et al. v. Trinidad and Tobago. </w:t>
      </w:r>
      <w:r w:rsidRPr="004D58AF">
        <w:rPr>
          <w:rFonts w:cs="Times New Roman"/>
        </w:rPr>
        <w:t>Merits, Reparations and Costs. Judgment of June 21, 2002. Series C No. 94</w:t>
      </w:r>
      <w:r w:rsidR="00820DC0">
        <w:rPr>
          <w:rFonts w:cs="Times New Roman"/>
        </w:rPr>
        <w:fldChar w:fldCharType="begin"/>
      </w:r>
      <w:r>
        <w:instrText xml:space="preserve"> TA \l "</w:instrText>
      </w:r>
      <w:r w:rsidRPr="00145F61">
        <w:rPr>
          <w:rFonts w:cs="Times New Roman"/>
        </w:rPr>
        <w:instrText xml:space="preserve">I/A Court H.R, </w:instrText>
      </w:r>
      <w:r w:rsidRPr="00145F61">
        <w:rPr>
          <w:rFonts w:cs="Times New Roman"/>
          <w:i/>
        </w:rPr>
        <w:instrText xml:space="preserve">Case of Hilaire, Constantine and Benjamin et al. v. Trinidad and Tobago. </w:instrText>
      </w:r>
      <w:r w:rsidRPr="00145F61">
        <w:rPr>
          <w:rFonts w:cs="Times New Roman"/>
        </w:rPr>
        <w:instrText>Merits, Reparations and Costs. Judgment of June 21, 2002. Series C No. 94</w:instrText>
      </w:r>
      <w:r>
        <w:instrText xml:space="preserve">" \s "I/A Court H.R, Case of Hilaire, Constantine and Benjamin et al. v. Trinidad and Tobago. Merits, Reparations and Costs. Judgment of June 21, 2002. Series C No. 94" \c 1 </w:instrText>
      </w:r>
      <w:r w:rsidR="00820DC0">
        <w:rPr>
          <w:rFonts w:cs="Times New Roman"/>
        </w:rPr>
        <w:fldChar w:fldCharType="end"/>
      </w:r>
      <w:r>
        <w:rPr>
          <w:rFonts w:cs="Times New Roman"/>
        </w:rPr>
        <w:t xml:space="preserve">, para 107; </w:t>
      </w:r>
      <w:r w:rsidRPr="0009231C">
        <w:rPr>
          <w:rFonts w:cs="Times New Roman"/>
        </w:rPr>
        <w:t xml:space="preserve">IACHR. </w:t>
      </w:r>
      <w:r w:rsidRPr="00A35BED">
        <w:rPr>
          <w:rFonts w:cs="Times New Roman"/>
          <w:lang w:val="es-CO"/>
        </w:rPr>
        <w:t xml:space="preserve">Report No. 44/08 </w:t>
      </w:r>
      <w:r w:rsidRPr="00A35BED">
        <w:rPr>
          <w:rFonts w:cs="Times New Roman"/>
          <w:i/>
          <w:lang w:val="es-CO"/>
        </w:rPr>
        <w:t>Sergio Emilio Cadena Antonilez (Colombia)</w:t>
      </w:r>
      <w:r w:rsidRPr="00A35BED">
        <w:rPr>
          <w:rFonts w:cs="Times New Roman"/>
          <w:lang w:val="es-CO"/>
        </w:rPr>
        <w:t>. July 23, 2008</w:t>
      </w:r>
      <w:r w:rsidR="00820DC0">
        <w:rPr>
          <w:rFonts w:cs="Times New Roman"/>
        </w:rPr>
        <w:fldChar w:fldCharType="begin"/>
      </w:r>
      <w:r w:rsidRPr="00A35BED">
        <w:rPr>
          <w:lang w:val="es-CO"/>
        </w:rPr>
        <w:instrText xml:space="preserve"> TA \l "</w:instrText>
      </w:r>
      <w:r w:rsidRPr="00A35BED">
        <w:rPr>
          <w:rFonts w:cs="Times New Roman"/>
          <w:lang w:val="es-CO"/>
        </w:rPr>
        <w:instrText xml:space="preserve">IACHR. Report No. 44/08 </w:instrText>
      </w:r>
      <w:r w:rsidRPr="00A35BED">
        <w:rPr>
          <w:rFonts w:cs="Times New Roman"/>
          <w:i/>
          <w:lang w:val="es-CO"/>
        </w:rPr>
        <w:instrText>Sergio Emilio Cadena Antonilez (Colombia)</w:instrText>
      </w:r>
      <w:r w:rsidRPr="00A35BED">
        <w:rPr>
          <w:rFonts w:cs="Times New Roman"/>
          <w:lang w:val="es-CO"/>
        </w:rPr>
        <w:instrText>. July 23, 2008</w:instrText>
      </w:r>
      <w:r w:rsidRPr="00A35BED">
        <w:rPr>
          <w:lang w:val="es-CO"/>
        </w:rPr>
        <w:instrText xml:space="preserve">" \s "IACHR. Report No. 44/08 Sergio Emilio Cadena Antonilez (Colombia). July 23, 2008" \c 1 </w:instrText>
      </w:r>
      <w:r w:rsidR="00820DC0">
        <w:rPr>
          <w:rFonts w:cs="Times New Roman"/>
        </w:rPr>
        <w:fldChar w:fldCharType="end"/>
      </w:r>
      <w:r w:rsidRPr="00A35BED">
        <w:rPr>
          <w:rFonts w:cs="Times New Roman"/>
          <w:lang w:val="es-CO"/>
        </w:rPr>
        <w:t>, para 42</w:t>
      </w:r>
    </w:p>
  </w:footnote>
  <w:footnote w:id="38">
    <w:p w:rsidR="00156D87" w:rsidRPr="00342644" w:rsidRDefault="00156D87" w:rsidP="00754B17">
      <w:pPr>
        <w:pStyle w:val="FootnoteText"/>
        <w:jc w:val="both"/>
        <w:rPr>
          <w:rFonts w:cs="Times New Roman"/>
        </w:rPr>
      </w:pPr>
      <w:r w:rsidRPr="002B64ED">
        <w:rPr>
          <w:rStyle w:val="FootnoteReference"/>
          <w:rFonts w:cs="Times New Roman"/>
        </w:rPr>
        <w:footnoteRef/>
      </w:r>
      <w:r w:rsidRPr="00A35BED">
        <w:rPr>
          <w:rFonts w:cs="Times New Roman"/>
          <w:lang w:val="es-CO"/>
        </w:rPr>
        <w:t xml:space="preserve"> Laurence Bugorgue-Larsen,. </w:t>
      </w:r>
      <w:r w:rsidRPr="002B64ED">
        <w:rPr>
          <w:rFonts w:cs="Times New Roman"/>
          <w:i/>
        </w:rPr>
        <w:t>Inter-American Court of Human</w:t>
      </w:r>
      <w:r>
        <w:rPr>
          <w:rFonts w:cs="Times New Roman"/>
          <w:i/>
        </w:rPr>
        <w:t xml:space="preserve"> Rights: Case Law and Commentary.(</w:t>
      </w:r>
      <w:r w:rsidRPr="00342644">
        <w:rPr>
          <w:rFonts w:cs="Times New Roman"/>
        </w:rPr>
        <w:t>Oxford University Press, 2011</w:t>
      </w:r>
      <w:r w:rsidR="00820DC0">
        <w:rPr>
          <w:rFonts w:cs="Times New Roman"/>
        </w:rPr>
        <w:fldChar w:fldCharType="begin"/>
      </w:r>
      <w:r>
        <w:instrText xml:space="preserve"> TA \l "</w:instrText>
      </w:r>
      <w:r w:rsidRPr="00F723D1">
        <w:rPr>
          <w:rFonts w:cs="Times New Roman"/>
        </w:rPr>
        <w:instrText xml:space="preserve">Laurence Bugorgue-Larsen,. </w:instrText>
      </w:r>
      <w:r w:rsidRPr="00F723D1">
        <w:rPr>
          <w:rFonts w:cs="Times New Roman"/>
          <w:i/>
        </w:rPr>
        <w:instrText xml:space="preserve">Inter-American Court of Human Rights: Case Law and Commentary. </w:instrText>
      </w:r>
      <w:r>
        <w:rPr>
          <w:rFonts w:cs="Times New Roman"/>
        </w:rPr>
        <w:instrText xml:space="preserve">Oxford; </w:instrText>
      </w:r>
      <w:r w:rsidRPr="00F723D1">
        <w:rPr>
          <w:rFonts w:cs="Times New Roman"/>
        </w:rPr>
        <w:instrText>Oxford University Press, 2011</w:instrText>
      </w:r>
      <w:r>
        <w:instrText xml:space="preserve">" \s "Laurence Bugorgue-Larsen,. Inter-American Court of Human Rights: Case Law and Commentary  (Oxford: Oxford University Press, 2011)" \c 2 </w:instrText>
      </w:r>
      <w:r w:rsidR="00820DC0">
        <w:rPr>
          <w:rFonts w:cs="Times New Roman"/>
        </w:rPr>
        <w:fldChar w:fldCharType="end"/>
      </w:r>
      <w:r>
        <w:rPr>
          <w:rFonts w:cs="Times New Roman"/>
        </w:rPr>
        <w:t>, p. 257</w:t>
      </w:r>
    </w:p>
  </w:footnote>
  <w:footnote w:id="39">
    <w:p w:rsidR="00156D87" w:rsidRPr="007A61DF" w:rsidRDefault="00156D87" w:rsidP="00754B17">
      <w:pPr>
        <w:pStyle w:val="FootnoteText"/>
        <w:jc w:val="both"/>
        <w:rPr>
          <w:rFonts w:cs="Times New Roman"/>
        </w:rPr>
      </w:pPr>
      <w:r>
        <w:rPr>
          <w:rStyle w:val="FootnoteReference"/>
        </w:rPr>
        <w:footnoteRef/>
      </w:r>
      <w:r>
        <w:t xml:space="preserve"> </w:t>
      </w:r>
      <w:r>
        <w:rPr>
          <w:rFonts w:cs="Times New Roman"/>
        </w:rPr>
        <w:t>Article 46(1)(a)</w:t>
      </w:r>
      <w:r w:rsidR="00820DC0">
        <w:rPr>
          <w:rFonts w:cs="Times New Roman"/>
        </w:rPr>
        <w:fldChar w:fldCharType="begin"/>
      </w:r>
      <w:r>
        <w:instrText xml:space="preserve"> TA \l "</w:instrText>
      </w:r>
      <w:r w:rsidRPr="000C5529">
        <w:rPr>
          <w:rFonts w:cs="Times New Roman"/>
        </w:rPr>
        <w:instrText>Article 46(1)(a)</w:instrText>
      </w:r>
      <w:r>
        <w:instrText xml:space="preserve">" \s "Article 46(1)(a)" \c 5 </w:instrText>
      </w:r>
      <w:r w:rsidR="00820DC0">
        <w:rPr>
          <w:rFonts w:cs="Times New Roman"/>
        </w:rPr>
        <w:fldChar w:fldCharType="end"/>
      </w:r>
      <w:r>
        <w:rPr>
          <w:rFonts w:cs="Times New Roman"/>
        </w:rPr>
        <w:t>, ACHR</w:t>
      </w:r>
    </w:p>
  </w:footnote>
  <w:footnote w:id="40">
    <w:p w:rsidR="00156D87" w:rsidRPr="00D44FC5" w:rsidRDefault="00156D87" w:rsidP="00754B17">
      <w:pPr>
        <w:pStyle w:val="FootnoteText"/>
        <w:jc w:val="both"/>
        <w:rPr>
          <w:rFonts w:cs="Times New Roman"/>
        </w:rPr>
      </w:pPr>
      <w:r w:rsidRPr="00D44FC5">
        <w:rPr>
          <w:rStyle w:val="FootnoteReference"/>
          <w:rFonts w:cs="Times New Roman"/>
        </w:rPr>
        <w:footnoteRef/>
      </w:r>
      <w:r>
        <w:rPr>
          <w:rFonts w:cs="Times New Roman"/>
        </w:rPr>
        <w:t xml:space="preserve"> I/A Court H.R.,</w:t>
      </w:r>
      <w:r w:rsidRPr="001674E8">
        <w:rPr>
          <w:rFonts w:cs="Times New Roman"/>
          <w:i/>
        </w:rPr>
        <w:t>Case of Las Palmeras v. Colombia</w:t>
      </w:r>
      <w:r w:rsidRPr="001674E8">
        <w:rPr>
          <w:rFonts w:cs="Times New Roman"/>
        </w:rPr>
        <w:t>. Merits</w:t>
      </w:r>
      <w:r>
        <w:rPr>
          <w:rFonts w:cs="Times New Roman"/>
        </w:rPr>
        <w:t>.Judgment of December 6, 2001.</w:t>
      </w:r>
      <w:r w:rsidRPr="001674E8">
        <w:rPr>
          <w:rFonts w:cs="Times New Roman"/>
        </w:rPr>
        <w:t>Series C No. 90</w:t>
      </w:r>
      <w:r w:rsidR="00820DC0">
        <w:rPr>
          <w:rFonts w:cs="Times New Roman"/>
        </w:rPr>
        <w:fldChar w:fldCharType="begin"/>
      </w:r>
      <w:r>
        <w:instrText xml:space="preserve"> TA \l "</w:instrText>
      </w:r>
      <w:r w:rsidRPr="0075013B">
        <w:rPr>
          <w:rFonts w:cs="Times New Roman"/>
        </w:rPr>
        <w:instrText xml:space="preserve">I/A Court H.R., </w:instrText>
      </w:r>
      <w:r w:rsidRPr="0075013B">
        <w:rPr>
          <w:rFonts w:cs="Times New Roman"/>
          <w:i/>
        </w:rPr>
        <w:instrText>Case of Las Palmeras v. Colombia</w:instrText>
      </w:r>
      <w:r w:rsidRPr="0075013B">
        <w:rPr>
          <w:rFonts w:cs="Times New Roman"/>
        </w:rPr>
        <w:instrText>. Merits. Judgment of December 6, 2001. Series C No. 90</w:instrText>
      </w:r>
      <w:r>
        <w:instrText xml:space="preserve">" \s "I/A Court H.R., Case of Las Palmeras v. Colombia. Merits. Judgment of December 6, 2001. Series C No. 90" \c 1 </w:instrText>
      </w:r>
      <w:r w:rsidR="00820DC0">
        <w:rPr>
          <w:rFonts w:cs="Times New Roman"/>
        </w:rPr>
        <w:fldChar w:fldCharType="end"/>
      </w:r>
      <w:r w:rsidRPr="001674E8">
        <w:rPr>
          <w:rFonts w:cs="Times New Roman"/>
        </w:rPr>
        <w:t>para 58</w:t>
      </w:r>
    </w:p>
  </w:footnote>
  <w:footnote w:id="41">
    <w:p w:rsidR="00156D87" w:rsidRPr="00412A10" w:rsidRDefault="00156D87" w:rsidP="00754B17">
      <w:pPr>
        <w:pStyle w:val="FootnoteText"/>
        <w:jc w:val="both"/>
        <w:rPr>
          <w:rFonts w:cs="Times New Roman"/>
          <w:i/>
        </w:rPr>
      </w:pPr>
      <w:r w:rsidRPr="00D44FC5">
        <w:rPr>
          <w:rStyle w:val="FootnoteReference"/>
          <w:rFonts w:cs="Times New Roman"/>
        </w:rPr>
        <w:footnoteRef/>
      </w:r>
      <w:r w:rsidRPr="00D44FC5">
        <w:rPr>
          <w:rFonts w:cs="Times New Roman"/>
        </w:rPr>
        <w:t xml:space="preserve"> </w:t>
      </w:r>
      <w:r w:rsidRPr="001674E8">
        <w:rPr>
          <w:rFonts w:cs="Times New Roman"/>
        </w:rPr>
        <w:t xml:space="preserve">I/A Court H.R., </w:t>
      </w:r>
      <w:r w:rsidRPr="0009231C">
        <w:rPr>
          <w:rFonts w:cs="Times New Roman"/>
          <w:i/>
        </w:rPr>
        <w:t>Case of Velásquez-Rodríguez v. Honduras</w:t>
      </w:r>
      <w:r w:rsidRPr="001674E8">
        <w:rPr>
          <w:rFonts w:cs="Times New Roman"/>
        </w:rPr>
        <w:t>. Preliminary Objections. Judgment of June 26, 1987. Series C No. 1</w:t>
      </w:r>
      <w:r w:rsidR="00820DC0">
        <w:rPr>
          <w:rFonts w:cs="Times New Roman"/>
        </w:rPr>
        <w:fldChar w:fldCharType="begin"/>
      </w:r>
      <w:r>
        <w:instrText xml:space="preserve"> TA \l "</w:instrText>
      </w:r>
      <w:r w:rsidRPr="00EB64CE">
        <w:rPr>
          <w:rFonts w:cs="Times New Roman"/>
        </w:rPr>
        <w:instrText xml:space="preserve">I/A Court H.R., </w:instrText>
      </w:r>
      <w:r w:rsidRPr="00EB64CE">
        <w:rPr>
          <w:rFonts w:cs="Times New Roman"/>
          <w:i/>
        </w:rPr>
        <w:instrText>Case of Velásquez-Rodríguez v. Honduras</w:instrText>
      </w:r>
      <w:r w:rsidRPr="00EB64CE">
        <w:rPr>
          <w:rFonts w:cs="Times New Roman"/>
        </w:rPr>
        <w:instrText>. Preliminary Objections. Judgment of June 26, 1987. Series C No. 1</w:instrText>
      </w:r>
      <w:r>
        <w:instrText xml:space="preserve">" \s "I/A Court H.R., Case of Velásquez-Rodríguez v. Honduras. Preliminary Objections. Judgment of June 26, 1987. Series C No. 1" \c 1 </w:instrText>
      </w:r>
      <w:r w:rsidR="00820DC0">
        <w:rPr>
          <w:rFonts w:cs="Times New Roman"/>
        </w:rPr>
        <w:fldChar w:fldCharType="end"/>
      </w:r>
      <w:r w:rsidRPr="0009231C">
        <w:rPr>
          <w:rFonts w:cs="Times New Roman"/>
        </w:rPr>
        <w:t>, para. 66</w:t>
      </w:r>
      <w:r>
        <w:rPr>
          <w:rFonts w:cs="Times New Roman"/>
        </w:rPr>
        <w:t xml:space="preserve">; </w:t>
      </w:r>
      <w:r w:rsidRPr="00E1466E">
        <w:rPr>
          <w:rFonts w:cs="Times New Roman"/>
        </w:rPr>
        <w:t xml:space="preserve">I/A Court H.R., </w:t>
      </w:r>
      <w:r w:rsidRPr="00E1466E">
        <w:rPr>
          <w:rFonts w:cs="Times New Roman"/>
          <w:i/>
        </w:rPr>
        <w:t>Case of Juan Humberto Sánchez v. Honduras</w:t>
      </w:r>
      <w:r w:rsidRPr="00E1466E">
        <w:rPr>
          <w:rFonts w:cs="Times New Roman"/>
        </w:rPr>
        <w:t>. Preliminary Objection, Merits, Reparations and Costs. Judgment of June 7, 2003. Series C No. 99</w:t>
      </w:r>
      <w:r w:rsidR="00820DC0">
        <w:rPr>
          <w:rFonts w:cs="Times New Roman"/>
        </w:rPr>
        <w:fldChar w:fldCharType="begin"/>
      </w:r>
      <w:r>
        <w:instrText xml:space="preserve"> TA \l "</w:instrText>
      </w:r>
      <w:r w:rsidRPr="00897EB5">
        <w:rPr>
          <w:rFonts w:cs="Times New Roman"/>
        </w:rPr>
        <w:instrText xml:space="preserve">I/A Court H.R., </w:instrText>
      </w:r>
      <w:r w:rsidRPr="00897EB5">
        <w:rPr>
          <w:rFonts w:cs="Times New Roman"/>
          <w:i/>
        </w:rPr>
        <w:instrText>Case of Juan Humberto Sánchez v. Honduras</w:instrText>
      </w:r>
      <w:r w:rsidRPr="00897EB5">
        <w:rPr>
          <w:rFonts w:cs="Times New Roman"/>
        </w:rPr>
        <w:instrText>. Preliminary Objection, Merits, Reparations and Costs. Judgment of June 7, 2003. Series C No. 99</w:instrText>
      </w:r>
      <w:r>
        <w:instrText xml:space="preserve">" \s "I/A Court H.R., Case of Juan Humberto Sánchez v. Honduras. Preliminary Objection, Merits, Reparations and Costs. Judgment of June 7, 2003. Series C No. 99" \c 1 </w:instrText>
      </w:r>
      <w:r w:rsidR="00820DC0">
        <w:rPr>
          <w:rFonts w:cs="Times New Roman"/>
        </w:rPr>
        <w:fldChar w:fldCharType="end"/>
      </w:r>
      <w:r>
        <w:rPr>
          <w:rFonts w:cs="Times New Roman"/>
        </w:rPr>
        <w:t xml:space="preserve">, </w:t>
      </w:r>
      <w:r w:rsidRPr="00412A10">
        <w:rPr>
          <w:rFonts w:cs="Times New Roman"/>
          <w:i/>
        </w:rPr>
        <w:t>para 121</w:t>
      </w:r>
    </w:p>
  </w:footnote>
  <w:footnote w:id="42">
    <w:p w:rsidR="00156D87" w:rsidRPr="00D44FC5" w:rsidRDefault="00156D87" w:rsidP="00754B17">
      <w:pPr>
        <w:pStyle w:val="FootnoteText"/>
        <w:jc w:val="both"/>
        <w:rPr>
          <w:rFonts w:cs="Times New Roman"/>
        </w:rPr>
      </w:pPr>
      <w:r w:rsidRPr="001674E8">
        <w:rPr>
          <w:rStyle w:val="FootnoteReference"/>
          <w:rFonts w:cs="Times New Roman"/>
        </w:rPr>
        <w:footnoteRef/>
      </w:r>
      <w:r w:rsidRPr="001674E8">
        <w:rPr>
          <w:rFonts w:cs="Times New Roman"/>
        </w:rPr>
        <w:t xml:space="preserve"> IACHR, Report No. 26/08, </w:t>
      </w:r>
      <w:r w:rsidRPr="001674E8">
        <w:rPr>
          <w:rFonts w:cs="Times New Roman"/>
          <w:i/>
        </w:rPr>
        <w:t>Cesar Alberto Mendoza et al.(</w:t>
      </w:r>
      <w:r w:rsidRPr="001674E8">
        <w:rPr>
          <w:rFonts w:cs="Times New Roman"/>
        </w:rPr>
        <w:t>Argentina), November 18, 1997. para 269</w:t>
      </w:r>
      <w:r w:rsidR="00820DC0">
        <w:rPr>
          <w:rFonts w:cs="Times New Roman"/>
        </w:rPr>
        <w:fldChar w:fldCharType="begin"/>
      </w:r>
      <w:r>
        <w:instrText xml:space="preserve"> TA \l "</w:instrText>
      </w:r>
      <w:r w:rsidRPr="002A55DC">
        <w:rPr>
          <w:rFonts w:cs="Times New Roman"/>
        </w:rPr>
        <w:instrText xml:space="preserve">IACHR, Report No. 26/08, </w:instrText>
      </w:r>
      <w:r w:rsidRPr="002A55DC">
        <w:rPr>
          <w:rFonts w:cs="Times New Roman"/>
          <w:i/>
        </w:rPr>
        <w:instrText>Cesar Alberto Mendoza et al.(</w:instrText>
      </w:r>
      <w:r w:rsidRPr="002A55DC">
        <w:rPr>
          <w:rFonts w:cs="Times New Roman"/>
        </w:rPr>
        <w:instrText>Argentina), November 18, 1997. para 269</w:instrText>
      </w:r>
      <w:r>
        <w:instrText xml:space="preserve">" \s "IACHR, Report No. 26/08, Cesar Alberto Mendoza et al.(Argentina), November 18, 1997. para 269" \c 1 </w:instrText>
      </w:r>
      <w:r w:rsidR="00820DC0">
        <w:rPr>
          <w:rFonts w:cs="Times New Roman"/>
        </w:rPr>
        <w:fldChar w:fldCharType="end"/>
      </w:r>
    </w:p>
  </w:footnote>
  <w:footnote w:id="43">
    <w:p w:rsidR="00156D87" w:rsidRPr="005A2630" w:rsidRDefault="00156D87" w:rsidP="00754B17">
      <w:pPr>
        <w:pStyle w:val="FootnoteText"/>
        <w:jc w:val="both"/>
        <w:rPr>
          <w:rFonts w:cs="Times New Roman"/>
        </w:rPr>
      </w:pPr>
      <w:r w:rsidRPr="0009231C">
        <w:rPr>
          <w:rStyle w:val="FootnoteReference"/>
          <w:rFonts w:cs="Times New Roman"/>
        </w:rPr>
        <w:footnoteRef/>
      </w:r>
      <w:r w:rsidRPr="0009231C">
        <w:rPr>
          <w:rFonts w:cs="Times New Roman"/>
        </w:rPr>
        <w:t xml:space="preserve"> IACHR, Report No. 55/1997, </w:t>
      </w:r>
      <w:r w:rsidRPr="0009231C">
        <w:rPr>
          <w:rFonts w:cs="Times New Roman"/>
          <w:i/>
        </w:rPr>
        <w:t>Juan Carlos Abella</w:t>
      </w:r>
      <w:r w:rsidRPr="0009231C">
        <w:rPr>
          <w:rFonts w:cs="Times New Roman"/>
        </w:rPr>
        <w:t xml:space="preserve"> (Argentina), November 18, 1997,</w:t>
      </w:r>
      <w:r w:rsidR="00820DC0">
        <w:rPr>
          <w:rFonts w:cs="Times New Roman"/>
        </w:rPr>
        <w:fldChar w:fldCharType="begin"/>
      </w:r>
      <w:r>
        <w:instrText xml:space="preserve"> TA \l "</w:instrText>
      </w:r>
      <w:r w:rsidRPr="008E4461">
        <w:rPr>
          <w:rFonts w:cs="Times New Roman"/>
        </w:rPr>
        <w:instrText xml:space="preserve">IACHR, Report No. 55/1997, </w:instrText>
      </w:r>
      <w:r w:rsidRPr="008E4461">
        <w:rPr>
          <w:rFonts w:cs="Times New Roman"/>
          <w:i/>
        </w:rPr>
        <w:instrText>Juan Carlos Abella</w:instrText>
      </w:r>
      <w:r w:rsidRPr="008E4461">
        <w:rPr>
          <w:rFonts w:cs="Times New Roman"/>
        </w:rPr>
        <w:instrText xml:space="preserve"> (Argentina), November 18, 1997,</w:instrText>
      </w:r>
      <w:r>
        <w:instrText xml:space="preserve">" \s "IACHR, Report No. 55/1997, Juan Carlos Abella (Argentina), November 18, 1997," \c 1 </w:instrText>
      </w:r>
      <w:r w:rsidR="00820DC0">
        <w:rPr>
          <w:rFonts w:cs="Times New Roman"/>
        </w:rPr>
        <w:fldChar w:fldCharType="end"/>
      </w:r>
      <w:r w:rsidRPr="0009231C">
        <w:rPr>
          <w:rFonts w:cs="Times New Roman"/>
        </w:rPr>
        <w:t xml:space="preserve"> para. 269</w:t>
      </w:r>
    </w:p>
  </w:footnote>
  <w:footnote w:id="44">
    <w:p w:rsidR="00156D87" w:rsidRPr="00E41B6A" w:rsidRDefault="00156D87" w:rsidP="00E41B6A">
      <w:pPr>
        <w:pStyle w:val="FootnoteText"/>
        <w:jc w:val="both"/>
        <w:rPr>
          <w:rFonts w:cs="Times New Roman"/>
        </w:rPr>
      </w:pPr>
      <w:r w:rsidRPr="005A2630">
        <w:rPr>
          <w:rStyle w:val="FootnoteReference"/>
          <w:rFonts w:cs="Times New Roman"/>
        </w:rPr>
        <w:footnoteRef/>
      </w:r>
      <w:r w:rsidRPr="005A2630">
        <w:rPr>
          <w:rFonts w:cs="Times New Roman"/>
        </w:rPr>
        <w:t xml:space="preserve"> </w:t>
      </w:r>
      <w:r>
        <w:rPr>
          <w:rFonts w:cs="Times New Roman"/>
        </w:rPr>
        <w:t>I</w:t>
      </w:r>
      <w:r w:rsidRPr="0009231C">
        <w:rPr>
          <w:rFonts w:cs="Times New Roman"/>
        </w:rPr>
        <w:t xml:space="preserve">/A Court H.R., </w:t>
      </w:r>
      <w:r w:rsidRPr="0009231C">
        <w:rPr>
          <w:rFonts w:cs="Times New Roman"/>
          <w:i/>
        </w:rPr>
        <w:t>Case of Juan Humberto Sánchez v. Honduras</w:t>
      </w:r>
      <w:r w:rsidRPr="0009231C">
        <w:rPr>
          <w:rFonts w:cs="Times New Roman"/>
        </w:rPr>
        <w:t xml:space="preserve">. Preliminary Objection, Merits, Reparations and Costs. Judgment of June 7, 2003. Series C No. </w:t>
      </w:r>
      <w:r w:rsidRPr="00B95666">
        <w:rPr>
          <w:rFonts w:cs="Times New Roman"/>
        </w:rPr>
        <w:t>99</w:t>
      </w:r>
      <w:r w:rsidR="00820DC0">
        <w:rPr>
          <w:rFonts w:cs="Times New Roman"/>
        </w:rPr>
        <w:fldChar w:fldCharType="begin"/>
      </w:r>
      <w:r>
        <w:instrText xml:space="preserve"> TA \s "I/A Court H.R., Case of Juan Humberto Sánchez v. Honduras. Preliminary Objection, Merits, Reparations and Costs. Judgment of June 7, 2003. Series C No. 99" </w:instrText>
      </w:r>
      <w:r w:rsidR="00820DC0">
        <w:rPr>
          <w:rFonts w:cs="Times New Roman"/>
        </w:rPr>
        <w:fldChar w:fldCharType="end"/>
      </w:r>
      <w:r w:rsidRPr="00B95666">
        <w:rPr>
          <w:rFonts w:cs="Times New Roman"/>
        </w:rPr>
        <w:t>, para 121</w:t>
      </w:r>
      <w:r>
        <w:rPr>
          <w:rFonts w:cs="Times New Roman"/>
          <w:i/>
        </w:rPr>
        <w:t xml:space="preserve">; </w:t>
      </w:r>
      <w:r w:rsidRPr="00E41B6A">
        <w:rPr>
          <w:rFonts w:cs="Times New Roman"/>
        </w:rPr>
        <w:t>I/A Court H.R.,</w:t>
      </w:r>
      <w:r w:rsidRPr="00E41B6A">
        <w:rPr>
          <w:rFonts w:cs="Times New Roman"/>
          <w:i/>
        </w:rPr>
        <w:t>Case of Las Palmeras v. Colombia.</w:t>
      </w:r>
      <w:r w:rsidRPr="00E41B6A">
        <w:rPr>
          <w:rFonts w:cs="Times New Roman"/>
        </w:rPr>
        <w:t xml:space="preserve"> Merits. Judgment of December 6, 2001. Series C No. 90</w:t>
      </w:r>
      <w:r w:rsidR="00820DC0">
        <w:rPr>
          <w:rFonts w:cs="Times New Roman"/>
        </w:rPr>
        <w:fldChar w:fldCharType="begin"/>
      </w:r>
      <w:r>
        <w:instrText xml:space="preserve"> TA \l "</w:instrText>
      </w:r>
      <w:r w:rsidRPr="00380E26">
        <w:rPr>
          <w:rFonts w:cs="Times New Roman"/>
        </w:rPr>
        <w:instrText>I/A Court H.R.,</w:instrText>
      </w:r>
      <w:r w:rsidRPr="00380E26">
        <w:rPr>
          <w:rFonts w:cs="Times New Roman"/>
          <w:i/>
        </w:rPr>
        <w:instrText>Case of Las Palmeras v. Colombia.</w:instrText>
      </w:r>
      <w:r w:rsidRPr="00380E26">
        <w:rPr>
          <w:rFonts w:cs="Times New Roman"/>
        </w:rPr>
        <w:instrText xml:space="preserve"> Merits. Judgment of December 6, 2001. Series C No. 90</w:instrText>
      </w:r>
      <w:r>
        <w:instrText xml:space="preserve">" \s "I/A Court H.R.,Case of Las Palmeras v. Colombia. Merits. Judgment of December 6, 2001. Series C No. 90" \c 1 </w:instrText>
      </w:r>
      <w:r w:rsidR="00820DC0">
        <w:rPr>
          <w:rFonts w:cs="Times New Roman"/>
        </w:rPr>
        <w:fldChar w:fldCharType="end"/>
      </w:r>
      <w:r w:rsidRPr="00E41B6A">
        <w:rPr>
          <w:rFonts w:cs="Times New Roman"/>
        </w:rPr>
        <w:t>, para 58</w:t>
      </w:r>
    </w:p>
  </w:footnote>
  <w:footnote w:id="45">
    <w:p w:rsidR="00156D87" w:rsidRPr="005A2630" w:rsidRDefault="00156D87">
      <w:pPr>
        <w:pStyle w:val="FootnoteText"/>
        <w:rPr>
          <w:rFonts w:cs="Times New Roman"/>
        </w:rPr>
      </w:pPr>
      <w:r w:rsidRPr="005A2630">
        <w:rPr>
          <w:rStyle w:val="FootnoteReference"/>
          <w:rFonts w:cs="Times New Roman"/>
        </w:rPr>
        <w:footnoteRef/>
      </w:r>
      <w:r w:rsidRPr="005A2630">
        <w:rPr>
          <w:rFonts w:cs="Times New Roman"/>
        </w:rPr>
        <w:t xml:space="preserve"> Clarification Questions and Answers, No. 10</w:t>
      </w:r>
    </w:p>
  </w:footnote>
  <w:footnote w:id="46">
    <w:p w:rsidR="00156D87" w:rsidRPr="004E33AD" w:rsidRDefault="00156D87" w:rsidP="00754B17">
      <w:pPr>
        <w:pStyle w:val="FootnoteText"/>
        <w:jc w:val="both"/>
        <w:rPr>
          <w:rFonts w:cs="Times New Roman"/>
        </w:rPr>
      </w:pPr>
      <w:r w:rsidRPr="005A2630">
        <w:rPr>
          <w:rStyle w:val="FootnoteReference"/>
          <w:rFonts w:cs="Times New Roman"/>
        </w:rPr>
        <w:footnoteRef/>
      </w:r>
      <w:r w:rsidRPr="005A2630">
        <w:rPr>
          <w:rFonts w:cs="Times New Roman"/>
        </w:rPr>
        <w:t xml:space="preserve">  I/A Court H.R., </w:t>
      </w:r>
      <w:r w:rsidRPr="005A2630">
        <w:rPr>
          <w:rFonts w:cs="Times New Roman"/>
          <w:i/>
        </w:rPr>
        <w:t>Case of Herrera-Ulloa v. Costa Rica</w:t>
      </w:r>
      <w:r w:rsidRPr="005A2630">
        <w:rPr>
          <w:rFonts w:cs="Times New Roman"/>
        </w:rPr>
        <w:t>. Preliminary Objections, Merits, Reparations and Costs. Judgment of July 2, 2004. Series C No. 107</w:t>
      </w:r>
      <w:r w:rsidR="00820DC0">
        <w:rPr>
          <w:rFonts w:cs="Times New Roman"/>
        </w:rPr>
        <w:fldChar w:fldCharType="begin"/>
      </w:r>
      <w:r>
        <w:instrText xml:space="preserve"> TA \l "</w:instrText>
      </w:r>
      <w:r w:rsidRPr="00D95CFC">
        <w:rPr>
          <w:rFonts w:cs="Times New Roman"/>
        </w:rPr>
        <w:instrText xml:space="preserve">I/A Court H.R., </w:instrText>
      </w:r>
      <w:r w:rsidRPr="00D95CFC">
        <w:rPr>
          <w:rFonts w:cs="Times New Roman"/>
          <w:i/>
        </w:rPr>
        <w:instrText>Case of Herrera-Ulloa v. Costa Rica</w:instrText>
      </w:r>
      <w:r w:rsidRPr="00D95CFC">
        <w:rPr>
          <w:rFonts w:cs="Times New Roman"/>
        </w:rPr>
        <w:instrText>. Preliminary Objections, Merits, Reparations and Costs. Judgment of July 2, 2004. Series C No. 107</w:instrText>
      </w:r>
      <w:r>
        <w:instrText xml:space="preserve">" \s "I/A Court H.R., Case of Herrera-Ulloa v. Costa Rica. Preliminary Objections, Merits, Reparations and Costs. Judgment of July 2, 2004. Series C No. 107" \c 1 </w:instrText>
      </w:r>
      <w:r w:rsidR="00820DC0">
        <w:rPr>
          <w:rFonts w:cs="Times New Roman"/>
        </w:rPr>
        <w:fldChar w:fldCharType="end"/>
      </w:r>
      <w:r>
        <w:rPr>
          <w:rFonts w:cs="Times New Roman"/>
        </w:rPr>
        <w:t xml:space="preserve">, </w:t>
      </w:r>
      <w:r w:rsidRPr="005A2630">
        <w:rPr>
          <w:rFonts w:cs="Times New Roman"/>
        </w:rPr>
        <w:t>para. 85</w:t>
      </w:r>
    </w:p>
  </w:footnote>
  <w:footnote w:id="47">
    <w:p w:rsidR="00156D87" w:rsidRPr="00B77BB3" w:rsidRDefault="00156D87" w:rsidP="00754B17">
      <w:pPr>
        <w:pStyle w:val="FootnoteText"/>
        <w:jc w:val="both"/>
        <w:rPr>
          <w:rFonts w:cs="Times New Roman"/>
        </w:rPr>
      </w:pPr>
      <w:r w:rsidRPr="00B77BB3">
        <w:rPr>
          <w:rStyle w:val="FootnoteReference"/>
          <w:rFonts w:cs="Times New Roman"/>
        </w:rPr>
        <w:footnoteRef/>
      </w:r>
      <w:r w:rsidRPr="00B77BB3">
        <w:rPr>
          <w:rFonts w:cs="Times New Roman"/>
        </w:rPr>
        <w:t xml:space="preserve"> </w:t>
      </w:r>
      <w:r w:rsidRPr="004A513F">
        <w:rPr>
          <w:rFonts w:cs="Times New Roman"/>
        </w:rPr>
        <w:t xml:space="preserve">I/A Court H.R., </w:t>
      </w:r>
      <w:r w:rsidRPr="004A513F">
        <w:rPr>
          <w:rFonts w:cs="Times New Roman"/>
          <w:i/>
        </w:rPr>
        <w:t>Case of Castillo-Petruzzi et al v. Peru</w:t>
      </w:r>
      <w:r w:rsidRPr="004A513F">
        <w:rPr>
          <w:rFonts w:cs="Times New Roman"/>
        </w:rPr>
        <w:t>. Preliminary Objections. Judgment of September 4, 1998. Series C No. 41</w:t>
      </w:r>
      <w:r w:rsidR="00820DC0">
        <w:rPr>
          <w:rFonts w:cs="Times New Roman"/>
        </w:rPr>
        <w:fldChar w:fldCharType="begin"/>
      </w:r>
      <w:r>
        <w:instrText xml:space="preserve"> TA \l "</w:instrText>
      </w:r>
      <w:r w:rsidRPr="00CD0250">
        <w:rPr>
          <w:rFonts w:cs="Times New Roman"/>
        </w:rPr>
        <w:instrText xml:space="preserve">I/A Court H.R., </w:instrText>
      </w:r>
      <w:r w:rsidRPr="00CD0250">
        <w:rPr>
          <w:rFonts w:cs="Times New Roman"/>
          <w:i/>
        </w:rPr>
        <w:instrText>Case of Castillo-Petruzzi et al v. Peru</w:instrText>
      </w:r>
      <w:r w:rsidRPr="00CD0250">
        <w:rPr>
          <w:rFonts w:cs="Times New Roman"/>
        </w:rPr>
        <w:instrText>. Preliminary Objections. Judgment of September 4, 1998. Series C No. 41</w:instrText>
      </w:r>
      <w:r>
        <w:instrText xml:space="preserve">" \s "I/A Court H.R., Case of Castillo-Petruzzi et al v. Peru. Preliminary Objections. Judgment of September 4, 1998. Series C No. 41" \c 1 </w:instrText>
      </w:r>
      <w:r w:rsidR="00820DC0">
        <w:rPr>
          <w:rFonts w:cs="Times New Roman"/>
        </w:rPr>
        <w:fldChar w:fldCharType="end"/>
      </w:r>
      <w:r w:rsidRPr="004A513F">
        <w:rPr>
          <w:rFonts w:cs="Times New Roman"/>
        </w:rPr>
        <w:t xml:space="preserve">, </w:t>
      </w:r>
      <w:r w:rsidRPr="00B77BB3">
        <w:rPr>
          <w:rFonts w:cs="Times New Roman"/>
        </w:rPr>
        <w:t>para 52</w:t>
      </w:r>
    </w:p>
  </w:footnote>
  <w:footnote w:id="48">
    <w:p w:rsidR="00156D87" w:rsidRPr="00B77BB3" w:rsidRDefault="00156D87" w:rsidP="00754B17">
      <w:pPr>
        <w:pStyle w:val="FootnoteText"/>
        <w:jc w:val="both"/>
        <w:rPr>
          <w:rFonts w:cs="Times New Roman"/>
        </w:rPr>
      </w:pPr>
      <w:r w:rsidRPr="00917F8E">
        <w:rPr>
          <w:rStyle w:val="FootnoteReference"/>
          <w:rFonts w:cs="Times New Roman"/>
        </w:rPr>
        <w:footnoteRef/>
      </w:r>
      <w:r w:rsidRPr="00917F8E">
        <w:rPr>
          <w:rFonts w:cs="Times New Roman"/>
        </w:rPr>
        <w:t xml:space="preserve"> IACHR, Report No. 178/10, Petition 469-05 </w:t>
      </w:r>
      <w:r w:rsidRPr="00917F8E">
        <w:rPr>
          <w:rFonts w:cs="Times New Roman"/>
          <w:i/>
        </w:rPr>
        <w:t>Cistoria Jimenez Morgan and Sergio Jimenez (Costa Rica)</w:t>
      </w:r>
      <w:r w:rsidRPr="00917F8E">
        <w:rPr>
          <w:rFonts w:cs="Times New Roman"/>
        </w:rPr>
        <w:t>, November 24, 2010</w:t>
      </w:r>
      <w:r w:rsidR="00820DC0">
        <w:rPr>
          <w:rFonts w:cs="Times New Roman"/>
        </w:rPr>
        <w:fldChar w:fldCharType="begin"/>
      </w:r>
      <w:r>
        <w:instrText xml:space="preserve"> TA \l "</w:instrText>
      </w:r>
      <w:r w:rsidRPr="00C861B8">
        <w:rPr>
          <w:rFonts w:cs="Times New Roman"/>
        </w:rPr>
        <w:instrText xml:space="preserve">IACHR, Report No. 178/10, Petition 469-05 </w:instrText>
      </w:r>
      <w:r w:rsidRPr="00C861B8">
        <w:rPr>
          <w:rFonts w:cs="Times New Roman"/>
          <w:i/>
        </w:rPr>
        <w:instrText>Cistoria Jimenez Morgan and Sergio Jimenez (Costa Rica)</w:instrText>
      </w:r>
      <w:r w:rsidRPr="00C861B8">
        <w:rPr>
          <w:rFonts w:cs="Times New Roman"/>
        </w:rPr>
        <w:instrText>, November 24, 2010</w:instrText>
      </w:r>
      <w:r>
        <w:instrText xml:space="preserve">" \s "IACHR, Report No. 178/10, Petition 469-05 Cistoria Jimenez Morgan and Sergio Jimenez (Costa Rica), November 24, 2010" \c 1 </w:instrText>
      </w:r>
      <w:r w:rsidR="00820DC0">
        <w:rPr>
          <w:rFonts w:cs="Times New Roman"/>
        </w:rPr>
        <w:fldChar w:fldCharType="end"/>
      </w:r>
      <w:r w:rsidRPr="00917F8E">
        <w:rPr>
          <w:rFonts w:cs="Times New Roman"/>
        </w:rPr>
        <w:t xml:space="preserve">; IACHR, Report No. 25/04, Case 12.361 </w:t>
      </w:r>
      <w:r w:rsidRPr="00917F8E">
        <w:rPr>
          <w:rFonts w:cs="Times New Roman"/>
          <w:i/>
        </w:rPr>
        <w:t xml:space="preserve">Ana Victoria Sánchez Villalobos et al. (Costa Rica), </w:t>
      </w:r>
      <w:r w:rsidRPr="00917F8E">
        <w:rPr>
          <w:rFonts w:cs="Times New Roman"/>
        </w:rPr>
        <w:t>March 11, 2004</w:t>
      </w:r>
      <w:r w:rsidR="00820DC0">
        <w:rPr>
          <w:rFonts w:cs="Times New Roman"/>
        </w:rPr>
        <w:fldChar w:fldCharType="begin"/>
      </w:r>
      <w:r>
        <w:instrText xml:space="preserve"> TA \l "</w:instrText>
      </w:r>
      <w:r w:rsidRPr="002B6221">
        <w:rPr>
          <w:rFonts w:cs="Times New Roman"/>
        </w:rPr>
        <w:instrText xml:space="preserve">IACHR, Report No. 25/04, Case 12.361 </w:instrText>
      </w:r>
      <w:r w:rsidRPr="002B6221">
        <w:rPr>
          <w:rFonts w:cs="Times New Roman"/>
          <w:i/>
        </w:rPr>
        <w:instrText xml:space="preserve">Ana Victoria Sánchez Villalobos et al. (Costa Rica), </w:instrText>
      </w:r>
      <w:r w:rsidRPr="002B6221">
        <w:rPr>
          <w:rFonts w:cs="Times New Roman"/>
        </w:rPr>
        <w:instrText>March 11, 2004</w:instrText>
      </w:r>
      <w:r>
        <w:instrText xml:space="preserve">" \s "IACHR, Report No. 25/04, Case 12.361 Ana Victoria Sánchez Villalobos et al. (Costa Rica), March 11, 2004" \c 1 </w:instrText>
      </w:r>
      <w:r w:rsidR="00820DC0">
        <w:rPr>
          <w:rFonts w:cs="Times New Roman"/>
        </w:rPr>
        <w:fldChar w:fldCharType="end"/>
      </w:r>
      <w:r w:rsidRPr="00917F8E">
        <w:rPr>
          <w:rFonts w:cs="Times New Roman"/>
        </w:rPr>
        <w:t xml:space="preserve">, para. 45; Report No. 50/04 Petition 12.056, </w:t>
      </w:r>
      <w:r w:rsidRPr="00917F8E">
        <w:rPr>
          <w:rFonts w:cs="Times New Roman"/>
          <w:i/>
        </w:rPr>
        <w:t>Gabriel Oscar Jenkins (Argentina</w:t>
      </w:r>
      <w:r w:rsidRPr="00917F8E">
        <w:rPr>
          <w:rFonts w:cs="Times New Roman"/>
        </w:rPr>
        <w:t>), October 13, 2004,</w:t>
      </w:r>
      <w:r w:rsidR="00820DC0">
        <w:rPr>
          <w:rFonts w:cs="Times New Roman"/>
        </w:rPr>
        <w:fldChar w:fldCharType="begin"/>
      </w:r>
      <w:r>
        <w:instrText xml:space="preserve"> TA \l "</w:instrText>
      </w:r>
      <w:r w:rsidRPr="00C53341">
        <w:rPr>
          <w:rFonts w:cs="Times New Roman"/>
        </w:rPr>
        <w:instrText xml:space="preserve">Report No. 50/04 Petition 12.056, </w:instrText>
      </w:r>
      <w:r w:rsidRPr="00C53341">
        <w:rPr>
          <w:rFonts w:cs="Times New Roman"/>
          <w:i/>
        </w:rPr>
        <w:instrText>Gabriel Oscar Jenkins (Argentina</w:instrText>
      </w:r>
      <w:r w:rsidRPr="00C53341">
        <w:rPr>
          <w:rFonts w:cs="Times New Roman"/>
        </w:rPr>
        <w:instrText>), October 13, 2004,</w:instrText>
      </w:r>
      <w:r>
        <w:instrText xml:space="preserve">" \s "Report No. 50/04 Petition 12.056, Gabriel Oscar Jenkins (Argentina), October 13, 2004," \c 1 </w:instrText>
      </w:r>
      <w:r w:rsidR="00820DC0">
        <w:rPr>
          <w:rFonts w:cs="Times New Roman"/>
        </w:rPr>
        <w:fldChar w:fldCharType="end"/>
      </w:r>
      <w:r w:rsidRPr="00917F8E">
        <w:rPr>
          <w:rFonts w:cs="Times New Roman"/>
        </w:rPr>
        <w:t xml:space="preserve"> para. 50; </w:t>
      </w:r>
      <w:r>
        <w:rPr>
          <w:rFonts w:cs="Times New Roman"/>
        </w:rPr>
        <w:t xml:space="preserve">IACHR </w:t>
      </w:r>
      <w:r w:rsidRPr="00917F8E">
        <w:rPr>
          <w:rFonts w:cs="Times New Roman"/>
        </w:rPr>
        <w:t xml:space="preserve">Report No. 20/05, Petition 714/00 </w:t>
      </w:r>
      <w:r w:rsidRPr="00917F8E">
        <w:rPr>
          <w:rFonts w:cs="Times New Roman"/>
          <w:i/>
        </w:rPr>
        <w:t>Rafael Correa Díaz (Peru)</w:t>
      </w:r>
      <w:r w:rsidRPr="00917F8E">
        <w:rPr>
          <w:rFonts w:cs="Times New Roman"/>
        </w:rPr>
        <w:t>, February 25, 2005</w:t>
      </w:r>
      <w:r w:rsidR="00820DC0">
        <w:rPr>
          <w:rFonts w:cs="Times New Roman"/>
        </w:rPr>
        <w:fldChar w:fldCharType="begin"/>
      </w:r>
      <w:r>
        <w:instrText xml:space="preserve"> TA \l "</w:instrText>
      </w:r>
      <w:r w:rsidRPr="003F06CC">
        <w:rPr>
          <w:rFonts w:cs="Times New Roman"/>
        </w:rPr>
        <w:instrText xml:space="preserve">IACHR Report No. 20/05, Petition 714/00 </w:instrText>
      </w:r>
      <w:r w:rsidRPr="003F06CC">
        <w:rPr>
          <w:rFonts w:cs="Times New Roman"/>
          <w:i/>
        </w:rPr>
        <w:instrText>Rafael Correa Díaz (Peru)</w:instrText>
      </w:r>
      <w:r w:rsidRPr="003F06CC">
        <w:rPr>
          <w:rFonts w:cs="Times New Roman"/>
        </w:rPr>
        <w:instrText>, February 25, 2005</w:instrText>
      </w:r>
      <w:r>
        <w:instrText xml:space="preserve">" \s "IACHR Report No. 20/05, Petition 714/00 Rafael Correa Díaz (Peru), February 25, 2005" \c 1 </w:instrText>
      </w:r>
      <w:r w:rsidR="00820DC0">
        <w:rPr>
          <w:rFonts w:cs="Times New Roman"/>
        </w:rPr>
        <w:fldChar w:fldCharType="end"/>
      </w:r>
      <w:r w:rsidRPr="00917F8E">
        <w:rPr>
          <w:rFonts w:cs="Times New Roman"/>
        </w:rPr>
        <w:t>, para. 32.</w:t>
      </w:r>
    </w:p>
  </w:footnote>
  <w:footnote w:id="49">
    <w:p w:rsidR="00156D87" w:rsidRPr="00B77BB3" w:rsidRDefault="00156D87" w:rsidP="00754B17">
      <w:pPr>
        <w:pStyle w:val="FootnoteText"/>
        <w:jc w:val="both"/>
        <w:rPr>
          <w:rFonts w:cs="Times New Roman"/>
        </w:rPr>
      </w:pPr>
      <w:r w:rsidRPr="00B77BB3">
        <w:rPr>
          <w:rStyle w:val="FootnoteReference"/>
          <w:rFonts w:cs="Times New Roman"/>
        </w:rPr>
        <w:footnoteRef/>
      </w:r>
      <w:r w:rsidRPr="00B77BB3">
        <w:rPr>
          <w:rFonts w:cs="Times New Roman"/>
        </w:rPr>
        <w:t xml:space="preserve"> Hypothetical</w:t>
      </w:r>
      <w:r>
        <w:rPr>
          <w:rFonts w:cs="Times New Roman"/>
        </w:rPr>
        <w:t>,</w:t>
      </w:r>
      <w:r w:rsidRPr="00B77BB3">
        <w:rPr>
          <w:rFonts w:cs="Times New Roman"/>
        </w:rPr>
        <w:t xml:space="preserve"> para 52</w:t>
      </w:r>
    </w:p>
  </w:footnote>
  <w:footnote w:id="50">
    <w:p w:rsidR="00156D87" w:rsidRPr="00B77BB3" w:rsidRDefault="00156D87" w:rsidP="00754B17">
      <w:pPr>
        <w:pStyle w:val="FootnoteText"/>
        <w:jc w:val="both"/>
        <w:rPr>
          <w:rFonts w:cs="Times New Roman"/>
        </w:rPr>
      </w:pPr>
      <w:r w:rsidRPr="00B77BB3">
        <w:rPr>
          <w:rStyle w:val="FootnoteReference"/>
          <w:rFonts w:cs="Times New Roman"/>
        </w:rPr>
        <w:footnoteRef/>
      </w:r>
      <w:r w:rsidRPr="00820349">
        <w:rPr>
          <w:rFonts w:cs="Times New Roman"/>
        </w:rPr>
        <w:t xml:space="preserve">IACHR </w:t>
      </w:r>
      <w:r w:rsidRPr="00820349">
        <w:rPr>
          <w:rFonts w:cs="Times New Roman"/>
          <w:i/>
        </w:rPr>
        <w:t>Inter-American Commission on Human Rights: Strategic Plan 2011-2015</w:t>
      </w:r>
      <w:r>
        <w:rPr>
          <w:rFonts w:cs="Times New Roman"/>
          <w:i/>
        </w:rPr>
        <w:t xml:space="preserve"> </w:t>
      </w:r>
      <w:r>
        <w:rPr>
          <w:rFonts w:cs="Times New Roman"/>
        </w:rPr>
        <w:t>p</w:t>
      </w:r>
      <w:r w:rsidRPr="006C76BE">
        <w:rPr>
          <w:rFonts w:cs="Times New Roman"/>
        </w:rPr>
        <w:t>.5</w:t>
      </w:r>
    </w:p>
  </w:footnote>
  <w:footnote w:id="51">
    <w:p w:rsidR="00156D87" w:rsidRPr="0061398A" w:rsidRDefault="00156D87" w:rsidP="00754B17">
      <w:pPr>
        <w:pStyle w:val="FootnoteText"/>
        <w:jc w:val="both"/>
        <w:rPr>
          <w:rFonts w:cs="Times New Roman"/>
        </w:rPr>
      </w:pPr>
      <w:r w:rsidRPr="00B77BB3">
        <w:rPr>
          <w:rStyle w:val="FootnoteReference"/>
          <w:rFonts w:cs="Times New Roman"/>
        </w:rPr>
        <w:footnoteRef/>
      </w:r>
      <w:r w:rsidRPr="00B77BB3">
        <w:rPr>
          <w:rFonts w:cs="Times New Roman"/>
        </w:rPr>
        <w:t xml:space="preserve"> </w:t>
      </w:r>
      <w:r w:rsidRPr="004A513F">
        <w:rPr>
          <w:rFonts w:cs="Times New Roman"/>
          <w:i/>
        </w:rPr>
        <w:t>Ibid</w:t>
      </w:r>
      <w:r w:rsidRPr="00B77BB3">
        <w:rPr>
          <w:rFonts w:cs="Times New Roman"/>
        </w:rPr>
        <w:t>; Clarification Questions and Answers No. 28</w:t>
      </w:r>
    </w:p>
  </w:footnote>
  <w:footnote w:id="52">
    <w:p w:rsidR="00156D87" w:rsidRPr="00AE7EC9" w:rsidRDefault="00156D87" w:rsidP="00754B17">
      <w:pPr>
        <w:pStyle w:val="FootnoteText"/>
        <w:jc w:val="both"/>
        <w:rPr>
          <w:rFonts w:cs="Times New Roman"/>
        </w:rPr>
      </w:pPr>
      <w:r>
        <w:rPr>
          <w:rStyle w:val="FootnoteReference"/>
        </w:rPr>
        <w:footnoteRef/>
      </w:r>
      <w:r>
        <w:t xml:space="preserve"> </w:t>
      </w:r>
      <w:r>
        <w:rPr>
          <w:rFonts w:cs="Times New Roman"/>
        </w:rPr>
        <w:t>Article 63(2)</w:t>
      </w:r>
      <w:r w:rsidR="00820DC0">
        <w:rPr>
          <w:rFonts w:cs="Times New Roman"/>
        </w:rPr>
        <w:fldChar w:fldCharType="begin"/>
      </w:r>
      <w:r>
        <w:instrText xml:space="preserve"> TA \l "</w:instrText>
      </w:r>
      <w:r w:rsidRPr="00505C72">
        <w:rPr>
          <w:rFonts w:cs="Times New Roman"/>
        </w:rPr>
        <w:instrText>Article 63(2)</w:instrText>
      </w:r>
      <w:r>
        <w:instrText xml:space="preserve">" \s "Article 63(2)" \c 5 </w:instrText>
      </w:r>
      <w:r w:rsidR="00820DC0">
        <w:rPr>
          <w:rFonts w:cs="Times New Roman"/>
        </w:rPr>
        <w:fldChar w:fldCharType="end"/>
      </w:r>
      <w:r>
        <w:rPr>
          <w:rFonts w:cs="Times New Roman"/>
        </w:rPr>
        <w:t xml:space="preserve">, ACHR; Article 27, IACtHR Rules of Procedure; </w:t>
      </w:r>
      <w:r w:rsidRPr="00E41B6A">
        <w:rPr>
          <w:rFonts w:cs="Times New Roman"/>
        </w:rPr>
        <w:t>Kawas Fernandez (Honduras) is “considering” para 5; Gladys Lanza Ochoa (Honduras) “considering” para 11</w:t>
      </w:r>
      <w:r w:rsidR="00820DC0">
        <w:rPr>
          <w:rFonts w:cs="Times New Roman"/>
        </w:rPr>
        <w:fldChar w:fldCharType="begin"/>
      </w:r>
      <w:r>
        <w:instrText xml:space="preserve"> TA \l "</w:instrText>
      </w:r>
      <w:r w:rsidRPr="006D5721">
        <w:rPr>
          <w:rFonts w:cs="Times New Roman"/>
        </w:rPr>
        <w:instrText xml:space="preserve">Kawas Fernandez (Honduras) is </w:instrText>
      </w:r>
      <w:r>
        <w:instrText>\</w:instrText>
      </w:r>
      <w:r w:rsidRPr="006D5721">
        <w:rPr>
          <w:rFonts w:cs="Times New Roman"/>
        </w:rPr>
        <w:instrText>“considering</w:instrText>
      </w:r>
      <w:r>
        <w:instrText>\</w:instrText>
      </w:r>
      <w:r w:rsidRPr="006D5721">
        <w:rPr>
          <w:rFonts w:cs="Times New Roman"/>
        </w:rPr>
        <w:instrText xml:space="preserve">” para 5; Gladys Lanza Ochoa (Honduras) </w:instrText>
      </w:r>
      <w:r>
        <w:instrText>\</w:instrText>
      </w:r>
      <w:r w:rsidRPr="006D5721">
        <w:rPr>
          <w:rFonts w:cs="Times New Roman"/>
        </w:rPr>
        <w:instrText>“considering</w:instrText>
      </w:r>
      <w:r>
        <w:instrText>\</w:instrText>
      </w:r>
      <w:r w:rsidRPr="006D5721">
        <w:rPr>
          <w:rFonts w:cs="Times New Roman"/>
        </w:rPr>
        <w:instrText>” para 11</w:instrText>
      </w:r>
      <w:r>
        <w:instrText xml:space="preserve">" \s "Kawas Fernandez (Honduras) is \"considering\" para 5; Gladys Lanza Ochoa (Honduras) \"considering\" para 11" \c 1 </w:instrText>
      </w:r>
      <w:r w:rsidR="00820DC0">
        <w:rPr>
          <w:rFonts w:cs="Times New Roman"/>
        </w:rPr>
        <w:fldChar w:fldCharType="end"/>
      </w:r>
      <w:r>
        <w:rPr>
          <w:rFonts w:cs="Times New Roman"/>
        </w:rPr>
        <w:t xml:space="preserve">; Jo M Pasqualucci. </w:t>
      </w:r>
      <w:r w:rsidRPr="004A513F">
        <w:rPr>
          <w:rFonts w:cs="Times New Roman"/>
          <w:i/>
        </w:rPr>
        <w:t>The Practice and Procedure of the Inter-American Court of Human Rights</w:t>
      </w:r>
      <w:r>
        <w:rPr>
          <w:rFonts w:cs="Times New Roman"/>
        </w:rPr>
        <w:t>. Cambridge; Cambridge University Press 2012</w:t>
      </w:r>
      <w:r w:rsidR="00820DC0">
        <w:rPr>
          <w:rFonts w:cs="Times New Roman"/>
        </w:rPr>
        <w:fldChar w:fldCharType="begin"/>
      </w:r>
      <w:r>
        <w:instrText xml:space="preserve"> TA \l "</w:instrText>
      </w:r>
      <w:r w:rsidRPr="00BB1A4A">
        <w:rPr>
          <w:rFonts w:cs="Times New Roman"/>
        </w:rPr>
        <w:instrText xml:space="preserve">Jo M Pasqualucci. </w:instrText>
      </w:r>
      <w:r w:rsidRPr="00BB1A4A">
        <w:rPr>
          <w:rFonts w:cs="Times New Roman"/>
          <w:i/>
        </w:rPr>
        <w:instrText>The Practice and Procedure of the Inter-American Court of Human Rights</w:instrText>
      </w:r>
      <w:r w:rsidRPr="00BB1A4A">
        <w:rPr>
          <w:rFonts w:cs="Times New Roman"/>
        </w:rPr>
        <w:instrText>. Cambridge; Cambridge University Press 2012</w:instrText>
      </w:r>
      <w:r>
        <w:instrText xml:space="preserve">" \s "Jo M Pasqualucci. The Practice and Procedure of the Inter-American Court of Human Rights. Cambridge; Cambridge University Press 2012" \c 2 </w:instrText>
      </w:r>
      <w:r w:rsidR="00820DC0">
        <w:rPr>
          <w:rFonts w:cs="Times New Roman"/>
        </w:rPr>
        <w:fldChar w:fldCharType="end"/>
      </w:r>
      <w:r>
        <w:rPr>
          <w:rFonts w:cs="Times New Roman"/>
        </w:rPr>
        <w:t>, p. 265</w:t>
      </w:r>
    </w:p>
  </w:footnote>
  <w:footnote w:id="53">
    <w:p w:rsidR="00156D87" w:rsidRPr="00830434" w:rsidRDefault="00156D87" w:rsidP="00754B17">
      <w:pPr>
        <w:pStyle w:val="FootnoteText"/>
        <w:jc w:val="both"/>
        <w:rPr>
          <w:rFonts w:cs="Times New Roman"/>
          <w:i/>
        </w:rPr>
      </w:pPr>
      <w:r w:rsidRPr="00830434">
        <w:rPr>
          <w:rStyle w:val="FootnoteReference"/>
          <w:rFonts w:cs="Times New Roman"/>
        </w:rPr>
        <w:footnoteRef/>
      </w:r>
      <w:r w:rsidRPr="00830434">
        <w:rPr>
          <w:rFonts w:cs="Times New Roman"/>
        </w:rPr>
        <w:t xml:space="preserve"> </w:t>
      </w:r>
      <w:r>
        <w:rPr>
          <w:rFonts w:cs="Times New Roman"/>
          <w:i/>
        </w:rPr>
        <w:t xml:space="preserve">Matter of Alvardo Reyes et al Provisional Measures regarding the United Mexican </w:t>
      </w:r>
      <w:r w:rsidRPr="0049368C">
        <w:rPr>
          <w:rFonts w:cs="Times New Roman"/>
        </w:rPr>
        <w:t>States</w:t>
      </w:r>
      <w:r>
        <w:rPr>
          <w:rFonts w:cs="Times New Roman"/>
        </w:rPr>
        <w:t xml:space="preserve"> Order of the President  of the Inter American Court of Human Rights  April 1, 2011, “Considering”  5</w:t>
      </w:r>
      <w:r w:rsidR="00820DC0">
        <w:rPr>
          <w:rFonts w:cs="Times New Roman"/>
        </w:rPr>
        <w:fldChar w:fldCharType="begin"/>
      </w:r>
      <w:r>
        <w:instrText xml:space="preserve"> TA \l "</w:instrText>
      </w:r>
      <w:r w:rsidRPr="00852FD4">
        <w:rPr>
          <w:rFonts w:cs="Times New Roman"/>
          <w:i/>
        </w:rPr>
        <w:instrText xml:space="preserve">Matter of Alvardo Reyes et al Provisional Measures regarding the United Mexican </w:instrText>
      </w:r>
      <w:r w:rsidRPr="00852FD4">
        <w:rPr>
          <w:rFonts w:cs="Times New Roman"/>
        </w:rPr>
        <w:instrText xml:space="preserve">States Order of the President  of the Inter American Court of Human Rights  April 1, 2011, </w:instrText>
      </w:r>
      <w:r>
        <w:instrText>\</w:instrText>
      </w:r>
      <w:r w:rsidRPr="00852FD4">
        <w:rPr>
          <w:rFonts w:cs="Times New Roman"/>
        </w:rPr>
        <w:instrText>“Considering</w:instrText>
      </w:r>
      <w:r>
        <w:instrText>\</w:instrText>
      </w:r>
      <w:r w:rsidRPr="00852FD4">
        <w:rPr>
          <w:rFonts w:cs="Times New Roman"/>
        </w:rPr>
        <w:instrText>”  5</w:instrText>
      </w:r>
      <w:r>
        <w:instrText xml:space="preserve">" \s "Matter of Alvardo Reyes et al Provisional Measures regarding the United Mexican States Order of the President  of the Inter American Court of Human Rights  April 1, 2011, \"Considering\"  5" \c 1 </w:instrText>
      </w:r>
      <w:r w:rsidR="00820DC0">
        <w:rPr>
          <w:rFonts w:cs="Times New Roman"/>
        </w:rPr>
        <w:fldChar w:fldCharType="end"/>
      </w:r>
    </w:p>
  </w:footnote>
  <w:footnote w:id="54">
    <w:p w:rsidR="00156D87" w:rsidRPr="00E92166" w:rsidRDefault="00156D87" w:rsidP="00754B17">
      <w:pPr>
        <w:pStyle w:val="FootnoteText"/>
        <w:jc w:val="both"/>
        <w:rPr>
          <w:rFonts w:cs="Times New Roman"/>
        </w:rPr>
      </w:pPr>
      <w:r w:rsidRPr="00E92166">
        <w:rPr>
          <w:rStyle w:val="FootnoteReference"/>
          <w:rFonts w:cs="Times New Roman"/>
        </w:rPr>
        <w:footnoteRef/>
      </w:r>
      <w:r w:rsidRPr="00E92166">
        <w:rPr>
          <w:rFonts w:cs="Times New Roman"/>
        </w:rPr>
        <w:t xml:space="preserve"> </w:t>
      </w:r>
      <w:r>
        <w:rPr>
          <w:rFonts w:cs="Times New Roman"/>
          <w:i/>
        </w:rPr>
        <w:t xml:space="preserve">Matter of Alvardo Reyes et al Provisional Measures regarding the United Mexican </w:t>
      </w:r>
      <w:r w:rsidRPr="0049368C">
        <w:rPr>
          <w:rFonts w:cs="Times New Roman"/>
        </w:rPr>
        <w:t>States</w:t>
      </w:r>
      <w:r>
        <w:rPr>
          <w:rFonts w:cs="Times New Roman"/>
        </w:rPr>
        <w:t xml:space="preserve"> Order of the President  of the Inter American Court of Human Rights  April 1, 2011, “Considering”  16</w:t>
      </w:r>
      <w:r w:rsidR="00820DC0">
        <w:rPr>
          <w:rFonts w:cs="Times New Roman"/>
        </w:rPr>
        <w:fldChar w:fldCharType="begin"/>
      </w:r>
      <w:r>
        <w:instrText xml:space="preserve"> TA \s "Matter of Alvardo Reyes et al Provisional Measures regarding the United Mexican States Order of the President  of the Inter American Court of Human Rights  April 1, 2011, \"Considering\"  5" </w:instrText>
      </w:r>
      <w:r w:rsidR="00820DC0">
        <w:rPr>
          <w:rFonts w:cs="Times New Roman"/>
        </w:rPr>
        <w:fldChar w:fldCharType="end"/>
      </w:r>
      <w:r>
        <w:rPr>
          <w:rFonts w:cs="Times New Roman"/>
        </w:rPr>
        <w:t xml:space="preserve">; </w:t>
      </w:r>
      <w:r>
        <w:rPr>
          <w:rFonts w:cs="Times New Roman"/>
          <w:i/>
        </w:rPr>
        <w:t>Matter of  Capital El Rodeo I &amp; El Rodeo II Judicial Confinement Center</w:t>
      </w:r>
      <w:r>
        <w:rPr>
          <w:rFonts w:cs="Times New Roman"/>
        </w:rPr>
        <w:t>. Provisional Measures regarding Venezuela. Order of the Court of February 8, 2008, “Considering” 17</w:t>
      </w:r>
      <w:r w:rsidR="00820DC0">
        <w:rPr>
          <w:rFonts w:cs="Times New Roman"/>
        </w:rPr>
        <w:fldChar w:fldCharType="begin"/>
      </w:r>
      <w:r>
        <w:instrText xml:space="preserve"> TA \l "</w:instrText>
      </w:r>
      <w:r w:rsidRPr="00F93464">
        <w:rPr>
          <w:rFonts w:cs="Times New Roman"/>
          <w:i/>
        </w:rPr>
        <w:instrText>Matter of  Capital El Rodeo I &amp; El Rodeo II Judicial Confinement Center</w:instrText>
      </w:r>
      <w:r w:rsidRPr="00F93464">
        <w:rPr>
          <w:rFonts w:cs="Times New Roman"/>
        </w:rPr>
        <w:instrText xml:space="preserve">. Provisional Measures regarding Venezuela. Order of the Court of February 8, 2008, </w:instrText>
      </w:r>
      <w:r>
        <w:instrText>\</w:instrText>
      </w:r>
      <w:r w:rsidRPr="00F93464">
        <w:rPr>
          <w:rFonts w:cs="Times New Roman"/>
        </w:rPr>
        <w:instrText>“Considering</w:instrText>
      </w:r>
      <w:r>
        <w:instrText>\</w:instrText>
      </w:r>
      <w:r w:rsidRPr="00F93464">
        <w:rPr>
          <w:rFonts w:cs="Times New Roman"/>
        </w:rPr>
        <w:instrText>” 17</w:instrText>
      </w:r>
      <w:r>
        <w:instrText xml:space="preserve">" \s "; Matter of  Capital El Rodeo I &amp; El Rodeo II Judicial Confinement Center. Provisional Measures regarding Venezuela. Order of the Court of February 8, 2008, \"Considering\" 17" \c 1 </w:instrText>
      </w:r>
      <w:r w:rsidR="00820DC0">
        <w:rPr>
          <w:rFonts w:cs="Times New Roman"/>
        </w:rPr>
        <w:fldChar w:fldCharType="end"/>
      </w:r>
      <w:r>
        <w:rPr>
          <w:rFonts w:cs="Times New Roman"/>
        </w:rPr>
        <w:t xml:space="preserve">; </w:t>
      </w:r>
      <w:r>
        <w:rPr>
          <w:rFonts w:cs="Times New Roman"/>
          <w:i/>
        </w:rPr>
        <w:t>Matter of Mery Naranjo et al.,</w:t>
      </w:r>
      <w:r>
        <w:rPr>
          <w:rFonts w:cs="Times New Roman"/>
        </w:rPr>
        <w:t xml:space="preserve"> Provisional Measures regarding Colombia. Order of the Court of March 4, 2011, “Considering” 11</w:t>
      </w:r>
      <w:r w:rsidR="00820DC0">
        <w:rPr>
          <w:rFonts w:cs="Times New Roman"/>
        </w:rPr>
        <w:fldChar w:fldCharType="begin"/>
      </w:r>
      <w:r>
        <w:instrText xml:space="preserve"> TA \l "</w:instrText>
      </w:r>
      <w:r w:rsidRPr="002D0E25">
        <w:rPr>
          <w:rFonts w:cs="Times New Roman"/>
          <w:i/>
        </w:rPr>
        <w:instrText>Matter of Mery Naranjo et al.,</w:instrText>
      </w:r>
      <w:r w:rsidRPr="002D0E25">
        <w:rPr>
          <w:rFonts w:cs="Times New Roman"/>
        </w:rPr>
        <w:instrText xml:space="preserve"> Provisional Measures regarding Colombia. Order of the Court of March 4, 2011, </w:instrText>
      </w:r>
      <w:r>
        <w:instrText>\</w:instrText>
      </w:r>
      <w:r w:rsidRPr="002D0E25">
        <w:rPr>
          <w:rFonts w:cs="Times New Roman"/>
        </w:rPr>
        <w:instrText>“Considering</w:instrText>
      </w:r>
      <w:r>
        <w:instrText>\</w:instrText>
      </w:r>
      <w:r w:rsidRPr="002D0E25">
        <w:rPr>
          <w:rFonts w:cs="Times New Roman"/>
        </w:rPr>
        <w:instrText>” 11</w:instrText>
      </w:r>
      <w:r>
        <w:instrText xml:space="preserve">" \s "Matter of Mery Naranjo et al., Provisional Measures regarding Colombia. Order of the Court of March 4, 2011, \"Considering\" 11" \c 1 </w:instrText>
      </w:r>
      <w:r w:rsidR="00820DC0">
        <w:rPr>
          <w:rFonts w:cs="Times New Roman"/>
        </w:rPr>
        <w:fldChar w:fldCharType="end"/>
      </w:r>
    </w:p>
    <w:p w:rsidR="00156D87" w:rsidRPr="00E92166" w:rsidRDefault="00156D87" w:rsidP="00754B17">
      <w:pPr>
        <w:pStyle w:val="FootnoteText"/>
        <w:jc w:val="both"/>
        <w:rPr>
          <w:rFonts w:cs="Times New Roman"/>
        </w:rPr>
      </w:pPr>
    </w:p>
  </w:footnote>
  <w:footnote w:id="55">
    <w:p w:rsidR="00156D87" w:rsidRPr="001319B0" w:rsidRDefault="00156D87" w:rsidP="00754B17">
      <w:pPr>
        <w:pStyle w:val="FootnoteText"/>
        <w:jc w:val="both"/>
        <w:rPr>
          <w:rFonts w:cs="Times New Roman"/>
        </w:rPr>
      </w:pPr>
      <w:r>
        <w:rPr>
          <w:rStyle w:val="FootnoteReference"/>
        </w:rPr>
        <w:footnoteRef/>
      </w:r>
      <w:r>
        <w:t xml:space="preserve"> </w:t>
      </w:r>
      <w:r>
        <w:rPr>
          <w:rFonts w:cs="Times New Roman"/>
          <w:i/>
        </w:rPr>
        <w:t xml:space="preserve">Matter of Alvardo Reyes et al Provisional Measures regarding the United Mexican </w:t>
      </w:r>
      <w:r w:rsidRPr="0049368C">
        <w:rPr>
          <w:rFonts w:cs="Times New Roman"/>
        </w:rPr>
        <w:t>States</w:t>
      </w:r>
      <w:r>
        <w:rPr>
          <w:rFonts w:cs="Times New Roman"/>
        </w:rPr>
        <w:t xml:space="preserve"> Order of the President  of the Inter American Court of Human Rights  April 1, 2011, “Considering”  16</w:t>
      </w:r>
      <w:r w:rsidR="00820DC0">
        <w:rPr>
          <w:rFonts w:cs="Times New Roman"/>
        </w:rPr>
        <w:fldChar w:fldCharType="begin"/>
      </w:r>
      <w:r>
        <w:instrText xml:space="preserve"> TA \s "Matter of Alvardo Reyes et al Provisional Measures regarding the United Mexican States Order of the President  of the Inter American Court of Human Rights  April 1, 2011, \"Considering\"  5" </w:instrText>
      </w:r>
      <w:r w:rsidR="00820DC0">
        <w:rPr>
          <w:rFonts w:cs="Times New Roman"/>
        </w:rPr>
        <w:fldChar w:fldCharType="end"/>
      </w:r>
    </w:p>
  </w:footnote>
  <w:footnote w:id="56">
    <w:p w:rsidR="00156D87" w:rsidRPr="001319B0" w:rsidRDefault="00156D87" w:rsidP="00754B17">
      <w:pPr>
        <w:pStyle w:val="FootnoteText"/>
        <w:jc w:val="both"/>
        <w:rPr>
          <w:rFonts w:cs="Times New Roman"/>
          <w:i/>
        </w:rPr>
      </w:pPr>
      <w:r>
        <w:rPr>
          <w:rStyle w:val="FootnoteReference"/>
        </w:rPr>
        <w:footnoteRef/>
      </w:r>
      <w:r>
        <w:t xml:space="preserve"> </w:t>
      </w:r>
      <w:r>
        <w:rPr>
          <w:rFonts w:cs="Times New Roman"/>
          <w:i/>
        </w:rPr>
        <w:t>Ibid</w:t>
      </w:r>
    </w:p>
  </w:footnote>
  <w:footnote w:id="57">
    <w:p w:rsidR="00156D87" w:rsidRPr="00BC4F39" w:rsidRDefault="00156D87" w:rsidP="00754B17">
      <w:pPr>
        <w:pStyle w:val="FootnoteText"/>
        <w:jc w:val="both"/>
        <w:rPr>
          <w:rFonts w:cs="Times New Roman"/>
        </w:rPr>
      </w:pPr>
      <w:r w:rsidRPr="003C6296">
        <w:rPr>
          <w:rStyle w:val="FootnoteReference"/>
        </w:rPr>
        <w:footnoteRef/>
      </w:r>
      <w:r w:rsidRPr="003C6296">
        <w:t xml:space="preserve"> </w:t>
      </w:r>
      <w:r w:rsidRPr="003C6296">
        <w:rPr>
          <w:rFonts w:cs="Times New Roman"/>
          <w:i/>
        </w:rPr>
        <w:t xml:space="preserve">Four Ngöbe Indigenous Communities and Their Members </w:t>
      </w:r>
      <w:r w:rsidRPr="003C6296">
        <w:rPr>
          <w:rFonts w:cs="Times New Roman"/>
        </w:rPr>
        <w:t>(Panama), Provisional Measures,  IACtHR, 28 May 2010, “considering” para. 10</w:t>
      </w:r>
      <w:r w:rsidR="00820DC0">
        <w:rPr>
          <w:rFonts w:cs="Times New Roman"/>
        </w:rPr>
        <w:fldChar w:fldCharType="begin"/>
      </w:r>
      <w:r>
        <w:instrText xml:space="preserve"> TA \l "Four Ngöbe Indigenous Communities and Their Members (Panama), Provisional Measures,  IACtHR, 28 May 2010, \"considering\" 10" \c 1 </w:instrText>
      </w:r>
      <w:r w:rsidR="00820DC0">
        <w:rPr>
          <w:rFonts w:cs="Times New Roman"/>
        </w:rPr>
        <w:fldChar w:fldCharType="end"/>
      </w:r>
      <w:r w:rsidRPr="003C6296">
        <w:rPr>
          <w:rFonts w:cs="Times New Roman"/>
        </w:rPr>
        <w:t>; Claro Burbano</w:t>
      </w:r>
      <w:r>
        <w:rPr>
          <w:rFonts w:cs="Times New Roman"/>
        </w:rPr>
        <w:t xml:space="preserve"> Herrera</w:t>
      </w:r>
      <w:r w:rsidRPr="003C6296">
        <w:rPr>
          <w:rFonts w:cs="Times New Roman"/>
        </w:rPr>
        <w:t xml:space="preserve">. </w:t>
      </w:r>
      <w:r w:rsidRPr="003C6296">
        <w:rPr>
          <w:rFonts w:cs="Times New Roman"/>
          <w:i/>
        </w:rPr>
        <w:t xml:space="preserve">Provisional Measures in the Case Law of the Inter-American Court of Human Rights, </w:t>
      </w:r>
      <w:r w:rsidRPr="003C6296">
        <w:rPr>
          <w:rFonts w:cs="Times New Roman"/>
        </w:rPr>
        <w:t>(Intersentia, 2010)</w:t>
      </w:r>
      <w:r w:rsidR="00820DC0">
        <w:rPr>
          <w:rFonts w:cs="Times New Roman"/>
        </w:rPr>
        <w:fldChar w:fldCharType="begin"/>
      </w:r>
      <w:r>
        <w:instrText xml:space="preserve"> TA \l "</w:instrText>
      </w:r>
      <w:r w:rsidRPr="00ED22A6">
        <w:rPr>
          <w:rFonts w:cs="Times New Roman"/>
        </w:rPr>
        <w:instrText xml:space="preserve">Claro Burbano Herrera. </w:instrText>
      </w:r>
      <w:r w:rsidRPr="00ED22A6">
        <w:rPr>
          <w:rFonts w:cs="Times New Roman"/>
          <w:i/>
        </w:rPr>
        <w:instrText xml:space="preserve">Provisional Measures in the Case Law of the Inter-American Court of Human Rights, </w:instrText>
      </w:r>
      <w:r w:rsidRPr="00ED22A6">
        <w:rPr>
          <w:rFonts w:cs="Times New Roman"/>
        </w:rPr>
        <w:instrText>(Intersentia, 2010)</w:instrText>
      </w:r>
      <w:r>
        <w:instrText xml:space="preserve">" \s "Claro Burbano Herrera. Provisional Measures in the Case Law of the Inter-American Court of Human Rights, (Intersentia, 2010)" \c 2 </w:instrText>
      </w:r>
      <w:r w:rsidR="00820DC0">
        <w:rPr>
          <w:rFonts w:cs="Times New Roman"/>
        </w:rPr>
        <w:fldChar w:fldCharType="end"/>
      </w:r>
      <w:r w:rsidRPr="003C6296">
        <w:rPr>
          <w:rFonts w:cs="Times New Roman"/>
        </w:rPr>
        <w:t xml:space="preserve"> p. 141</w:t>
      </w:r>
    </w:p>
  </w:footnote>
  <w:footnote w:id="58">
    <w:p w:rsidR="00156D87" w:rsidRPr="00432D2E" w:rsidRDefault="00156D87" w:rsidP="00754B17">
      <w:pPr>
        <w:pStyle w:val="FootnoteText"/>
        <w:jc w:val="both"/>
        <w:rPr>
          <w:rFonts w:cs="Times New Roman"/>
        </w:rPr>
      </w:pPr>
      <w:r>
        <w:rPr>
          <w:rStyle w:val="FootnoteReference"/>
        </w:rPr>
        <w:footnoteRef/>
      </w:r>
      <w:r>
        <w:t xml:space="preserve"> </w:t>
      </w:r>
      <w:r>
        <w:rPr>
          <w:rFonts w:cs="Times New Roman"/>
          <w:i/>
        </w:rPr>
        <w:t xml:space="preserve">Socio-educational Internment Unit (UNIS) (Brazil), </w:t>
      </w:r>
      <w:r>
        <w:rPr>
          <w:rFonts w:cs="Times New Roman"/>
        </w:rPr>
        <w:t>Provisional Measures, IACtHR, 25 February 2011, “considering” 13</w:t>
      </w:r>
      <w:r w:rsidR="00820DC0">
        <w:rPr>
          <w:rFonts w:cs="Times New Roman"/>
        </w:rPr>
        <w:fldChar w:fldCharType="begin"/>
      </w:r>
      <w:r>
        <w:instrText xml:space="preserve"> TA \l "</w:instrText>
      </w:r>
      <w:r w:rsidRPr="00DD0560">
        <w:rPr>
          <w:rFonts w:cs="Times New Roman"/>
          <w:i/>
        </w:rPr>
        <w:instrText xml:space="preserve">Socio-educational Internment Unit (UNIS) (Brazil), </w:instrText>
      </w:r>
      <w:r w:rsidRPr="00DD0560">
        <w:rPr>
          <w:rFonts w:cs="Times New Roman"/>
        </w:rPr>
        <w:instrText xml:space="preserve">Provisional Measures, IACtHR, 25 February 2011, </w:instrText>
      </w:r>
      <w:r>
        <w:instrText>\</w:instrText>
      </w:r>
      <w:r w:rsidRPr="00DD0560">
        <w:rPr>
          <w:rFonts w:cs="Times New Roman"/>
        </w:rPr>
        <w:instrText>“considering</w:instrText>
      </w:r>
      <w:r>
        <w:instrText>\</w:instrText>
      </w:r>
      <w:r w:rsidRPr="00DD0560">
        <w:rPr>
          <w:rFonts w:cs="Times New Roman"/>
        </w:rPr>
        <w:instrText>” 13</w:instrText>
      </w:r>
      <w:r>
        <w:instrText xml:space="preserve">" \s "Socio-educational Internment Unit (UNIS) (Brazil), Provisional Measures, IACtHR, 25 February 2011, \"considering\" 13" \c 1 </w:instrText>
      </w:r>
      <w:r w:rsidR="00820DC0">
        <w:rPr>
          <w:rFonts w:cs="Times New Roman"/>
        </w:rPr>
        <w:fldChar w:fldCharType="end"/>
      </w:r>
    </w:p>
  </w:footnote>
  <w:footnote w:id="59">
    <w:p w:rsidR="00156D87" w:rsidRPr="00CB1B4E" w:rsidRDefault="00156D87" w:rsidP="00754B17">
      <w:pPr>
        <w:pStyle w:val="FootnoteText"/>
        <w:jc w:val="both"/>
        <w:rPr>
          <w:rFonts w:cs="Times New Roman"/>
        </w:rPr>
      </w:pPr>
      <w:r w:rsidRPr="00E96131">
        <w:rPr>
          <w:rStyle w:val="FootnoteReference"/>
          <w:rFonts w:cs="Times New Roman"/>
        </w:rPr>
        <w:footnoteRef/>
      </w:r>
      <w:r w:rsidRPr="00E96131">
        <w:rPr>
          <w:rFonts w:cs="Times New Roman"/>
        </w:rPr>
        <w:t xml:space="preserve"> </w:t>
      </w:r>
      <w:r>
        <w:rPr>
          <w:rFonts w:cs="Times New Roman"/>
        </w:rPr>
        <w:t xml:space="preserve">ECtHR, </w:t>
      </w:r>
      <w:r>
        <w:rPr>
          <w:rFonts w:cs="Times New Roman"/>
          <w:i/>
        </w:rPr>
        <w:t>Y.F. v. Turkey</w:t>
      </w:r>
      <w:r>
        <w:rPr>
          <w:rFonts w:cs="Times New Roman"/>
        </w:rPr>
        <w:t xml:space="preserve"> (Application No. 24209/94), July 22, 2003, para. 33</w:t>
      </w:r>
      <w:r w:rsidR="00820DC0">
        <w:rPr>
          <w:rFonts w:cs="Times New Roman"/>
        </w:rPr>
        <w:fldChar w:fldCharType="begin"/>
      </w:r>
      <w:r>
        <w:instrText xml:space="preserve"> TA \l "ECtHR, Y.F. v. Turkey (Application No. 24209/94) July 22, 2003" \c 1 </w:instrText>
      </w:r>
      <w:r w:rsidR="00820DC0">
        <w:rPr>
          <w:rFonts w:cs="Times New Roman"/>
        </w:rPr>
        <w:fldChar w:fldCharType="end"/>
      </w:r>
    </w:p>
  </w:footnote>
  <w:footnote w:id="60">
    <w:p w:rsidR="00156D87" w:rsidRPr="00CB1B4E" w:rsidRDefault="00156D87" w:rsidP="00754B17">
      <w:pPr>
        <w:pStyle w:val="FootnoteText"/>
        <w:jc w:val="both"/>
        <w:rPr>
          <w:rFonts w:cs="Times New Roman"/>
        </w:rPr>
      </w:pPr>
      <w:r w:rsidRPr="00CB1B4E">
        <w:rPr>
          <w:rStyle w:val="FootnoteReference"/>
          <w:rFonts w:cs="Times New Roman"/>
        </w:rPr>
        <w:footnoteRef/>
      </w:r>
      <w:r w:rsidRPr="00CB1B4E">
        <w:rPr>
          <w:rFonts w:cs="Times New Roman"/>
        </w:rPr>
        <w:t xml:space="preserve"> </w:t>
      </w:r>
      <w:r>
        <w:rPr>
          <w:rFonts w:cs="Times New Roman"/>
          <w:i/>
        </w:rPr>
        <w:t>Ibid</w:t>
      </w:r>
    </w:p>
  </w:footnote>
  <w:footnote w:id="61">
    <w:p w:rsidR="00156D87" w:rsidRPr="00CB1B4E" w:rsidRDefault="00156D87" w:rsidP="00754B17">
      <w:pPr>
        <w:pStyle w:val="FootnoteText"/>
        <w:jc w:val="both"/>
        <w:rPr>
          <w:rFonts w:cs="Times New Roman"/>
        </w:rPr>
      </w:pPr>
      <w:r w:rsidRPr="00CB1B4E">
        <w:rPr>
          <w:rStyle w:val="FootnoteReference"/>
          <w:rFonts w:cs="Times New Roman"/>
        </w:rPr>
        <w:footnoteRef/>
      </w:r>
      <w:r w:rsidRPr="00CB1B4E">
        <w:rPr>
          <w:rFonts w:cs="Times New Roman"/>
        </w:rPr>
        <w:t xml:space="preserve"> </w:t>
      </w:r>
      <w:r>
        <w:rPr>
          <w:rFonts w:cs="Times New Roman"/>
        </w:rPr>
        <w:t xml:space="preserve"> Hypothetical, para. 61</w:t>
      </w:r>
    </w:p>
  </w:footnote>
  <w:footnote w:id="62">
    <w:p w:rsidR="00156D87" w:rsidRPr="0074030A" w:rsidRDefault="00156D87" w:rsidP="00754B17">
      <w:pPr>
        <w:pStyle w:val="FootnoteText"/>
        <w:jc w:val="both"/>
        <w:rPr>
          <w:rFonts w:cs="Times New Roman"/>
        </w:rPr>
      </w:pPr>
      <w:r w:rsidRPr="0061398A">
        <w:rPr>
          <w:rStyle w:val="FootnoteReference"/>
          <w:rFonts w:cs="Times New Roman"/>
        </w:rPr>
        <w:footnoteRef/>
      </w:r>
      <w:r w:rsidRPr="0061398A">
        <w:rPr>
          <w:rFonts w:cs="Times New Roman"/>
        </w:rPr>
        <w:t xml:space="preserve"> </w:t>
      </w:r>
      <w:r w:rsidRPr="00E52B63">
        <w:rPr>
          <w:rFonts w:cs="Times New Roman"/>
        </w:rPr>
        <w:t xml:space="preserve">I/A Court H.R., </w:t>
      </w:r>
      <w:r w:rsidRPr="00E52B63">
        <w:rPr>
          <w:rFonts w:cs="Times New Roman"/>
          <w:i/>
        </w:rPr>
        <w:t>Juridical Condition and Rights of Undocumented Migrants</w:t>
      </w:r>
      <w:r w:rsidRPr="00E52B63">
        <w:rPr>
          <w:rFonts w:cs="Times New Roman"/>
        </w:rPr>
        <w:t>. Advisory Opinion OC-18 of September 17, 2003. Series A No. 18</w:t>
      </w:r>
      <w:r w:rsidR="00820DC0">
        <w:rPr>
          <w:rFonts w:cs="Times New Roman"/>
        </w:rPr>
        <w:fldChar w:fldCharType="begin"/>
      </w:r>
      <w:r>
        <w:instrText xml:space="preserve"> TA \l "</w:instrText>
      </w:r>
      <w:r w:rsidRPr="00600118">
        <w:rPr>
          <w:rFonts w:cs="Times New Roman"/>
        </w:rPr>
        <w:instrText xml:space="preserve">I/A Court H.R., </w:instrText>
      </w:r>
      <w:r w:rsidRPr="00600118">
        <w:rPr>
          <w:rFonts w:cs="Times New Roman"/>
          <w:i/>
        </w:rPr>
        <w:instrText>Juridical Condition and Rights of Undocumented Migrants</w:instrText>
      </w:r>
      <w:r w:rsidRPr="00600118">
        <w:rPr>
          <w:rFonts w:cs="Times New Roman"/>
        </w:rPr>
        <w:instrText>. Advisory Opinion OC-18 of September 17, 2003. Series A No. 18</w:instrText>
      </w:r>
      <w:r>
        <w:instrText xml:space="preserve">" \s "I/A Court H.R., Juridical Condition and Rights of Undocumented Migrants. Advisory Opinion OC-18 of September 17, 2003. Series A No. 18" \c 1 </w:instrText>
      </w:r>
      <w:r w:rsidR="00820DC0">
        <w:rPr>
          <w:rFonts w:cs="Times New Roman"/>
        </w:rPr>
        <w:fldChar w:fldCharType="end"/>
      </w:r>
      <w:r w:rsidR="00820DC0">
        <w:rPr>
          <w:rFonts w:cs="Times New Roman"/>
        </w:rPr>
        <w:fldChar w:fldCharType="begin"/>
      </w:r>
      <w:r>
        <w:instrText xml:space="preserve"> TA \l "</w:instrText>
      </w:r>
      <w:r w:rsidRPr="008C205F">
        <w:rPr>
          <w:rFonts w:cs="Times New Roman"/>
        </w:rPr>
        <w:instrText xml:space="preserve">I/A Court H.R., </w:instrText>
      </w:r>
      <w:r w:rsidRPr="008C205F">
        <w:rPr>
          <w:rFonts w:cs="Times New Roman"/>
          <w:i/>
        </w:rPr>
        <w:instrText>Juridical Condition and Rights of Undocumented Migrants</w:instrText>
      </w:r>
      <w:r w:rsidRPr="008C205F">
        <w:rPr>
          <w:rFonts w:cs="Times New Roman"/>
        </w:rPr>
        <w:instrText>. Advisory Opinion OC-18 of September 17, 2003. Series A No. 18</w:instrText>
      </w:r>
      <w:r>
        <w:instrText xml:space="preserve">" \s "Juridical Condition and Rights of Undocumented Migrants" \c 1 </w:instrText>
      </w:r>
      <w:r w:rsidR="00820DC0">
        <w:rPr>
          <w:rFonts w:cs="Times New Roman"/>
        </w:rPr>
        <w:fldChar w:fldCharType="end"/>
      </w:r>
      <w:r>
        <w:rPr>
          <w:rFonts w:cs="Times New Roman"/>
        </w:rPr>
        <w:t>,</w:t>
      </w:r>
      <w:r w:rsidRPr="00E52B63">
        <w:rPr>
          <w:rFonts w:cs="Times New Roman"/>
          <w:i/>
        </w:rPr>
        <w:t xml:space="preserve"> </w:t>
      </w:r>
      <w:r>
        <w:rPr>
          <w:rFonts w:cs="Times New Roman"/>
        </w:rPr>
        <w:t xml:space="preserve">para 101; </w:t>
      </w:r>
      <w:r w:rsidRPr="00E52B63">
        <w:rPr>
          <w:rFonts w:cs="Times New Roman"/>
        </w:rPr>
        <w:t>I/A Court H.R</w:t>
      </w:r>
      <w:r w:rsidRPr="00E52B63">
        <w:rPr>
          <w:rFonts w:cs="Times New Roman"/>
          <w:i/>
        </w:rPr>
        <w:t>., Case of Atala Riffo and daughters v. Chile</w:t>
      </w:r>
      <w:r w:rsidRPr="00E52B63">
        <w:rPr>
          <w:rFonts w:cs="Times New Roman"/>
        </w:rPr>
        <w:t>. Merits, Reparations and Costs. Judgment of February 24, 2012 Series C No. 239</w:t>
      </w:r>
      <w:r w:rsidR="00820DC0">
        <w:rPr>
          <w:rFonts w:cs="Times New Roman"/>
        </w:rPr>
        <w:fldChar w:fldCharType="begin"/>
      </w:r>
      <w:r>
        <w:instrText xml:space="preserve"> TA \l "I</w:instrText>
      </w:r>
      <w:r w:rsidRPr="00283C28">
        <w:rPr>
          <w:rFonts w:cs="Times New Roman"/>
        </w:rPr>
        <w:instrText>/A Court H.R</w:instrText>
      </w:r>
      <w:r w:rsidRPr="00283C28">
        <w:rPr>
          <w:rFonts w:cs="Times New Roman"/>
          <w:i/>
        </w:rPr>
        <w:instrText>., Case of Atala Riffo and daughters v. Chile</w:instrText>
      </w:r>
      <w:r w:rsidRPr="00283C28">
        <w:rPr>
          <w:rFonts w:cs="Times New Roman"/>
        </w:rPr>
        <w:instrText>. Merits, Reparations and Costs. Judgment of February 24, 2012 Series C No. 239</w:instrText>
      </w:r>
      <w:r>
        <w:instrText xml:space="preserve">" \s "/A Court H.R., Case of Atala Riffo and daughters v. Chile. Merits, Reparations and Costs. Judgment of February 24, 2012 Series C No. 239" \c 1 </w:instrText>
      </w:r>
      <w:r w:rsidR="00820DC0">
        <w:rPr>
          <w:rFonts w:cs="Times New Roman"/>
        </w:rPr>
        <w:fldChar w:fldCharType="end"/>
      </w:r>
      <w:r w:rsidRPr="00E52B63">
        <w:rPr>
          <w:rFonts w:cs="Times New Roman"/>
        </w:rPr>
        <w:t xml:space="preserve"> </w:t>
      </w:r>
      <w:r w:rsidRPr="0061398A">
        <w:rPr>
          <w:rFonts w:cs="Times New Roman"/>
        </w:rPr>
        <w:t>para 79;</w:t>
      </w:r>
      <w:r>
        <w:rPr>
          <w:rFonts w:cs="Times New Roman"/>
        </w:rPr>
        <w:t xml:space="preserve"> </w:t>
      </w:r>
    </w:p>
  </w:footnote>
  <w:footnote w:id="63">
    <w:p w:rsidR="00156D87" w:rsidRPr="0074030A" w:rsidRDefault="00156D87" w:rsidP="00754B17">
      <w:pPr>
        <w:pStyle w:val="FootnoteText"/>
        <w:jc w:val="both"/>
        <w:rPr>
          <w:rFonts w:cs="Times New Roman"/>
        </w:rPr>
      </w:pPr>
      <w:r w:rsidRPr="0074030A">
        <w:rPr>
          <w:rStyle w:val="FootnoteReference"/>
          <w:rFonts w:cs="Times New Roman"/>
        </w:rPr>
        <w:footnoteRef/>
      </w:r>
      <w:r w:rsidRPr="0074030A">
        <w:rPr>
          <w:rFonts w:cs="Times New Roman"/>
        </w:rPr>
        <w:t xml:space="preserve"> </w:t>
      </w:r>
      <w:r w:rsidRPr="00E52B63">
        <w:rPr>
          <w:rFonts w:cs="Times New Roman"/>
        </w:rPr>
        <w:t xml:space="preserve">I/A Court H.R., </w:t>
      </w:r>
      <w:r w:rsidRPr="00E52B63">
        <w:rPr>
          <w:rFonts w:cs="Times New Roman"/>
          <w:i/>
        </w:rPr>
        <w:t>Proposed Amendments of the Naturalization Provisions of the Constitution of Costa Rica</w:t>
      </w:r>
      <w:r w:rsidRPr="00E52B63">
        <w:rPr>
          <w:rFonts w:cs="Times New Roman"/>
        </w:rPr>
        <w:t>. Advisory Opinion OC-4/84 of January 19, 1984. Series A No. 4</w:t>
      </w:r>
      <w:r>
        <w:rPr>
          <w:rFonts w:cs="Times New Roman"/>
        </w:rPr>
        <w:t>,</w:t>
      </w:r>
      <w:r w:rsidR="00820DC0">
        <w:rPr>
          <w:rFonts w:cs="Times New Roman"/>
        </w:rPr>
        <w:fldChar w:fldCharType="begin"/>
      </w:r>
      <w:r>
        <w:instrText xml:space="preserve"> TA \l "</w:instrText>
      </w:r>
      <w:r w:rsidRPr="00B12BE3">
        <w:rPr>
          <w:rFonts w:cs="Times New Roman"/>
        </w:rPr>
        <w:instrText xml:space="preserve">I/A Court H.R., </w:instrText>
      </w:r>
      <w:r w:rsidRPr="00B12BE3">
        <w:rPr>
          <w:rFonts w:cs="Times New Roman"/>
          <w:i/>
        </w:rPr>
        <w:instrText>Proposed Amendments of the Naturalization Provisions of the Constitution of Costa Rica</w:instrText>
      </w:r>
      <w:r w:rsidRPr="00B12BE3">
        <w:rPr>
          <w:rFonts w:cs="Times New Roman"/>
        </w:rPr>
        <w:instrText>. Advisory Opinion OC-4/84 of January 19, 1984. Series A No. 4,</w:instrText>
      </w:r>
      <w:r>
        <w:instrText xml:space="preserve">" \s "I/A Court H.R., Proposed Amendments of the Naturalization Provisions of the Constitution of Costa Rica. Advisory Opinion OC-4/84 of January 19, 1984. Series A No. 4," \c 1 </w:instrText>
      </w:r>
      <w:r w:rsidR="00820DC0">
        <w:rPr>
          <w:rFonts w:cs="Times New Roman"/>
        </w:rPr>
        <w:fldChar w:fldCharType="end"/>
      </w:r>
      <w:r w:rsidRPr="00E52B63">
        <w:rPr>
          <w:rFonts w:cs="Times New Roman"/>
        </w:rPr>
        <w:t xml:space="preserve"> </w:t>
      </w:r>
      <w:r w:rsidRPr="0074030A">
        <w:rPr>
          <w:rFonts w:cs="Times New Roman"/>
        </w:rPr>
        <w:t>para 54;</w:t>
      </w:r>
      <w:r>
        <w:rPr>
          <w:rFonts w:cs="Times New Roman"/>
        </w:rPr>
        <w:t xml:space="preserve"> </w:t>
      </w:r>
      <w:r w:rsidRPr="00E52B63">
        <w:rPr>
          <w:rFonts w:cs="Times New Roman"/>
        </w:rPr>
        <w:t xml:space="preserve">I/A Court H.R., </w:t>
      </w:r>
      <w:r w:rsidRPr="00E52B63">
        <w:rPr>
          <w:rFonts w:cs="Times New Roman"/>
          <w:i/>
        </w:rPr>
        <w:t>Case of the Xákmok Kásek Indigenous Community. v. Paraguay</w:t>
      </w:r>
      <w:r w:rsidRPr="00E52B63">
        <w:rPr>
          <w:rFonts w:cs="Times New Roman"/>
        </w:rPr>
        <w:t>. Merits, Reparations and Costs. Judgment of August 24, 2010. Series C No. 214</w:t>
      </w:r>
      <w:r w:rsidR="00820DC0">
        <w:rPr>
          <w:rFonts w:cs="Times New Roman"/>
        </w:rPr>
        <w:fldChar w:fldCharType="begin"/>
      </w:r>
      <w:r>
        <w:instrText xml:space="preserve"> TA \l "</w:instrText>
      </w:r>
      <w:r w:rsidRPr="00A75744">
        <w:rPr>
          <w:rFonts w:cs="Times New Roman"/>
        </w:rPr>
        <w:instrText xml:space="preserve">I/A Court H.R., </w:instrText>
      </w:r>
      <w:r w:rsidRPr="00A75744">
        <w:rPr>
          <w:rFonts w:cs="Times New Roman"/>
          <w:i/>
        </w:rPr>
        <w:instrText>Case of the Xákmok Kásek Indigenous Community. v. Paraguay</w:instrText>
      </w:r>
      <w:r w:rsidRPr="00A75744">
        <w:rPr>
          <w:rFonts w:cs="Times New Roman"/>
        </w:rPr>
        <w:instrText>. Merits, Reparations and Costs. Judgment of August 24, 2010. Series C No. 214</w:instrText>
      </w:r>
      <w:r>
        <w:instrText xml:space="preserve">" \s "; I/A Court H.R., Case of the Xákmok Kásek Indigenous Community. v. Paraguay. Merits, Reparations and Costs. Judgment of August 24, 2010. Series C No. 214" \c 1 </w:instrText>
      </w:r>
      <w:r w:rsidR="00820DC0">
        <w:rPr>
          <w:rFonts w:cs="Times New Roman"/>
        </w:rPr>
        <w:fldChar w:fldCharType="end"/>
      </w:r>
      <w:r w:rsidRPr="0074030A">
        <w:rPr>
          <w:rFonts w:cs="Times New Roman"/>
        </w:rPr>
        <w:t>, para. 272</w:t>
      </w:r>
    </w:p>
  </w:footnote>
  <w:footnote w:id="64">
    <w:p w:rsidR="00156D87" w:rsidRPr="0074030A" w:rsidRDefault="00156D87" w:rsidP="00754B17">
      <w:pPr>
        <w:pStyle w:val="FootnoteText"/>
        <w:jc w:val="both"/>
        <w:rPr>
          <w:rFonts w:cs="Times New Roman"/>
        </w:rPr>
      </w:pPr>
      <w:r w:rsidRPr="00725188">
        <w:rPr>
          <w:rStyle w:val="FootnoteReference"/>
          <w:rFonts w:cs="Times New Roman"/>
        </w:rPr>
        <w:footnoteRef/>
      </w:r>
      <w:r w:rsidRPr="00725188">
        <w:rPr>
          <w:rFonts w:cs="Times New Roman"/>
        </w:rPr>
        <w:t xml:space="preserve"> Charter of the OAS</w:t>
      </w:r>
      <w:r w:rsidR="00820DC0">
        <w:rPr>
          <w:rFonts w:cs="Times New Roman"/>
        </w:rPr>
        <w:fldChar w:fldCharType="begin"/>
      </w:r>
      <w:r>
        <w:instrText xml:space="preserve"> TA \l "Charter of the Organization of American States Dec. 13, 1951, 119 U.N.T.S. 3" \c 4 </w:instrText>
      </w:r>
      <w:r w:rsidR="00820DC0">
        <w:rPr>
          <w:rFonts w:cs="Times New Roman"/>
        </w:rPr>
        <w:fldChar w:fldCharType="end"/>
      </w:r>
      <w:r w:rsidRPr="00725188">
        <w:rPr>
          <w:rFonts w:cs="Times New Roman"/>
        </w:rPr>
        <w:t xml:space="preserve"> (Article 3.l); American Declaration on the Rights and Duties of Man (Article II); Additional Protocol to the American Convention on Human Rights in the Area of Economic, Social and Cultural Rights, “Protocol of San Salvador”</w:t>
      </w:r>
      <w:r w:rsidR="00820DC0">
        <w:rPr>
          <w:rFonts w:cs="Times New Roman"/>
        </w:rPr>
        <w:fldChar w:fldCharType="begin"/>
      </w:r>
      <w:r>
        <w:instrText xml:space="preserve"> TA \l “Additional Protocol to the American Convention on Human Rights in the Area of Economic, Social and Cultural Rights (Protocol of San Salvador) O.A.S. Treaty Series No. 69 (1988) OEA/Ser.L.V/II.82 doc.6 rev.1 at 67 (1992)" \c 4 </w:instrText>
      </w:r>
      <w:r w:rsidR="00820DC0">
        <w:rPr>
          <w:rFonts w:cs="Times New Roman"/>
        </w:rPr>
        <w:fldChar w:fldCharType="end"/>
      </w:r>
      <w:r w:rsidRPr="00725188">
        <w:rPr>
          <w:rFonts w:cs="Times New Roman"/>
        </w:rPr>
        <w:t xml:space="preserve"> (Article 3); Inter-American Convention for the Prevention, Punishment and Eradication of Violence against Women (Articles 4.f, 6 and 8.b); Inter-American Convention on the Elimination of All Forms of Discrimination against Persons with Disabilities (Articles I.2.a, II, III, IV and V)</w:t>
      </w:r>
    </w:p>
  </w:footnote>
  <w:footnote w:id="65">
    <w:p w:rsidR="00156D87" w:rsidRPr="0074030A" w:rsidRDefault="00156D87" w:rsidP="00754B17">
      <w:pPr>
        <w:pStyle w:val="FootnoteText"/>
        <w:jc w:val="both"/>
        <w:rPr>
          <w:rFonts w:cs="Times New Roman"/>
        </w:rPr>
      </w:pPr>
      <w:r w:rsidRPr="0074030A">
        <w:rPr>
          <w:rStyle w:val="FootnoteReference"/>
          <w:rFonts w:cs="Times New Roman"/>
        </w:rPr>
        <w:footnoteRef/>
      </w:r>
      <w:r w:rsidRPr="0074030A">
        <w:rPr>
          <w:rFonts w:cs="Times New Roman"/>
        </w:rPr>
        <w:t xml:space="preserve"> Hypothetical, para 19. </w:t>
      </w:r>
    </w:p>
  </w:footnote>
  <w:footnote w:id="66">
    <w:p w:rsidR="00156D87" w:rsidRPr="00854468" w:rsidRDefault="00156D87" w:rsidP="00754B17">
      <w:pPr>
        <w:pStyle w:val="FootnoteText"/>
        <w:jc w:val="both"/>
        <w:rPr>
          <w:rFonts w:cs="Times New Roman"/>
        </w:rPr>
      </w:pPr>
      <w:r w:rsidRPr="00854468">
        <w:rPr>
          <w:rStyle w:val="FootnoteReference"/>
          <w:rFonts w:cs="Times New Roman"/>
        </w:rPr>
        <w:footnoteRef/>
      </w:r>
      <w:r w:rsidRPr="00854468">
        <w:rPr>
          <w:rFonts w:cs="Times New Roman"/>
        </w:rPr>
        <w:t xml:space="preserve"> </w:t>
      </w:r>
      <w:r w:rsidRPr="00E41B6A">
        <w:rPr>
          <w:rFonts w:cs="Times New Roman"/>
        </w:rPr>
        <w:t xml:space="preserve">United Nations Human Rights Committee, </w:t>
      </w:r>
      <w:r w:rsidRPr="00E41B6A">
        <w:rPr>
          <w:rFonts w:cs="Times New Roman"/>
          <w:i/>
        </w:rPr>
        <w:t xml:space="preserve">Case of  Young v Australia </w:t>
      </w:r>
      <w:r w:rsidRPr="00E41B6A">
        <w:rPr>
          <w:rFonts w:cs="Times New Roman"/>
        </w:rPr>
        <w:t xml:space="preserve"> Communication No. 488/1992 (1994)</w:t>
      </w:r>
      <w:r w:rsidR="00820DC0">
        <w:rPr>
          <w:rFonts w:cs="Times New Roman"/>
        </w:rPr>
        <w:fldChar w:fldCharType="begin"/>
      </w:r>
      <w:r>
        <w:instrText xml:space="preserve"> TA \l "</w:instrText>
      </w:r>
      <w:r w:rsidRPr="00D2293B">
        <w:rPr>
          <w:rFonts w:cs="Times New Roman"/>
        </w:rPr>
        <w:instrText xml:space="preserve">United Nations Human Rights Committee, </w:instrText>
      </w:r>
      <w:r w:rsidRPr="00D2293B">
        <w:rPr>
          <w:rFonts w:cs="Times New Roman"/>
          <w:i/>
        </w:rPr>
        <w:instrText xml:space="preserve">Case of  Young v Australia </w:instrText>
      </w:r>
      <w:r w:rsidRPr="00D2293B">
        <w:rPr>
          <w:rFonts w:cs="Times New Roman"/>
        </w:rPr>
        <w:instrText xml:space="preserve"> Communication No. 488/1992 (1994)</w:instrText>
      </w:r>
      <w:r>
        <w:instrText xml:space="preserve">" \s "United Nations Human Rights Committee, Case of  Young v Australia  Communication No. 488/1992 (1994)" \c 1 </w:instrText>
      </w:r>
      <w:r w:rsidR="00820DC0">
        <w:rPr>
          <w:rFonts w:cs="Times New Roman"/>
        </w:rPr>
        <w:fldChar w:fldCharType="end"/>
      </w:r>
      <w:r w:rsidRPr="00E41B6A">
        <w:rPr>
          <w:rFonts w:cs="Times New Roman"/>
        </w:rPr>
        <w:t xml:space="preserve"> para 2.1;</w:t>
      </w:r>
      <w:r w:rsidRPr="00854468">
        <w:rPr>
          <w:rFonts w:cs="Times New Roman"/>
        </w:rPr>
        <w:t xml:space="preserve"> </w:t>
      </w:r>
      <w:r>
        <w:rPr>
          <w:rFonts w:cs="Times New Roman"/>
        </w:rPr>
        <w:t>ECtHR</w:t>
      </w:r>
      <w:r w:rsidRPr="00854468">
        <w:rPr>
          <w:rFonts w:cs="Times New Roman"/>
        </w:rPr>
        <w:t xml:space="preserve">, </w:t>
      </w:r>
      <w:r w:rsidRPr="00854468">
        <w:rPr>
          <w:rFonts w:cs="Times New Roman"/>
          <w:i/>
        </w:rPr>
        <w:t>Salg</w:t>
      </w:r>
      <w:r>
        <w:rPr>
          <w:rFonts w:cs="Times New Roman"/>
          <w:i/>
        </w:rPr>
        <w:t xml:space="preserve">uiero de Silva Mouta v Portugal, </w:t>
      </w:r>
      <w:r>
        <w:rPr>
          <w:rFonts w:cs="Times New Roman"/>
        </w:rPr>
        <w:t xml:space="preserve">Application No. </w:t>
      </w:r>
      <w:r w:rsidRPr="00AE2770">
        <w:rPr>
          <w:rFonts w:cs="Times New Roman"/>
        </w:rPr>
        <w:t>33290/96</w:t>
      </w:r>
      <w:r>
        <w:rPr>
          <w:rFonts w:cs="Times New Roman"/>
        </w:rPr>
        <w:t>, December 21, 1999</w:t>
      </w:r>
      <w:r w:rsidR="00820DC0">
        <w:rPr>
          <w:rFonts w:cs="Times New Roman"/>
        </w:rPr>
        <w:fldChar w:fldCharType="begin"/>
      </w:r>
      <w:r>
        <w:instrText xml:space="preserve"> TA \l "</w:instrText>
      </w:r>
      <w:r w:rsidRPr="00B223F1">
        <w:rPr>
          <w:rFonts w:cs="Times New Roman"/>
        </w:rPr>
        <w:instrText xml:space="preserve">ECtHR, </w:instrText>
      </w:r>
      <w:r w:rsidRPr="00B223F1">
        <w:rPr>
          <w:rFonts w:cs="Times New Roman"/>
          <w:i/>
        </w:rPr>
        <w:instrText xml:space="preserve">Salguiero de Silva Mouta v Portugal, </w:instrText>
      </w:r>
      <w:r w:rsidRPr="00B223F1">
        <w:rPr>
          <w:rFonts w:cs="Times New Roman"/>
        </w:rPr>
        <w:instrText>Application No. 33290/96, December 21, 1999</w:instrText>
      </w:r>
      <w:r>
        <w:instrText xml:space="preserve">" \s "ECtHR, Salguiero de Silva Mouta v Portugal, Application No. 33290/96, December 21, 1999" \c 1 </w:instrText>
      </w:r>
      <w:r w:rsidR="00820DC0">
        <w:rPr>
          <w:rFonts w:cs="Times New Roman"/>
        </w:rPr>
        <w:fldChar w:fldCharType="end"/>
      </w:r>
      <w:r>
        <w:rPr>
          <w:rFonts w:cs="Times New Roman"/>
        </w:rPr>
        <w:t>,</w:t>
      </w:r>
      <w:r w:rsidRPr="00AE2770">
        <w:rPr>
          <w:rFonts w:cs="Times New Roman"/>
        </w:rPr>
        <w:t xml:space="preserve"> </w:t>
      </w:r>
      <w:r w:rsidRPr="00854468">
        <w:rPr>
          <w:rFonts w:cs="Times New Roman"/>
        </w:rPr>
        <w:t xml:space="preserve">para 28; </w:t>
      </w:r>
      <w:r>
        <w:rPr>
          <w:rFonts w:cs="Times New Roman"/>
        </w:rPr>
        <w:t xml:space="preserve">ECtHR, </w:t>
      </w:r>
      <w:r w:rsidRPr="00854468">
        <w:rPr>
          <w:rFonts w:cs="Times New Roman"/>
          <w:i/>
        </w:rPr>
        <w:t>SL v Austria</w:t>
      </w:r>
      <w:r>
        <w:rPr>
          <w:rFonts w:cs="Times New Roman"/>
        </w:rPr>
        <w:t xml:space="preserve">, Application No. </w:t>
      </w:r>
      <w:r w:rsidRPr="00AE2770">
        <w:rPr>
          <w:rFonts w:cs="Times New Roman"/>
        </w:rPr>
        <w:t>45330/99</w:t>
      </w:r>
      <w:r>
        <w:rPr>
          <w:rFonts w:cs="Times New Roman"/>
        </w:rPr>
        <w:t>, January 9, 2003</w:t>
      </w:r>
      <w:r w:rsidR="00820DC0">
        <w:rPr>
          <w:rFonts w:cs="Times New Roman"/>
        </w:rPr>
        <w:fldChar w:fldCharType="begin"/>
      </w:r>
      <w:r>
        <w:instrText xml:space="preserve"> TA \l "</w:instrText>
      </w:r>
      <w:r w:rsidRPr="00F92E0B">
        <w:rPr>
          <w:rFonts w:cs="Times New Roman"/>
        </w:rPr>
        <w:instrText xml:space="preserve">ECtHR, </w:instrText>
      </w:r>
      <w:r w:rsidRPr="00F92E0B">
        <w:rPr>
          <w:rFonts w:cs="Times New Roman"/>
          <w:i/>
        </w:rPr>
        <w:instrText>SL v Austria</w:instrText>
      </w:r>
      <w:r w:rsidRPr="00F92E0B">
        <w:rPr>
          <w:rFonts w:cs="Times New Roman"/>
        </w:rPr>
        <w:instrText>, Application No. 45330/99, January 9, 2003</w:instrText>
      </w:r>
      <w:r>
        <w:instrText xml:space="preserve">" \s "ECtHR, SL v Austria, Application No. 45330/99, January 9, 2003" \c 1 </w:instrText>
      </w:r>
      <w:r w:rsidR="00820DC0">
        <w:rPr>
          <w:rFonts w:cs="Times New Roman"/>
        </w:rPr>
        <w:fldChar w:fldCharType="end"/>
      </w:r>
      <w:r>
        <w:rPr>
          <w:rFonts w:cs="Times New Roman"/>
        </w:rPr>
        <w:t>,</w:t>
      </w:r>
      <w:r w:rsidRPr="00AE2770">
        <w:rPr>
          <w:rFonts w:cs="Times New Roman"/>
        </w:rPr>
        <w:t xml:space="preserve"> </w:t>
      </w:r>
      <w:r w:rsidRPr="00854468">
        <w:rPr>
          <w:rFonts w:cs="Times New Roman"/>
        </w:rPr>
        <w:t>para 37;</w:t>
      </w:r>
      <w:r>
        <w:rPr>
          <w:rFonts w:cs="Times New Roman"/>
        </w:rPr>
        <w:t xml:space="preserve"> ECtHR,</w:t>
      </w:r>
      <w:r w:rsidRPr="00854468">
        <w:rPr>
          <w:rFonts w:cs="Times New Roman"/>
        </w:rPr>
        <w:t xml:space="preserve"> </w:t>
      </w:r>
      <w:r w:rsidRPr="00854468">
        <w:rPr>
          <w:rFonts w:cs="Times New Roman"/>
          <w:i/>
        </w:rPr>
        <w:t>EB v France</w:t>
      </w:r>
      <w:r>
        <w:rPr>
          <w:rFonts w:cs="Times New Roman"/>
          <w:i/>
        </w:rPr>
        <w:t xml:space="preserve">, </w:t>
      </w:r>
      <w:r>
        <w:rPr>
          <w:rFonts w:cs="Times New Roman"/>
        </w:rPr>
        <w:t xml:space="preserve">Application No. </w:t>
      </w:r>
      <w:r w:rsidRPr="00AE2770">
        <w:rPr>
          <w:rFonts w:cs="Times New Roman"/>
        </w:rPr>
        <w:t>43546/02</w:t>
      </w:r>
      <w:r>
        <w:rPr>
          <w:rFonts w:cs="Times New Roman"/>
        </w:rPr>
        <w:t>, January, 22, 2008</w:t>
      </w:r>
      <w:r w:rsidR="00820DC0">
        <w:rPr>
          <w:rFonts w:cs="Times New Roman"/>
        </w:rPr>
        <w:fldChar w:fldCharType="begin"/>
      </w:r>
      <w:r>
        <w:instrText xml:space="preserve"> TA \l "</w:instrText>
      </w:r>
      <w:r w:rsidRPr="00AD12A0">
        <w:rPr>
          <w:rFonts w:cs="Times New Roman"/>
        </w:rPr>
        <w:instrText xml:space="preserve">ECtHR, </w:instrText>
      </w:r>
      <w:r w:rsidRPr="00AD12A0">
        <w:rPr>
          <w:rFonts w:cs="Times New Roman"/>
          <w:i/>
        </w:rPr>
        <w:instrText xml:space="preserve">EB v France, </w:instrText>
      </w:r>
      <w:r w:rsidRPr="00AD12A0">
        <w:rPr>
          <w:rFonts w:cs="Times New Roman"/>
        </w:rPr>
        <w:instrText>Application No. 43546/02, January, 22, 2008</w:instrText>
      </w:r>
      <w:r>
        <w:instrText xml:space="preserve">" \s "ECtHR, EB v France, Application No. 43546/02, January, 22, 2008" \c 1 </w:instrText>
      </w:r>
      <w:r w:rsidR="00820DC0">
        <w:rPr>
          <w:rFonts w:cs="Times New Roman"/>
        </w:rPr>
        <w:fldChar w:fldCharType="end"/>
      </w:r>
      <w:r>
        <w:rPr>
          <w:rFonts w:cs="Times New Roman"/>
        </w:rPr>
        <w:t>,</w:t>
      </w:r>
      <w:r w:rsidRPr="00854468">
        <w:rPr>
          <w:rFonts w:cs="Times New Roman"/>
        </w:rPr>
        <w:t xml:space="preserve"> para 50; </w:t>
      </w:r>
      <w:r>
        <w:rPr>
          <w:rFonts w:cs="Times New Roman"/>
        </w:rPr>
        <w:t xml:space="preserve">ECtHR, </w:t>
      </w:r>
      <w:r w:rsidRPr="00854468">
        <w:rPr>
          <w:rFonts w:cs="Times New Roman"/>
          <w:i/>
        </w:rPr>
        <w:t>Clift v United Kingdom</w:t>
      </w:r>
      <w:r>
        <w:rPr>
          <w:rFonts w:cs="Times New Roman"/>
          <w:i/>
        </w:rPr>
        <w:t xml:space="preserve">, </w:t>
      </w:r>
      <w:r>
        <w:rPr>
          <w:rFonts w:cs="Times New Roman"/>
        </w:rPr>
        <w:t xml:space="preserve">Application No. </w:t>
      </w:r>
      <w:r w:rsidRPr="00AE2770">
        <w:rPr>
          <w:rFonts w:cs="Times New Roman"/>
        </w:rPr>
        <w:t>7205/07</w:t>
      </w:r>
      <w:r>
        <w:rPr>
          <w:rFonts w:cs="Times New Roman"/>
        </w:rPr>
        <w:t>, July 13, 2010</w:t>
      </w:r>
      <w:r w:rsidR="00820DC0">
        <w:rPr>
          <w:rFonts w:cs="Times New Roman"/>
        </w:rPr>
        <w:fldChar w:fldCharType="begin"/>
      </w:r>
      <w:r>
        <w:instrText xml:space="preserve"> TA \l "</w:instrText>
      </w:r>
      <w:r w:rsidRPr="00F103A1">
        <w:rPr>
          <w:rFonts w:cs="Times New Roman"/>
        </w:rPr>
        <w:instrText xml:space="preserve">ECtHR, </w:instrText>
      </w:r>
      <w:r w:rsidRPr="00F103A1">
        <w:rPr>
          <w:rFonts w:cs="Times New Roman"/>
          <w:i/>
        </w:rPr>
        <w:instrText xml:space="preserve">Clift v United Kingdom, </w:instrText>
      </w:r>
      <w:r w:rsidRPr="00F103A1">
        <w:rPr>
          <w:rFonts w:cs="Times New Roman"/>
        </w:rPr>
        <w:instrText>Application No. 7205/07, July 13, 2010</w:instrText>
      </w:r>
      <w:r>
        <w:instrText xml:space="preserve">" \s "ECtHR, Clift v United Kingdom, Application No. 7205/07, July 13, 2010" \c 1 </w:instrText>
      </w:r>
      <w:r w:rsidR="00820DC0">
        <w:rPr>
          <w:rFonts w:cs="Times New Roman"/>
        </w:rPr>
        <w:fldChar w:fldCharType="end"/>
      </w:r>
      <w:r>
        <w:rPr>
          <w:rFonts w:cs="Times New Roman"/>
        </w:rPr>
        <w:t>,</w:t>
      </w:r>
      <w:r w:rsidRPr="00854468">
        <w:rPr>
          <w:rFonts w:cs="Times New Roman"/>
        </w:rPr>
        <w:t xml:space="preserve"> para 57</w:t>
      </w:r>
    </w:p>
  </w:footnote>
  <w:footnote w:id="67">
    <w:p w:rsidR="00156D87" w:rsidRPr="00854468" w:rsidRDefault="00156D87" w:rsidP="00754B17">
      <w:pPr>
        <w:pStyle w:val="FootnoteText"/>
        <w:jc w:val="both"/>
        <w:rPr>
          <w:rFonts w:cs="Times New Roman"/>
        </w:rPr>
      </w:pPr>
      <w:r w:rsidRPr="00854468">
        <w:rPr>
          <w:rStyle w:val="FootnoteReference"/>
          <w:rFonts w:cs="Times New Roman"/>
        </w:rPr>
        <w:footnoteRef/>
      </w:r>
      <w:r w:rsidRPr="00854468">
        <w:rPr>
          <w:rFonts w:cs="Times New Roman"/>
        </w:rPr>
        <w:t xml:space="preserve"> </w:t>
      </w:r>
      <w:r w:rsidRPr="00004C4E">
        <w:rPr>
          <w:rFonts w:cs="Times New Roman"/>
        </w:rPr>
        <w:t>I/A Court H.R</w:t>
      </w:r>
      <w:r>
        <w:rPr>
          <w:rFonts w:cs="Times New Roman"/>
        </w:rPr>
        <w:t>,</w:t>
      </w:r>
      <w:r w:rsidRPr="00004C4E">
        <w:rPr>
          <w:rFonts w:cs="Times New Roman"/>
        </w:rPr>
        <w:t xml:space="preserve"> </w:t>
      </w:r>
      <w:r w:rsidRPr="00004C4E">
        <w:rPr>
          <w:rFonts w:cs="Times New Roman"/>
          <w:i/>
        </w:rPr>
        <w:t>Case of Atala Riffo</w:t>
      </w:r>
      <w:r>
        <w:rPr>
          <w:rFonts w:cs="Times New Roman"/>
          <w:i/>
        </w:rPr>
        <w:t>,</w:t>
      </w:r>
      <w:r w:rsidRPr="00854468">
        <w:rPr>
          <w:rFonts w:cs="Times New Roman"/>
        </w:rPr>
        <w:t xml:space="preserve"> </w:t>
      </w:r>
      <w:r w:rsidRPr="00004C4E">
        <w:rPr>
          <w:rFonts w:cs="Times New Roman"/>
          <w:i/>
        </w:rPr>
        <w:t>supra</w:t>
      </w:r>
      <w:r>
        <w:rPr>
          <w:rFonts w:cs="Times New Roman"/>
        </w:rPr>
        <w:t xml:space="preserve"> note 62</w:t>
      </w:r>
      <w:r w:rsidR="00820DC0">
        <w:rPr>
          <w:rFonts w:cs="Times New Roman"/>
        </w:rPr>
        <w:fldChar w:fldCharType="begin"/>
      </w:r>
      <w:r>
        <w:instrText xml:space="preserve"> TA \s "/A Court H.R., Case of Atala Riffo and daughters v. Chile. Merits, Reparations and Costs. Judgment of February 24, 2012 Series C No. 239" </w:instrText>
      </w:r>
      <w:r w:rsidR="00820DC0">
        <w:rPr>
          <w:rFonts w:cs="Times New Roman"/>
        </w:rPr>
        <w:fldChar w:fldCharType="end"/>
      </w:r>
      <w:r>
        <w:rPr>
          <w:rFonts w:cs="Times New Roman"/>
        </w:rPr>
        <w:t xml:space="preserve">, </w:t>
      </w:r>
      <w:r w:rsidRPr="00854468">
        <w:rPr>
          <w:rFonts w:cs="Times New Roman"/>
        </w:rPr>
        <w:t>para 91</w:t>
      </w:r>
    </w:p>
  </w:footnote>
  <w:footnote w:id="68">
    <w:p w:rsidR="00156D87" w:rsidRPr="00854468" w:rsidRDefault="00156D87" w:rsidP="00754B17">
      <w:pPr>
        <w:pStyle w:val="FootnoteText"/>
        <w:jc w:val="both"/>
        <w:rPr>
          <w:rFonts w:cs="Times New Roman"/>
        </w:rPr>
      </w:pPr>
      <w:r w:rsidRPr="00854468">
        <w:rPr>
          <w:rStyle w:val="FootnoteReference"/>
          <w:rFonts w:cs="Times New Roman"/>
        </w:rPr>
        <w:footnoteRef/>
      </w:r>
      <w:r w:rsidRPr="00854468">
        <w:rPr>
          <w:rFonts w:cs="Times New Roman"/>
        </w:rPr>
        <w:t xml:space="preserve"> </w:t>
      </w:r>
      <w:r w:rsidRPr="00004C4E">
        <w:rPr>
          <w:rFonts w:cs="Times New Roman"/>
          <w:i/>
        </w:rPr>
        <w:t>Ibid.</w:t>
      </w:r>
    </w:p>
  </w:footnote>
  <w:footnote w:id="69">
    <w:p w:rsidR="00156D87" w:rsidRPr="00854468" w:rsidRDefault="00156D87" w:rsidP="00754B17">
      <w:pPr>
        <w:pStyle w:val="FootnoteText"/>
        <w:jc w:val="both"/>
        <w:rPr>
          <w:rFonts w:cs="Times New Roman"/>
        </w:rPr>
      </w:pPr>
      <w:r w:rsidRPr="00854468">
        <w:rPr>
          <w:rStyle w:val="FootnoteReference"/>
          <w:rFonts w:cs="Times New Roman"/>
        </w:rPr>
        <w:footnoteRef/>
      </w:r>
      <w:r w:rsidRPr="00854468">
        <w:rPr>
          <w:rFonts w:cs="Times New Roman"/>
        </w:rPr>
        <w:t xml:space="preserve"> Article 17.2</w:t>
      </w:r>
      <w:r>
        <w:rPr>
          <w:rFonts w:cs="Times New Roman"/>
        </w:rPr>
        <w:t>,</w:t>
      </w:r>
      <w:r w:rsidRPr="00854468">
        <w:rPr>
          <w:rFonts w:cs="Times New Roman"/>
        </w:rPr>
        <w:t xml:space="preserve"> ACHR</w:t>
      </w:r>
    </w:p>
  </w:footnote>
  <w:footnote w:id="70">
    <w:p w:rsidR="00156D87" w:rsidRPr="00004C4E" w:rsidRDefault="00156D87" w:rsidP="00754B17">
      <w:pPr>
        <w:pStyle w:val="FootnoteText"/>
        <w:jc w:val="both"/>
      </w:pPr>
      <w:r w:rsidRPr="00854468">
        <w:rPr>
          <w:rStyle w:val="FootnoteReference"/>
          <w:rFonts w:cs="Times New Roman"/>
        </w:rPr>
        <w:footnoteRef/>
      </w:r>
      <w:r w:rsidRPr="00854468">
        <w:rPr>
          <w:rFonts w:cs="Times New Roman"/>
        </w:rPr>
        <w:t xml:space="preserve"> </w:t>
      </w:r>
      <w:r w:rsidRPr="00004C4E">
        <w:rPr>
          <w:rFonts w:cs="Times New Roman"/>
        </w:rPr>
        <w:t>I/A Court H.R</w:t>
      </w:r>
      <w:r>
        <w:rPr>
          <w:rFonts w:cs="Times New Roman"/>
        </w:rPr>
        <w:t>.</w:t>
      </w:r>
      <w:r w:rsidRPr="000F6982">
        <w:rPr>
          <w:rFonts w:cs="Times New Roman"/>
          <w:i/>
        </w:rPr>
        <w:t xml:space="preserve"> Juridical Conditions and Rights of the Undocumented Migrants</w:t>
      </w:r>
      <w:r>
        <w:rPr>
          <w:rFonts w:cs="Times New Roman"/>
          <w:i/>
        </w:rPr>
        <w:t xml:space="preserve">, </w:t>
      </w:r>
      <w:r w:rsidRPr="00004C4E">
        <w:rPr>
          <w:rFonts w:cs="Times New Roman"/>
          <w:i/>
        </w:rPr>
        <w:t>supra</w:t>
      </w:r>
      <w:r>
        <w:rPr>
          <w:rFonts w:cs="Times New Roman"/>
        </w:rPr>
        <w:t xml:space="preserve"> note 62</w:t>
      </w:r>
      <w:r w:rsidR="00820DC0">
        <w:rPr>
          <w:rFonts w:cs="Times New Roman"/>
        </w:rPr>
        <w:fldChar w:fldCharType="begin"/>
      </w:r>
      <w:r>
        <w:instrText xml:space="preserve"> TA \s "I/A Court H.R., Juridical Condition and Rights of Undocumented Migrants. Advisory Opinion OC-18 of September 17, 2003. Series A No. 18" </w:instrText>
      </w:r>
      <w:r w:rsidR="00820DC0">
        <w:rPr>
          <w:rFonts w:cs="Times New Roman"/>
        </w:rPr>
        <w:fldChar w:fldCharType="end"/>
      </w:r>
      <w:r>
        <w:rPr>
          <w:rFonts w:cs="Times New Roman"/>
        </w:rPr>
        <w:t xml:space="preserve">, para </w:t>
      </w:r>
      <w:r w:rsidRPr="00B95666">
        <w:rPr>
          <w:rFonts w:cs="Times New Roman"/>
        </w:rPr>
        <w:t xml:space="preserve">104; I/A Court H.R., </w:t>
      </w:r>
      <w:r w:rsidRPr="00B95666">
        <w:rPr>
          <w:rFonts w:cs="Times New Roman"/>
          <w:i/>
        </w:rPr>
        <w:t>Case of Yatama v. Nicaragua.</w:t>
      </w:r>
      <w:r w:rsidRPr="00B95666">
        <w:rPr>
          <w:rFonts w:cs="Times New Roman"/>
        </w:rPr>
        <w:t xml:space="preserve"> Preliminary Objections, Merits, Reparations and Costs. Judgment of June 23, 2005. Series C No. 127</w:t>
      </w:r>
      <w:r w:rsidR="00820DC0">
        <w:rPr>
          <w:rFonts w:cs="Times New Roman"/>
        </w:rPr>
        <w:fldChar w:fldCharType="begin"/>
      </w:r>
      <w:r>
        <w:instrText xml:space="preserve"> TA \l "</w:instrText>
      </w:r>
      <w:r w:rsidRPr="00F37571">
        <w:rPr>
          <w:rFonts w:cs="Times New Roman"/>
        </w:rPr>
        <w:instrText xml:space="preserve">I/A Court H.R., </w:instrText>
      </w:r>
      <w:r w:rsidRPr="00F37571">
        <w:rPr>
          <w:rFonts w:cs="Times New Roman"/>
          <w:i/>
        </w:rPr>
        <w:instrText>Case of Yatama v. Nicaragua.</w:instrText>
      </w:r>
      <w:r w:rsidRPr="00F37571">
        <w:rPr>
          <w:rFonts w:cs="Times New Roman"/>
        </w:rPr>
        <w:instrText xml:space="preserve"> Preliminary Objections, Merits, Reparations and Costs. Judgment of June 23, 2005. Series C No. 127</w:instrText>
      </w:r>
      <w:r>
        <w:instrText xml:space="preserve">" \s "I/A Court H.R., Case of Yatama v. Nicaragua. Preliminary Objections, Merits, Reparations and Costs. Judgment of June 23, 2005. Series C No. 127" \c 1 </w:instrText>
      </w:r>
      <w:r w:rsidR="00820DC0">
        <w:rPr>
          <w:rFonts w:cs="Times New Roman"/>
        </w:rPr>
        <w:fldChar w:fldCharType="end"/>
      </w:r>
      <w:r>
        <w:rPr>
          <w:rFonts w:cs="Times New Roman"/>
        </w:rPr>
        <w:t xml:space="preserve">, </w:t>
      </w:r>
      <w:r w:rsidRPr="00B95666">
        <w:rPr>
          <w:rFonts w:cs="Times New Roman"/>
        </w:rPr>
        <w:t>para 202</w:t>
      </w:r>
      <w:r>
        <w:rPr>
          <w:rFonts w:cs="Times New Roman"/>
        </w:rPr>
        <w:t xml:space="preserve">; </w:t>
      </w:r>
      <w:r w:rsidRPr="00B95666">
        <w:rPr>
          <w:rFonts w:cs="Times New Roman"/>
        </w:rPr>
        <w:t xml:space="preserve">I/A Court H.R., </w:t>
      </w:r>
      <w:r w:rsidRPr="00B95666">
        <w:rPr>
          <w:rFonts w:cs="Times New Roman"/>
          <w:i/>
        </w:rPr>
        <w:t>Case of the Plan de Sánchez Massacre v. Guatemala</w:t>
      </w:r>
      <w:r w:rsidRPr="00B95666">
        <w:rPr>
          <w:rFonts w:cs="Times New Roman"/>
        </w:rPr>
        <w:t>. Merits. Judgment of April 29, 2004. Series C No. 105</w:t>
      </w:r>
      <w:r w:rsidR="00820DC0">
        <w:rPr>
          <w:rFonts w:cs="Times New Roman"/>
        </w:rPr>
        <w:fldChar w:fldCharType="begin"/>
      </w:r>
      <w:r>
        <w:instrText xml:space="preserve"> TA \l "</w:instrText>
      </w:r>
      <w:r w:rsidRPr="00BB02C6">
        <w:rPr>
          <w:rFonts w:cs="Times New Roman"/>
        </w:rPr>
        <w:instrText xml:space="preserve">I/A Court H.R., </w:instrText>
      </w:r>
      <w:r w:rsidRPr="00BB02C6">
        <w:rPr>
          <w:rFonts w:cs="Times New Roman"/>
          <w:i/>
        </w:rPr>
        <w:instrText>Case of the Plan de Sánchez Massacre v. Guatemala</w:instrText>
      </w:r>
      <w:r w:rsidRPr="00BB02C6">
        <w:rPr>
          <w:rFonts w:cs="Times New Roman"/>
        </w:rPr>
        <w:instrText>. Merits. Judgment of April 29, 2004. Series C No. 105</w:instrText>
      </w:r>
      <w:r>
        <w:instrText xml:space="preserve">" \s "I/A Court H.R., Case of the Plan de Sánchez Massacre v. Guatemala. Merits. Judgment of April 29, 2004. Series C No. 105" \c 1 </w:instrText>
      </w:r>
      <w:r w:rsidR="00820DC0">
        <w:rPr>
          <w:rFonts w:cs="Times New Roman"/>
        </w:rPr>
        <w:fldChar w:fldCharType="end"/>
      </w:r>
      <w:r w:rsidRPr="00B95666">
        <w:rPr>
          <w:rFonts w:cs="Times New Roman"/>
        </w:rPr>
        <w:t>, para 51</w:t>
      </w:r>
    </w:p>
  </w:footnote>
  <w:footnote w:id="71">
    <w:p w:rsidR="00156D87" w:rsidRPr="00177674" w:rsidRDefault="00156D87" w:rsidP="00754B17">
      <w:pPr>
        <w:pStyle w:val="FootnoteText"/>
        <w:jc w:val="both"/>
        <w:rPr>
          <w:rFonts w:cs="Times New Roman"/>
        </w:rPr>
      </w:pPr>
      <w:r w:rsidRPr="000A06F5">
        <w:rPr>
          <w:rStyle w:val="FootnoteReference"/>
          <w:rFonts w:cs="Times New Roman"/>
        </w:rPr>
        <w:footnoteRef/>
      </w:r>
      <w:r w:rsidRPr="000A06F5">
        <w:rPr>
          <w:rFonts w:cs="Times New Roman"/>
        </w:rPr>
        <w:t xml:space="preserve"> Hypothetical, para 15</w:t>
      </w:r>
    </w:p>
  </w:footnote>
  <w:footnote w:id="72">
    <w:p w:rsidR="00156D87" w:rsidRPr="00177674" w:rsidRDefault="00156D87" w:rsidP="00754B17">
      <w:pPr>
        <w:pStyle w:val="FootnoteText"/>
        <w:jc w:val="both"/>
        <w:rPr>
          <w:rFonts w:cs="Times New Roman"/>
        </w:rPr>
      </w:pPr>
      <w:r w:rsidRPr="00177674">
        <w:rPr>
          <w:rStyle w:val="FootnoteReference"/>
          <w:rFonts w:cs="Times New Roman"/>
        </w:rPr>
        <w:footnoteRef/>
      </w:r>
      <w:r w:rsidRPr="00177674">
        <w:rPr>
          <w:rFonts w:cs="Times New Roman"/>
        </w:rPr>
        <w:t xml:space="preserve"> </w:t>
      </w:r>
      <w:r w:rsidRPr="00004C4E">
        <w:rPr>
          <w:rFonts w:cs="Times New Roman"/>
        </w:rPr>
        <w:t>I/A Court H.R</w:t>
      </w:r>
      <w:r>
        <w:rPr>
          <w:rFonts w:cs="Times New Roman"/>
        </w:rPr>
        <w:t>.</w:t>
      </w:r>
      <w:r w:rsidRPr="000F6982">
        <w:rPr>
          <w:rFonts w:cs="Times New Roman"/>
          <w:i/>
        </w:rPr>
        <w:t xml:space="preserve"> </w:t>
      </w:r>
      <w:r w:rsidRPr="007B198C">
        <w:rPr>
          <w:rFonts w:cs="Times New Roman"/>
          <w:i/>
        </w:rPr>
        <w:t>Juridical Condition and Rights of Undocumented Migrants</w:t>
      </w:r>
      <w:r w:rsidR="00820DC0">
        <w:rPr>
          <w:rFonts w:cs="Times New Roman"/>
          <w:i/>
        </w:rPr>
        <w:fldChar w:fldCharType="begin"/>
      </w:r>
      <w:r>
        <w:rPr>
          <w:rFonts w:cs="Times New Roman"/>
          <w:i/>
        </w:rPr>
        <w:instrText xml:space="preserve"> TA \s "Juridical Condition and Rights of Undocumented Migrants" </w:instrText>
      </w:r>
      <w:r w:rsidR="00820DC0">
        <w:rPr>
          <w:rFonts w:cs="Times New Roman"/>
          <w:i/>
        </w:rPr>
        <w:fldChar w:fldCharType="end"/>
      </w:r>
      <w:r>
        <w:rPr>
          <w:rFonts w:cs="Times New Roman"/>
        </w:rPr>
        <w:t xml:space="preserve">, </w:t>
      </w:r>
      <w:r w:rsidRPr="00004C4E">
        <w:rPr>
          <w:rFonts w:cs="Times New Roman"/>
          <w:i/>
        </w:rPr>
        <w:t xml:space="preserve">supra </w:t>
      </w:r>
      <w:r>
        <w:rPr>
          <w:rFonts w:cs="Times New Roman"/>
        </w:rPr>
        <w:t>note 62</w:t>
      </w:r>
      <w:r w:rsidR="00820DC0">
        <w:rPr>
          <w:rFonts w:cs="Times New Roman"/>
        </w:rPr>
        <w:fldChar w:fldCharType="begin"/>
      </w:r>
      <w:r>
        <w:instrText xml:space="preserve"> TA \s "I/A Court H.R., Juridical Condition and Rights of Undocumented Migrants. Advisory Opinion OC-18 of September 17, 2003. Series A No. 18" </w:instrText>
      </w:r>
      <w:r w:rsidR="00820DC0">
        <w:rPr>
          <w:rFonts w:cs="Times New Roman"/>
        </w:rPr>
        <w:fldChar w:fldCharType="end"/>
      </w:r>
      <w:r>
        <w:rPr>
          <w:rFonts w:cs="Times New Roman"/>
        </w:rPr>
        <w:t xml:space="preserve">, </w:t>
      </w:r>
      <w:r w:rsidRPr="00177674">
        <w:rPr>
          <w:rFonts w:cs="Times New Roman"/>
        </w:rPr>
        <w:t>para 85</w:t>
      </w:r>
    </w:p>
  </w:footnote>
  <w:footnote w:id="73">
    <w:p w:rsidR="00156D87" w:rsidRPr="00FB2785" w:rsidRDefault="00156D87" w:rsidP="00754B17">
      <w:pPr>
        <w:pStyle w:val="FootnoteText"/>
        <w:jc w:val="both"/>
        <w:rPr>
          <w:rFonts w:cs="Times New Roman"/>
        </w:rPr>
      </w:pPr>
      <w:r w:rsidRPr="00FB2785">
        <w:rPr>
          <w:rStyle w:val="FootnoteReference"/>
          <w:rFonts w:cs="Times New Roman"/>
        </w:rPr>
        <w:footnoteRef/>
      </w:r>
      <w:r w:rsidRPr="00FB2785">
        <w:rPr>
          <w:rFonts w:cs="Times New Roman"/>
        </w:rPr>
        <w:t xml:space="preserve"> Hypothetical, para 12</w:t>
      </w:r>
    </w:p>
  </w:footnote>
  <w:footnote w:id="74">
    <w:p w:rsidR="00156D87" w:rsidRPr="00777B78" w:rsidRDefault="00156D87" w:rsidP="00754B17">
      <w:pPr>
        <w:pStyle w:val="FootnoteText"/>
        <w:jc w:val="both"/>
        <w:rPr>
          <w:rFonts w:cs="Times New Roman"/>
        </w:rPr>
      </w:pPr>
      <w:r w:rsidRPr="00777B78">
        <w:rPr>
          <w:rStyle w:val="FootnoteReference"/>
          <w:rFonts w:cs="Times New Roman"/>
        </w:rPr>
        <w:footnoteRef/>
      </w:r>
      <w:r w:rsidRPr="00777B78">
        <w:rPr>
          <w:rFonts w:cs="Times New Roman"/>
        </w:rPr>
        <w:t xml:space="preserve"> </w:t>
      </w:r>
      <w:r w:rsidRPr="00004C4E">
        <w:rPr>
          <w:rFonts w:cs="Times New Roman"/>
        </w:rPr>
        <w:t xml:space="preserve">I/A Court H.R., </w:t>
      </w:r>
      <w:r w:rsidRPr="00004C4E">
        <w:rPr>
          <w:rFonts w:cs="Times New Roman"/>
          <w:i/>
        </w:rPr>
        <w:t>Case of Castañeda-Gutman v. Mexico</w:t>
      </w:r>
      <w:r w:rsidRPr="00004C4E">
        <w:rPr>
          <w:rFonts w:cs="Times New Roman"/>
        </w:rPr>
        <w:t>. Preliminary Objections, Merits, Reparations, and Costs. Judgment of August 6, 2008. Series C No. 184</w:t>
      </w:r>
      <w:r w:rsidR="00820DC0">
        <w:rPr>
          <w:rFonts w:cs="Times New Roman"/>
        </w:rPr>
        <w:fldChar w:fldCharType="begin"/>
      </w:r>
      <w:r>
        <w:instrText xml:space="preserve"> TA \l "</w:instrText>
      </w:r>
      <w:r w:rsidRPr="007A14DC">
        <w:rPr>
          <w:rFonts w:cs="Times New Roman"/>
        </w:rPr>
        <w:instrText xml:space="preserve">I/A Court H.R., </w:instrText>
      </w:r>
      <w:r w:rsidRPr="007A14DC">
        <w:rPr>
          <w:rFonts w:cs="Times New Roman"/>
          <w:i/>
        </w:rPr>
        <w:instrText>Case of Castañeda-Gutman v. Mexico</w:instrText>
      </w:r>
      <w:r w:rsidRPr="007A14DC">
        <w:rPr>
          <w:rFonts w:cs="Times New Roman"/>
        </w:rPr>
        <w:instrText>. Preliminary Objections, Merits, Reparations, and Costs. Judgment of August 6, 2008. Series C No. 184</w:instrText>
      </w:r>
      <w:r>
        <w:instrText xml:space="preserve">" \s "I/A Court H.R., Case of Castañeda-Gutman v. Mexico. Preliminary Objections, Merits, Reparations, and Costs. Judgment of August 6, 2008. Series C No. 184" \c 1 </w:instrText>
      </w:r>
      <w:r w:rsidR="00820DC0">
        <w:rPr>
          <w:rFonts w:cs="Times New Roman"/>
        </w:rPr>
        <w:fldChar w:fldCharType="end"/>
      </w:r>
      <w:r>
        <w:rPr>
          <w:rFonts w:cs="Times New Roman"/>
        </w:rPr>
        <w:t xml:space="preserve">, </w:t>
      </w:r>
      <w:r w:rsidRPr="00777B78">
        <w:rPr>
          <w:rFonts w:cs="Times New Roman"/>
        </w:rPr>
        <w:t>para 211</w:t>
      </w:r>
    </w:p>
  </w:footnote>
  <w:footnote w:id="75">
    <w:p w:rsidR="00156D87" w:rsidRPr="00777B78" w:rsidRDefault="00156D87" w:rsidP="00754B17">
      <w:pPr>
        <w:pStyle w:val="FootnoteText"/>
        <w:jc w:val="both"/>
        <w:rPr>
          <w:rFonts w:cs="Times New Roman"/>
        </w:rPr>
      </w:pPr>
      <w:r w:rsidRPr="00777B78">
        <w:rPr>
          <w:rStyle w:val="FootnoteReference"/>
          <w:rFonts w:cs="Times New Roman"/>
        </w:rPr>
        <w:footnoteRef/>
      </w:r>
      <w:r w:rsidRPr="00777B78">
        <w:rPr>
          <w:rFonts w:cs="Times New Roman"/>
        </w:rPr>
        <w:t xml:space="preserve"> </w:t>
      </w:r>
      <w:r w:rsidRPr="00004C4E">
        <w:rPr>
          <w:rFonts w:cs="Times New Roman"/>
        </w:rPr>
        <w:t xml:space="preserve">I/A Court H.R., </w:t>
      </w:r>
      <w:r w:rsidRPr="00004C4E">
        <w:rPr>
          <w:rFonts w:cs="Times New Roman"/>
          <w:i/>
        </w:rPr>
        <w:t>Case of Yatama v. Nicaragua</w:t>
      </w:r>
      <w:r w:rsidRPr="00004C4E">
        <w:rPr>
          <w:rFonts w:cs="Times New Roman"/>
        </w:rPr>
        <w:t>. Preliminary Objections, Merits, Reparations and Costs. Judgment of June 23, 2005. Series C No. 127</w:t>
      </w:r>
      <w:r w:rsidR="00820DC0">
        <w:rPr>
          <w:rFonts w:cs="Times New Roman"/>
        </w:rPr>
        <w:fldChar w:fldCharType="begin"/>
      </w:r>
      <w:r>
        <w:instrText xml:space="preserve"> TA \s "I/A Court H.R., Case of Yatama v. Nicaragua. Preliminary Objections, Merits, Reparations and Costs. Judgment of June 23, 2005. Series C No. 127" </w:instrText>
      </w:r>
      <w:r w:rsidR="00820DC0">
        <w:rPr>
          <w:rFonts w:cs="Times New Roman"/>
        </w:rPr>
        <w:fldChar w:fldCharType="end"/>
      </w:r>
      <w:r>
        <w:rPr>
          <w:rFonts w:cs="Times New Roman"/>
        </w:rPr>
        <w:t xml:space="preserve">, </w:t>
      </w:r>
      <w:r w:rsidRPr="00777B78">
        <w:rPr>
          <w:rFonts w:cs="Times New Roman"/>
        </w:rPr>
        <w:t>para</w:t>
      </w:r>
      <w:r>
        <w:rPr>
          <w:rFonts w:cs="Times New Roman"/>
        </w:rPr>
        <w:t>s 185 and</w:t>
      </w:r>
      <w:r w:rsidRPr="00777B78">
        <w:rPr>
          <w:rFonts w:cs="Times New Roman"/>
        </w:rPr>
        <w:t xml:space="preserve"> 206</w:t>
      </w:r>
    </w:p>
  </w:footnote>
  <w:footnote w:id="76">
    <w:p w:rsidR="00156D87" w:rsidRPr="005B0B4C" w:rsidRDefault="00156D87" w:rsidP="00754B17">
      <w:pPr>
        <w:pStyle w:val="FootnoteText"/>
        <w:jc w:val="both"/>
        <w:rPr>
          <w:rFonts w:cs="Times New Roman"/>
        </w:rPr>
      </w:pPr>
      <w:r w:rsidRPr="005B0B4C">
        <w:rPr>
          <w:rStyle w:val="FootnoteReference"/>
          <w:rFonts w:cs="Times New Roman"/>
        </w:rPr>
        <w:footnoteRef/>
      </w:r>
      <w:r w:rsidRPr="005B0B4C">
        <w:rPr>
          <w:rFonts w:cs="Times New Roman"/>
        </w:rPr>
        <w:t xml:space="preserve"> </w:t>
      </w:r>
      <w:r w:rsidRPr="00004C4E">
        <w:rPr>
          <w:rFonts w:cs="Times New Roman"/>
        </w:rPr>
        <w:t>I/A Court H.R</w:t>
      </w:r>
      <w:r>
        <w:rPr>
          <w:rFonts w:cs="Times New Roman"/>
        </w:rPr>
        <w:t xml:space="preserve">, </w:t>
      </w:r>
      <w:r w:rsidRPr="00004C4E">
        <w:rPr>
          <w:rFonts w:cs="Times New Roman"/>
        </w:rPr>
        <w:t xml:space="preserve"> </w:t>
      </w:r>
      <w:r w:rsidRPr="00450100">
        <w:rPr>
          <w:rFonts w:cs="Times New Roman"/>
          <w:i/>
        </w:rPr>
        <w:t>Proposed Amendments to the Naturalization Provisions of the Constitution of Costa Rica</w:t>
      </w:r>
      <w:r w:rsidRPr="005B0B4C">
        <w:rPr>
          <w:rFonts w:cs="Times New Roman"/>
        </w:rPr>
        <w:t xml:space="preserve">, </w:t>
      </w:r>
      <w:r w:rsidRPr="004B1B03">
        <w:rPr>
          <w:rFonts w:cs="Times New Roman"/>
          <w:i/>
        </w:rPr>
        <w:t xml:space="preserve">supra </w:t>
      </w:r>
      <w:r>
        <w:rPr>
          <w:rFonts w:cs="Times New Roman"/>
        </w:rPr>
        <w:t>note 63</w:t>
      </w:r>
      <w:r w:rsidR="00820DC0">
        <w:rPr>
          <w:rFonts w:cs="Times New Roman"/>
        </w:rPr>
        <w:fldChar w:fldCharType="begin"/>
      </w:r>
      <w:r>
        <w:instrText xml:space="preserve"> TA \s "I/A Court H.R., Proposed Amendments of the Naturalization Provisions of the Constitution of Costa Rica. Advisory Opinion OC-4/84 of January 19, 1984. Series A No. 4," </w:instrText>
      </w:r>
      <w:r w:rsidR="00820DC0">
        <w:rPr>
          <w:rFonts w:cs="Times New Roman"/>
        </w:rPr>
        <w:fldChar w:fldCharType="end"/>
      </w:r>
      <w:r>
        <w:rPr>
          <w:rFonts w:cs="Times New Roman"/>
        </w:rPr>
        <w:t xml:space="preserve">, para. 57. </w:t>
      </w:r>
      <w:r w:rsidRPr="004B1B03">
        <w:rPr>
          <w:rFonts w:cs="Times New Roman"/>
        </w:rPr>
        <w:t>I/A Court H.R</w:t>
      </w:r>
      <w:r>
        <w:rPr>
          <w:rFonts w:cs="Times New Roman"/>
        </w:rPr>
        <w:t>,</w:t>
      </w:r>
      <w:r w:rsidRPr="004B1B03">
        <w:rPr>
          <w:rFonts w:cs="Times New Roman"/>
        </w:rPr>
        <w:t xml:space="preserve"> </w:t>
      </w:r>
      <w:r w:rsidRPr="004B1B03">
        <w:rPr>
          <w:rFonts w:cs="Times New Roman"/>
          <w:i/>
        </w:rPr>
        <w:t>Juridical Condition and Rights of the Undocumented Migrants</w:t>
      </w:r>
      <w:r w:rsidRPr="005B0B4C">
        <w:rPr>
          <w:rFonts w:cs="Times New Roman"/>
        </w:rPr>
        <w:t>,</w:t>
      </w:r>
      <w:r>
        <w:rPr>
          <w:rFonts w:cs="Times New Roman"/>
        </w:rPr>
        <w:t xml:space="preserve"> </w:t>
      </w:r>
      <w:r w:rsidRPr="004B1B03">
        <w:rPr>
          <w:rFonts w:cs="Times New Roman"/>
          <w:i/>
        </w:rPr>
        <w:t xml:space="preserve">supra </w:t>
      </w:r>
      <w:r>
        <w:rPr>
          <w:rFonts w:cs="Times New Roman"/>
        </w:rPr>
        <w:t>note 62</w:t>
      </w:r>
      <w:r w:rsidR="00820DC0">
        <w:rPr>
          <w:rFonts w:cs="Times New Roman"/>
        </w:rPr>
        <w:fldChar w:fldCharType="begin"/>
      </w:r>
      <w:r>
        <w:instrText xml:space="preserve"> TA \s "I/A Court H.R., Juridical Condition and Rights of Undocumented Migrants. Advisory Opinion OC-18 of September 17, 2003. Series A No. 18" </w:instrText>
      </w:r>
      <w:r w:rsidR="00820DC0">
        <w:rPr>
          <w:rFonts w:cs="Times New Roman"/>
        </w:rPr>
        <w:fldChar w:fldCharType="end"/>
      </w:r>
      <w:r>
        <w:rPr>
          <w:rFonts w:cs="Times New Roman"/>
        </w:rPr>
        <w:t>,</w:t>
      </w:r>
      <w:r w:rsidRPr="005B0B4C">
        <w:rPr>
          <w:rFonts w:cs="Times New Roman"/>
        </w:rPr>
        <w:t xml:space="preserve"> para. 91</w:t>
      </w:r>
    </w:p>
  </w:footnote>
  <w:footnote w:id="77">
    <w:p w:rsidR="00156D87" w:rsidRPr="005B0B4C" w:rsidRDefault="00156D87" w:rsidP="00754B17">
      <w:pPr>
        <w:pStyle w:val="FootnoteText"/>
        <w:jc w:val="both"/>
        <w:rPr>
          <w:rFonts w:cs="Times New Roman"/>
        </w:rPr>
      </w:pPr>
      <w:r w:rsidRPr="005B0B4C">
        <w:rPr>
          <w:rStyle w:val="FootnoteReference"/>
          <w:rFonts w:cs="Times New Roman"/>
        </w:rPr>
        <w:footnoteRef/>
      </w:r>
      <w:r w:rsidRPr="005B0B4C">
        <w:rPr>
          <w:rFonts w:cs="Times New Roman"/>
        </w:rPr>
        <w:t xml:space="preserve"> IACHR, </w:t>
      </w:r>
      <w:r w:rsidRPr="00450100">
        <w:rPr>
          <w:rFonts w:cs="Times New Roman"/>
          <w:i/>
        </w:rPr>
        <w:t>Access to Justice for Women Victims of Violence in the Americas</w:t>
      </w:r>
      <w:r>
        <w:rPr>
          <w:rFonts w:cs="Times New Roman"/>
        </w:rPr>
        <w:t>, OEA/Ser. L/V/II. doc. 68, January 20, 200</w:t>
      </w:r>
      <w:r w:rsidR="00820DC0">
        <w:rPr>
          <w:rFonts w:cs="Times New Roman"/>
        </w:rPr>
        <w:fldChar w:fldCharType="begin"/>
      </w:r>
      <w:r>
        <w:instrText xml:space="preserve"> TA \l "</w:instrText>
      </w:r>
      <w:r w:rsidRPr="00C363F0">
        <w:rPr>
          <w:rFonts w:cs="Times New Roman"/>
        </w:rPr>
        <w:instrText xml:space="preserve">IACHR, </w:instrText>
      </w:r>
      <w:r w:rsidRPr="00C363F0">
        <w:rPr>
          <w:rFonts w:cs="Times New Roman"/>
          <w:i/>
        </w:rPr>
        <w:instrText>Access to Justice for Women Victims of Violence in the Americas</w:instrText>
      </w:r>
      <w:r w:rsidRPr="00C363F0">
        <w:rPr>
          <w:rFonts w:cs="Times New Roman"/>
        </w:rPr>
        <w:instrText>, OEA/Ser. L/V/II. doc. 68, January 20, 200</w:instrText>
      </w:r>
      <w:r>
        <w:instrText xml:space="preserve">" \s "IACHR, Access to Justice for Women Victims of Violence in the Americas, OEA/Ser. L/V/II. doc. 68, January 20, 200" \c 1 </w:instrText>
      </w:r>
      <w:r w:rsidR="00820DC0">
        <w:rPr>
          <w:rFonts w:cs="Times New Roman"/>
        </w:rPr>
        <w:fldChar w:fldCharType="end"/>
      </w:r>
      <w:r>
        <w:rPr>
          <w:rFonts w:cs="Times New Roman"/>
        </w:rPr>
        <w:t>7,</w:t>
      </w:r>
      <w:r w:rsidRPr="005B0B4C">
        <w:rPr>
          <w:rFonts w:cs="Times New Roman"/>
        </w:rPr>
        <w:t xml:space="preserve"> para 83; IACHR, Report No. 4/01, </w:t>
      </w:r>
      <w:r w:rsidRPr="00B73887">
        <w:rPr>
          <w:rFonts w:cs="Times New Roman"/>
          <w:i/>
        </w:rPr>
        <w:t>Maria Eugenia Morales de Sierra</w:t>
      </w:r>
      <w:r w:rsidRPr="005B0B4C">
        <w:rPr>
          <w:rFonts w:cs="Times New Roman"/>
        </w:rPr>
        <w:t xml:space="preserve"> (Guatemala)</w:t>
      </w:r>
      <w:r>
        <w:rPr>
          <w:rFonts w:cs="Times New Roman"/>
        </w:rPr>
        <w:t>, March 6, 1998</w:t>
      </w:r>
      <w:r w:rsidR="00820DC0">
        <w:rPr>
          <w:rFonts w:cs="Times New Roman"/>
        </w:rPr>
        <w:fldChar w:fldCharType="begin"/>
      </w:r>
      <w:r>
        <w:instrText xml:space="preserve"> TA \l "</w:instrText>
      </w:r>
      <w:r w:rsidRPr="006A5307">
        <w:rPr>
          <w:rFonts w:cs="Times New Roman"/>
        </w:rPr>
        <w:instrText xml:space="preserve">IACHR, Report No. 4/01, </w:instrText>
      </w:r>
      <w:r w:rsidRPr="006A5307">
        <w:rPr>
          <w:rFonts w:cs="Times New Roman"/>
          <w:i/>
        </w:rPr>
        <w:instrText>Maria Eugenia Morales de Sierra</w:instrText>
      </w:r>
      <w:r w:rsidRPr="006A5307">
        <w:rPr>
          <w:rFonts w:cs="Times New Roman"/>
        </w:rPr>
        <w:instrText xml:space="preserve"> (Guatemala), March 6, 1998</w:instrText>
      </w:r>
      <w:r>
        <w:instrText xml:space="preserve">" \s "IACHR, Report No. 4/01, Maria Eugenia Morales de Sierra (Guatemala), March 6, 1998" \c 1 </w:instrText>
      </w:r>
      <w:r w:rsidR="00820DC0">
        <w:rPr>
          <w:rFonts w:cs="Times New Roman"/>
        </w:rPr>
        <w:fldChar w:fldCharType="end"/>
      </w:r>
      <w:r>
        <w:rPr>
          <w:rFonts w:cs="Times New Roman"/>
        </w:rPr>
        <w:t>,</w:t>
      </w:r>
      <w:r w:rsidRPr="005B0B4C">
        <w:rPr>
          <w:rFonts w:cs="Times New Roman"/>
        </w:rPr>
        <w:t xml:space="preserve"> para 36</w:t>
      </w:r>
    </w:p>
  </w:footnote>
  <w:footnote w:id="78">
    <w:p w:rsidR="00156D87" w:rsidRPr="005B0B4C" w:rsidRDefault="00156D87" w:rsidP="00754B17">
      <w:pPr>
        <w:pStyle w:val="FootnoteText"/>
        <w:jc w:val="both"/>
        <w:rPr>
          <w:rFonts w:cs="Times New Roman"/>
        </w:rPr>
      </w:pPr>
      <w:r w:rsidRPr="005B0B4C">
        <w:rPr>
          <w:rStyle w:val="FootnoteReference"/>
          <w:rFonts w:cs="Times New Roman"/>
        </w:rPr>
        <w:footnoteRef/>
      </w:r>
      <w:r w:rsidRPr="005B0B4C">
        <w:rPr>
          <w:rFonts w:cs="Times New Roman"/>
        </w:rPr>
        <w:t xml:space="preserve"> IACHR, </w:t>
      </w:r>
      <w:r w:rsidRPr="00450100">
        <w:rPr>
          <w:rFonts w:cs="Times New Roman"/>
          <w:i/>
        </w:rPr>
        <w:t>Report on Terrorism and Human Rights</w:t>
      </w:r>
      <w:r w:rsidRPr="005B0B4C">
        <w:rPr>
          <w:rFonts w:cs="Times New Roman"/>
        </w:rPr>
        <w:t>, OEA/Ser.L/V/ll.116 Doc. 5 rev. 1 co</w:t>
      </w:r>
      <w:r>
        <w:rPr>
          <w:rFonts w:cs="Times New Roman"/>
        </w:rPr>
        <w:t>rr, October 22, 2002</w:t>
      </w:r>
      <w:r w:rsidR="00820DC0">
        <w:rPr>
          <w:rFonts w:cs="Times New Roman"/>
        </w:rPr>
        <w:fldChar w:fldCharType="begin"/>
      </w:r>
      <w:r>
        <w:instrText xml:space="preserve"> TA \l "</w:instrText>
      </w:r>
      <w:r w:rsidRPr="00540FB9">
        <w:rPr>
          <w:rFonts w:cs="Times New Roman"/>
        </w:rPr>
        <w:instrText xml:space="preserve">IACHR, </w:instrText>
      </w:r>
      <w:r w:rsidRPr="00540FB9">
        <w:rPr>
          <w:rFonts w:cs="Times New Roman"/>
          <w:i/>
        </w:rPr>
        <w:instrText>Report on Terrorism and Human Rights</w:instrText>
      </w:r>
      <w:r w:rsidRPr="00540FB9">
        <w:rPr>
          <w:rFonts w:cs="Times New Roman"/>
        </w:rPr>
        <w:instrText>, OEA/Ser.L/V/ll.116 Doc. 5 rev. 1 corr, October 22, 2002</w:instrText>
      </w:r>
      <w:r>
        <w:instrText xml:space="preserve">" \s "IACHR, Report on Terrorism and Human Rights, OEA/Ser.L/V/ll.116 Doc. 5 rev. 1 corr, October 22, 2002" \c 1 </w:instrText>
      </w:r>
      <w:r w:rsidR="00820DC0">
        <w:rPr>
          <w:rFonts w:cs="Times New Roman"/>
        </w:rPr>
        <w:fldChar w:fldCharType="end"/>
      </w:r>
      <w:r>
        <w:rPr>
          <w:rFonts w:cs="Times New Roman"/>
        </w:rPr>
        <w:t>, para. 338</w:t>
      </w:r>
    </w:p>
  </w:footnote>
  <w:footnote w:id="79">
    <w:p w:rsidR="00156D87" w:rsidRPr="005B0B4C" w:rsidRDefault="00156D87" w:rsidP="00754B17">
      <w:pPr>
        <w:pStyle w:val="FootnoteText"/>
        <w:jc w:val="both"/>
        <w:rPr>
          <w:rFonts w:cs="Times New Roman"/>
        </w:rPr>
      </w:pPr>
      <w:r w:rsidRPr="005B0B4C">
        <w:rPr>
          <w:rStyle w:val="FootnoteReference"/>
          <w:rFonts w:cs="Times New Roman"/>
        </w:rPr>
        <w:footnoteRef/>
      </w:r>
      <w:r w:rsidRPr="005B0B4C">
        <w:rPr>
          <w:rFonts w:cs="Times New Roman"/>
        </w:rPr>
        <w:t xml:space="preserve"> </w:t>
      </w:r>
      <w:r>
        <w:rPr>
          <w:rFonts w:cs="Times New Roman"/>
        </w:rPr>
        <w:t xml:space="preserve">ECtHR, </w:t>
      </w:r>
      <w:r w:rsidRPr="00450100">
        <w:rPr>
          <w:rFonts w:cs="Times New Roman"/>
          <w:i/>
        </w:rPr>
        <w:t>Schalk and Kopf v Austria</w:t>
      </w:r>
      <w:r>
        <w:rPr>
          <w:rFonts w:cs="Times New Roman"/>
        </w:rPr>
        <w:t xml:space="preserve">, Application No. </w:t>
      </w:r>
      <w:r w:rsidRPr="004B1B03">
        <w:rPr>
          <w:rFonts w:cs="Times New Roman"/>
        </w:rPr>
        <w:t>30141/04</w:t>
      </w:r>
      <w:r>
        <w:rPr>
          <w:rFonts w:cs="Times New Roman"/>
        </w:rPr>
        <w:t>, June 24, 2010</w:t>
      </w:r>
      <w:r w:rsidR="00820DC0">
        <w:rPr>
          <w:rFonts w:cs="Times New Roman"/>
        </w:rPr>
        <w:fldChar w:fldCharType="begin"/>
      </w:r>
      <w:r>
        <w:instrText xml:space="preserve"> TA \l "</w:instrText>
      </w:r>
      <w:r w:rsidRPr="005C6B53">
        <w:rPr>
          <w:rFonts w:cs="Times New Roman"/>
        </w:rPr>
        <w:instrText xml:space="preserve">ECtHR, </w:instrText>
      </w:r>
      <w:r w:rsidRPr="005C6B53">
        <w:rPr>
          <w:rFonts w:cs="Times New Roman"/>
          <w:i/>
        </w:rPr>
        <w:instrText>Schalk and Kopf v Austria</w:instrText>
      </w:r>
      <w:r w:rsidRPr="005C6B53">
        <w:rPr>
          <w:rFonts w:cs="Times New Roman"/>
        </w:rPr>
        <w:instrText>, Application No. 30141/04, June 24, 2010</w:instrText>
      </w:r>
      <w:r>
        <w:instrText xml:space="preserve">" \s "ECtHR, Schalk and Kopf v Austria, Application No. 30141/04, June 24, 2010" \c 1 </w:instrText>
      </w:r>
      <w:r w:rsidR="00820DC0">
        <w:rPr>
          <w:rFonts w:cs="Times New Roman"/>
        </w:rPr>
        <w:fldChar w:fldCharType="end"/>
      </w:r>
      <w:r>
        <w:rPr>
          <w:rFonts w:cs="Times New Roman"/>
        </w:rPr>
        <w:t>,</w:t>
      </w:r>
      <w:r w:rsidRPr="005B0B4C">
        <w:rPr>
          <w:rFonts w:cs="Times New Roman"/>
        </w:rPr>
        <w:t xml:space="preserve"> para 97; </w:t>
      </w:r>
      <w:r>
        <w:rPr>
          <w:rFonts w:cs="Times New Roman"/>
        </w:rPr>
        <w:t xml:space="preserve">ECtHR, </w:t>
      </w:r>
      <w:r w:rsidRPr="004B1B03">
        <w:rPr>
          <w:rFonts w:cs="Times New Roman"/>
          <w:i/>
        </w:rPr>
        <w:t>Karner v Austria</w:t>
      </w:r>
      <w:r>
        <w:rPr>
          <w:rFonts w:cs="Times New Roman"/>
        </w:rPr>
        <w:t xml:space="preserve">, Application No. </w:t>
      </w:r>
      <w:r w:rsidRPr="004B1B03">
        <w:rPr>
          <w:rFonts w:cs="Times New Roman"/>
        </w:rPr>
        <w:t>40016/98</w:t>
      </w:r>
      <w:r>
        <w:rPr>
          <w:rFonts w:cs="Times New Roman"/>
        </w:rPr>
        <w:t>, July 24, 2003</w:t>
      </w:r>
      <w:r w:rsidR="00820DC0">
        <w:rPr>
          <w:rFonts w:cs="Times New Roman"/>
        </w:rPr>
        <w:fldChar w:fldCharType="begin"/>
      </w:r>
      <w:r>
        <w:instrText xml:space="preserve"> TA \l "</w:instrText>
      </w:r>
      <w:r w:rsidRPr="006962DE">
        <w:rPr>
          <w:rFonts w:cs="Times New Roman"/>
        </w:rPr>
        <w:instrText xml:space="preserve">ECtHR, </w:instrText>
      </w:r>
      <w:r w:rsidRPr="006962DE">
        <w:rPr>
          <w:rFonts w:cs="Times New Roman"/>
          <w:i/>
        </w:rPr>
        <w:instrText>Karner v Austria</w:instrText>
      </w:r>
      <w:r w:rsidRPr="006962DE">
        <w:rPr>
          <w:rFonts w:cs="Times New Roman"/>
        </w:rPr>
        <w:instrText>, Application No. 40016/98, July 24, 2003</w:instrText>
      </w:r>
      <w:r>
        <w:instrText xml:space="preserve">" \s "ECtHR, Karner v Austria, Application No. 40016/98, July 24, 2003" \c 1 </w:instrText>
      </w:r>
      <w:r w:rsidR="00820DC0">
        <w:rPr>
          <w:rFonts w:cs="Times New Roman"/>
        </w:rPr>
        <w:fldChar w:fldCharType="end"/>
      </w:r>
      <w:r>
        <w:rPr>
          <w:rFonts w:cs="Times New Roman"/>
        </w:rPr>
        <w:t>,</w:t>
      </w:r>
      <w:r w:rsidRPr="005B0B4C">
        <w:rPr>
          <w:rFonts w:cs="Times New Roman"/>
        </w:rPr>
        <w:t xml:space="preserve"> para 37</w:t>
      </w:r>
    </w:p>
  </w:footnote>
  <w:footnote w:id="80">
    <w:p w:rsidR="00156D87" w:rsidRPr="005B0B4C" w:rsidRDefault="00156D87" w:rsidP="00754B17">
      <w:pPr>
        <w:pStyle w:val="FootnoteText"/>
        <w:jc w:val="both"/>
        <w:rPr>
          <w:rFonts w:cs="Times New Roman"/>
        </w:rPr>
      </w:pPr>
      <w:r w:rsidRPr="005B0B4C">
        <w:rPr>
          <w:rStyle w:val="FootnoteReference"/>
          <w:rFonts w:cs="Times New Roman"/>
        </w:rPr>
        <w:footnoteRef/>
      </w:r>
      <w:r w:rsidRPr="005B0B4C">
        <w:rPr>
          <w:rFonts w:cs="Times New Roman"/>
        </w:rPr>
        <w:t xml:space="preserve"> Lucas</w:t>
      </w:r>
      <w:r>
        <w:rPr>
          <w:rFonts w:cs="Times New Roman"/>
        </w:rPr>
        <w:t xml:space="preserve"> Lixinski</w:t>
      </w:r>
      <w:r w:rsidRPr="005B0B4C">
        <w:rPr>
          <w:rFonts w:cs="Times New Roman"/>
        </w:rPr>
        <w:t xml:space="preserve">. </w:t>
      </w:r>
      <w:r w:rsidRPr="00450100">
        <w:rPr>
          <w:rFonts w:cs="Times New Roman"/>
          <w:i/>
        </w:rPr>
        <w:t>Treaty Interpretation by the Inter-American Court of Human Rights: Expansionism at the Service of the Unity of International Law</w:t>
      </w:r>
      <w:r w:rsidRPr="005B0B4C">
        <w:rPr>
          <w:rFonts w:cs="Times New Roman"/>
        </w:rPr>
        <w:t>,</w:t>
      </w:r>
      <w:r>
        <w:rPr>
          <w:rFonts w:cs="Times New Roman"/>
        </w:rPr>
        <w:t xml:space="preserve"> European Journal of International Law </w:t>
      </w:r>
      <w:r w:rsidRPr="001B41BC">
        <w:rPr>
          <w:rFonts w:cs="Times New Roman"/>
        </w:rPr>
        <w:t>EJIL 21 (2010), 585–604</w:t>
      </w:r>
      <w:r w:rsidR="00820DC0">
        <w:rPr>
          <w:rFonts w:cs="Times New Roman"/>
        </w:rPr>
        <w:fldChar w:fldCharType="begin"/>
      </w:r>
      <w:r>
        <w:instrText xml:space="preserve"> TA \l "</w:instrText>
      </w:r>
      <w:r w:rsidRPr="00957CDC">
        <w:rPr>
          <w:rFonts w:cs="Times New Roman"/>
        </w:rPr>
        <w:instrText xml:space="preserve">Lucas Lixinski. </w:instrText>
      </w:r>
      <w:r w:rsidRPr="00957CDC">
        <w:rPr>
          <w:rFonts w:cs="Times New Roman"/>
          <w:i/>
        </w:rPr>
        <w:instrText>Treaty Interpretation by the Inter-American Court of Human Rights: Expansionism at the Service of the Unity of International Law</w:instrText>
      </w:r>
      <w:r w:rsidRPr="00957CDC">
        <w:rPr>
          <w:rFonts w:cs="Times New Roman"/>
        </w:rPr>
        <w:instrText>, European Journal of International Law EJIL 21 (2010), 585–604</w:instrText>
      </w:r>
      <w:r>
        <w:instrText xml:space="preserve">" \s "Lucas Lixinski. Treaty Interpretation by the Inter-American Court of Human Rights: Expansionism at the Service of the Unity of International Law, European Journal of International Law EJIL 21 (2010), 585–604" \c 2 </w:instrText>
      </w:r>
      <w:r w:rsidR="00820DC0">
        <w:rPr>
          <w:rFonts w:cs="Times New Roman"/>
        </w:rPr>
        <w:fldChar w:fldCharType="end"/>
      </w:r>
      <w:r w:rsidRPr="005B0B4C">
        <w:rPr>
          <w:rFonts w:cs="Times New Roman"/>
        </w:rPr>
        <w:t xml:space="preserve"> p. 4; </w:t>
      </w:r>
      <w:r w:rsidRPr="00B73887">
        <w:rPr>
          <w:rFonts w:cs="Times New Roman"/>
        </w:rPr>
        <w:t>Jo M Pasqualucci. The Practice and Procedure of the Inter-American Court of Human Rights.</w:t>
      </w:r>
      <w:r w:rsidR="00820DC0">
        <w:rPr>
          <w:rFonts w:cs="Times New Roman"/>
        </w:rPr>
        <w:fldChar w:fldCharType="begin"/>
      </w:r>
      <w:r>
        <w:instrText xml:space="preserve"> TA \s "Jo M Pasqualucci. The Practice and Procedure of the Inter-American Court of Human Rights. Cambridge; Cambridge University Press 2012" </w:instrText>
      </w:r>
      <w:r w:rsidR="00820DC0">
        <w:rPr>
          <w:rFonts w:cs="Times New Roman"/>
        </w:rPr>
        <w:fldChar w:fldCharType="end"/>
      </w:r>
      <w:r w:rsidRPr="00B73887">
        <w:t xml:space="preserve"> </w:t>
      </w:r>
      <w:r w:rsidRPr="00B73887">
        <w:rPr>
          <w:rFonts w:cs="Times New Roman"/>
          <w:i/>
        </w:rPr>
        <w:t>supra</w:t>
      </w:r>
      <w:r w:rsidRPr="00B73887">
        <w:rPr>
          <w:rFonts w:cs="Times New Roman"/>
        </w:rPr>
        <w:t xml:space="preserve"> note 52, p. 13 </w:t>
      </w:r>
    </w:p>
  </w:footnote>
  <w:footnote w:id="81">
    <w:p w:rsidR="00156D87" w:rsidRPr="005A4694" w:rsidRDefault="00156D87" w:rsidP="00754B17">
      <w:pPr>
        <w:pStyle w:val="FootnoteText"/>
        <w:jc w:val="both"/>
        <w:rPr>
          <w:rFonts w:cs="Times New Roman"/>
        </w:rPr>
      </w:pPr>
      <w:r w:rsidRPr="005A4694">
        <w:rPr>
          <w:rStyle w:val="FootnoteReference"/>
          <w:rFonts w:cs="Times New Roman"/>
        </w:rPr>
        <w:footnoteRef/>
      </w:r>
      <w:r w:rsidRPr="005A4694">
        <w:rPr>
          <w:rFonts w:cs="Times New Roman"/>
        </w:rPr>
        <w:t xml:space="preserve"> Hypothetical, para 13</w:t>
      </w:r>
    </w:p>
  </w:footnote>
  <w:footnote w:id="82">
    <w:p w:rsidR="00156D87" w:rsidRPr="005A4694" w:rsidRDefault="00156D87" w:rsidP="00754B17">
      <w:pPr>
        <w:pStyle w:val="FootnoteText"/>
        <w:jc w:val="both"/>
        <w:rPr>
          <w:rFonts w:cs="Times New Roman"/>
        </w:rPr>
      </w:pPr>
      <w:r w:rsidRPr="005A4694">
        <w:rPr>
          <w:rStyle w:val="FootnoteReference"/>
          <w:rFonts w:cs="Times New Roman"/>
        </w:rPr>
        <w:footnoteRef/>
      </w:r>
      <w:r w:rsidRPr="005A4694">
        <w:rPr>
          <w:rFonts w:cs="Times New Roman"/>
        </w:rPr>
        <w:t xml:space="preserve"> </w:t>
      </w:r>
      <w:r w:rsidRPr="00004C4E">
        <w:rPr>
          <w:rFonts w:cs="Times New Roman"/>
        </w:rPr>
        <w:t>I/A Court H.R</w:t>
      </w:r>
      <w:r>
        <w:rPr>
          <w:rFonts w:cs="Times New Roman"/>
        </w:rPr>
        <w:t>,</w:t>
      </w:r>
      <w:r w:rsidRPr="00004C4E">
        <w:rPr>
          <w:rFonts w:cs="Times New Roman"/>
        </w:rPr>
        <w:t xml:space="preserve"> </w:t>
      </w:r>
      <w:r w:rsidRPr="00004C4E">
        <w:rPr>
          <w:rFonts w:cs="Times New Roman"/>
          <w:i/>
        </w:rPr>
        <w:t>Case of Atala Riffo</w:t>
      </w:r>
      <w:r w:rsidR="00820DC0">
        <w:rPr>
          <w:rFonts w:cs="Times New Roman"/>
          <w:i/>
        </w:rPr>
        <w:fldChar w:fldCharType="begin"/>
      </w:r>
      <w:r>
        <w:instrText xml:space="preserve"> TA \s "/A Court H.R., Case of Atala Riffo and daughters v. Chile. Merits, Reparations and Costs. Judgment of February 24, 2012 Series C No. 239" </w:instrText>
      </w:r>
      <w:r w:rsidR="00820DC0">
        <w:rPr>
          <w:rFonts w:cs="Times New Roman"/>
          <w:i/>
        </w:rPr>
        <w:fldChar w:fldCharType="end"/>
      </w:r>
      <w:r>
        <w:rPr>
          <w:rFonts w:cs="Times New Roman"/>
          <w:i/>
        </w:rPr>
        <w:t>,</w:t>
      </w:r>
      <w:r w:rsidRPr="00854468">
        <w:rPr>
          <w:rFonts w:cs="Times New Roman"/>
        </w:rPr>
        <w:t xml:space="preserve"> </w:t>
      </w:r>
      <w:r w:rsidRPr="00004C4E">
        <w:rPr>
          <w:rFonts w:cs="Times New Roman"/>
          <w:i/>
        </w:rPr>
        <w:t>supra</w:t>
      </w:r>
      <w:r>
        <w:rPr>
          <w:rFonts w:cs="Times New Roman"/>
        </w:rPr>
        <w:t xml:space="preserve"> note 62, p</w:t>
      </w:r>
      <w:r w:rsidRPr="005A4694">
        <w:rPr>
          <w:rFonts w:cs="Times New Roman"/>
        </w:rPr>
        <w:t>ara 174</w:t>
      </w:r>
    </w:p>
  </w:footnote>
  <w:footnote w:id="83">
    <w:p w:rsidR="00156D87" w:rsidRPr="005A4694" w:rsidRDefault="00156D87" w:rsidP="00754B17">
      <w:pPr>
        <w:pStyle w:val="FootnoteText"/>
        <w:jc w:val="both"/>
        <w:rPr>
          <w:rFonts w:cs="Times New Roman"/>
        </w:rPr>
      </w:pPr>
      <w:r w:rsidRPr="005A4694">
        <w:rPr>
          <w:rStyle w:val="FootnoteReference"/>
          <w:rFonts w:cs="Times New Roman"/>
        </w:rPr>
        <w:footnoteRef/>
      </w:r>
      <w:r w:rsidRPr="005A4694">
        <w:rPr>
          <w:rFonts w:cs="Times New Roman"/>
        </w:rPr>
        <w:t xml:space="preserve"> </w:t>
      </w:r>
      <w:r>
        <w:rPr>
          <w:rFonts w:cs="Times New Roman"/>
        </w:rPr>
        <w:t xml:space="preserve">ECtHR, </w:t>
      </w:r>
      <w:r w:rsidRPr="00450100">
        <w:rPr>
          <w:rFonts w:cs="Times New Roman"/>
          <w:i/>
        </w:rPr>
        <w:t>Schalk and Kopf v Austria</w:t>
      </w:r>
      <w:r>
        <w:rPr>
          <w:rFonts w:cs="Times New Roman"/>
        </w:rPr>
        <w:t>, supra note 79</w:t>
      </w:r>
      <w:r w:rsidR="00820DC0">
        <w:rPr>
          <w:rFonts w:cs="Times New Roman"/>
        </w:rPr>
        <w:fldChar w:fldCharType="begin"/>
      </w:r>
      <w:r>
        <w:instrText xml:space="preserve"> TA \s "ECtHR, Schalk and Kopf v Austria, Application No. 30141/04, June 24, 2010" </w:instrText>
      </w:r>
      <w:r w:rsidR="00820DC0">
        <w:rPr>
          <w:rFonts w:cs="Times New Roman"/>
        </w:rPr>
        <w:fldChar w:fldCharType="end"/>
      </w:r>
      <w:r>
        <w:rPr>
          <w:rFonts w:cs="Times New Roman"/>
        </w:rPr>
        <w:t>, para 94; ECtHR,</w:t>
      </w:r>
      <w:r>
        <w:rPr>
          <w:rFonts w:cs="Times New Roman"/>
          <w:i/>
        </w:rPr>
        <w:t xml:space="preserve"> </w:t>
      </w:r>
      <w:r w:rsidRPr="005A4694">
        <w:rPr>
          <w:rFonts w:cs="Times New Roman"/>
          <w:i/>
        </w:rPr>
        <w:t>X, Y, and Z v United Kingdom</w:t>
      </w:r>
      <w:r>
        <w:rPr>
          <w:rFonts w:cs="Times New Roman"/>
        </w:rPr>
        <w:t>, Application No.</w:t>
      </w:r>
      <w:r w:rsidRPr="004B1B03">
        <w:t xml:space="preserve"> </w:t>
      </w:r>
      <w:r w:rsidRPr="004B1B03">
        <w:rPr>
          <w:rFonts w:cs="Times New Roman"/>
        </w:rPr>
        <w:t>21830/93</w:t>
      </w:r>
      <w:r>
        <w:rPr>
          <w:rFonts w:cs="Times New Roman"/>
        </w:rPr>
        <w:t>, April 22, 1997</w:t>
      </w:r>
      <w:r w:rsidR="00820DC0">
        <w:rPr>
          <w:rFonts w:cs="Times New Roman"/>
        </w:rPr>
        <w:fldChar w:fldCharType="begin"/>
      </w:r>
      <w:r>
        <w:instrText xml:space="preserve"> TA \l "</w:instrText>
      </w:r>
      <w:r w:rsidRPr="008B1E5E">
        <w:rPr>
          <w:rFonts w:cs="Times New Roman"/>
        </w:rPr>
        <w:instrText>ECtHR,</w:instrText>
      </w:r>
      <w:r w:rsidRPr="008B1E5E">
        <w:rPr>
          <w:rFonts w:cs="Times New Roman"/>
          <w:i/>
        </w:rPr>
        <w:instrText xml:space="preserve"> X, Y, and Z v United Kingdom</w:instrText>
      </w:r>
      <w:r w:rsidRPr="008B1E5E">
        <w:rPr>
          <w:rFonts w:cs="Times New Roman"/>
        </w:rPr>
        <w:instrText>, Application No.</w:instrText>
      </w:r>
      <w:r w:rsidRPr="008B1E5E">
        <w:instrText xml:space="preserve"> </w:instrText>
      </w:r>
      <w:r w:rsidRPr="008B1E5E">
        <w:rPr>
          <w:rFonts w:cs="Times New Roman"/>
        </w:rPr>
        <w:instrText>21830/93, April 22, 1997</w:instrText>
      </w:r>
      <w:r>
        <w:instrText xml:space="preserve">" \s "ECtHR, X, Y, and Z v United Kingdom, Application No. 21830/93, April 22, 1997" \c 1 </w:instrText>
      </w:r>
      <w:r w:rsidR="00820DC0">
        <w:rPr>
          <w:rFonts w:cs="Times New Roman"/>
        </w:rPr>
        <w:fldChar w:fldCharType="end"/>
      </w:r>
      <w:r>
        <w:rPr>
          <w:rFonts w:cs="Times New Roman"/>
        </w:rPr>
        <w:t xml:space="preserve">, </w:t>
      </w:r>
      <w:r w:rsidRPr="005A4694">
        <w:rPr>
          <w:rFonts w:cs="Times New Roman"/>
        </w:rPr>
        <w:t>para 36</w:t>
      </w:r>
    </w:p>
  </w:footnote>
  <w:footnote w:id="84">
    <w:p w:rsidR="00156D87" w:rsidRPr="004B1B03" w:rsidRDefault="00156D87" w:rsidP="00754B17">
      <w:pPr>
        <w:pStyle w:val="FootnoteText"/>
        <w:jc w:val="both"/>
      </w:pPr>
      <w:r w:rsidRPr="005A4694">
        <w:rPr>
          <w:rStyle w:val="FootnoteReference"/>
          <w:rFonts w:cs="Times New Roman"/>
        </w:rPr>
        <w:footnoteRef/>
      </w:r>
      <w:r w:rsidRPr="005A4694">
        <w:rPr>
          <w:rFonts w:cs="Times New Roman"/>
        </w:rPr>
        <w:t xml:space="preserve"> </w:t>
      </w:r>
      <w:r w:rsidRPr="004B1B03">
        <w:rPr>
          <w:rFonts w:cs="Times New Roman"/>
        </w:rPr>
        <w:t xml:space="preserve">I/A Court H.R., </w:t>
      </w:r>
      <w:r w:rsidRPr="004B1B03">
        <w:rPr>
          <w:rFonts w:cs="Times New Roman"/>
          <w:i/>
        </w:rPr>
        <w:t>Case of Artavia Murillo et al ("In vitro fertilization") v. Costa Rica</w:t>
      </w:r>
      <w:r w:rsidRPr="004B1B03">
        <w:rPr>
          <w:rFonts w:cs="Times New Roman"/>
        </w:rPr>
        <w:t>. Preliminary Objections, Merits, Reparations and Costs. Judgment of November 28, 2012. Series C No. 257</w:t>
      </w:r>
      <w:r w:rsidR="00820DC0">
        <w:rPr>
          <w:rFonts w:cs="Times New Roman"/>
        </w:rPr>
        <w:fldChar w:fldCharType="begin"/>
      </w:r>
      <w:r>
        <w:instrText xml:space="preserve"> TA \l "</w:instrText>
      </w:r>
      <w:r w:rsidRPr="0081222D">
        <w:rPr>
          <w:rFonts w:cs="Times New Roman"/>
        </w:rPr>
        <w:instrText xml:space="preserve">I/A Court H.R., </w:instrText>
      </w:r>
      <w:r w:rsidRPr="0081222D">
        <w:rPr>
          <w:rFonts w:cs="Times New Roman"/>
          <w:i/>
        </w:rPr>
        <w:instrText>Case of Artavia Murillo et al (</w:instrText>
      </w:r>
      <w:r>
        <w:instrText>\</w:instrText>
      </w:r>
      <w:r w:rsidRPr="0081222D">
        <w:rPr>
          <w:rFonts w:cs="Times New Roman"/>
          <w:i/>
        </w:rPr>
        <w:instrText>"In vitro fertilization</w:instrText>
      </w:r>
      <w:r>
        <w:instrText>\</w:instrText>
      </w:r>
      <w:r w:rsidRPr="0081222D">
        <w:rPr>
          <w:rFonts w:cs="Times New Roman"/>
          <w:i/>
        </w:rPr>
        <w:instrText>") v. Costa Rica</w:instrText>
      </w:r>
      <w:r w:rsidRPr="0081222D">
        <w:rPr>
          <w:rFonts w:cs="Times New Roman"/>
        </w:rPr>
        <w:instrText>. Preliminary Objections, Merits, Reparations and Costs. Judgment of November 28, 2012. Series C No. 257</w:instrText>
      </w:r>
      <w:r>
        <w:instrText xml:space="preserve">" \s "I/A Court H.R., Case of Artavia Murillo et al (\"In vitro fertilization\") v. Costa Rica. Preliminary Objections, Merits, Reparations and Costs. Judgment of November 28, 2012. Series C No. 257" \c 1 </w:instrText>
      </w:r>
      <w:r w:rsidR="00820DC0">
        <w:rPr>
          <w:rFonts w:cs="Times New Roman"/>
        </w:rPr>
        <w:fldChar w:fldCharType="end"/>
      </w:r>
    </w:p>
  </w:footnote>
  <w:footnote w:id="85">
    <w:p w:rsidR="00156D87" w:rsidRPr="00813B79" w:rsidRDefault="00156D87" w:rsidP="006D67E6">
      <w:pPr>
        <w:pStyle w:val="FootnoteText"/>
        <w:rPr>
          <w:rFonts w:cs="Times New Roman"/>
        </w:rPr>
      </w:pPr>
      <w:r w:rsidRPr="00813B79">
        <w:rPr>
          <w:rStyle w:val="FootnoteReference"/>
          <w:rFonts w:cs="Times New Roman"/>
        </w:rPr>
        <w:footnoteRef/>
      </w:r>
      <w:r w:rsidRPr="00813B79">
        <w:rPr>
          <w:rFonts w:cs="Times New Roman"/>
        </w:rPr>
        <w:t xml:space="preserve"> </w:t>
      </w:r>
      <w:r w:rsidRPr="00004C4E">
        <w:rPr>
          <w:rFonts w:cs="Times New Roman"/>
        </w:rPr>
        <w:t>I/A Court H.R</w:t>
      </w:r>
      <w:r>
        <w:rPr>
          <w:rFonts w:cs="Times New Roman"/>
        </w:rPr>
        <w:t xml:space="preserve">, </w:t>
      </w:r>
      <w:r w:rsidRPr="00450100">
        <w:rPr>
          <w:rFonts w:cs="Times New Roman"/>
          <w:i/>
        </w:rPr>
        <w:t>Proposed Amendments to the Naturalization Provisions of the Constitution of Costa Rica</w:t>
      </w:r>
      <w:r w:rsidRPr="005B0B4C">
        <w:rPr>
          <w:rFonts w:cs="Times New Roman"/>
        </w:rPr>
        <w:t xml:space="preserve">, </w:t>
      </w:r>
      <w:r w:rsidRPr="004B1B03">
        <w:rPr>
          <w:rFonts w:cs="Times New Roman"/>
          <w:i/>
        </w:rPr>
        <w:t xml:space="preserve">supra </w:t>
      </w:r>
      <w:r>
        <w:rPr>
          <w:rFonts w:cs="Times New Roman"/>
        </w:rPr>
        <w:t xml:space="preserve">note 63, </w:t>
      </w:r>
      <w:r w:rsidRPr="00813B79">
        <w:rPr>
          <w:rFonts w:cs="Times New Roman"/>
        </w:rPr>
        <w:t>para 55</w:t>
      </w:r>
    </w:p>
  </w:footnote>
  <w:footnote w:id="86">
    <w:p w:rsidR="00156D87" w:rsidRPr="000F1CED" w:rsidRDefault="00156D87" w:rsidP="006D67E6">
      <w:pPr>
        <w:pStyle w:val="FootnoteText"/>
        <w:jc w:val="both"/>
        <w:rPr>
          <w:rFonts w:cs="Times New Roman"/>
        </w:rPr>
      </w:pPr>
      <w:r w:rsidRPr="00813B79">
        <w:rPr>
          <w:rStyle w:val="FootnoteReference"/>
          <w:rFonts w:cs="Times New Roman"/>
        </w:rPr>
        <w:footnoteRef/>
      </w:r>
      <w:r>
        <w:rPr>
          <w:rFonts w:cs="Times New Roman"/>
        </w:rPr>
        <w:t xml:space="preserve"> United Nations</w:t>
      </w:r>
      <w:r w:rsidRPr="00813B79">
        <w:rPr>
          <w:rFonts w:cs="Times New Roman"/>
        </w:rPr>
        <w:t xml:space="preserve"> Charter; Universal Declaration on Human Rights; International Covenant on Civil and Political Rights; International Covenan</w:t>
      </w:r>
      <w:r>
        <w:rPr>
          <w:rFonts w:cs="Times New Roman"/>
        </w:rPr>
        <w:t>t on Social and Economic Rights</w:t>
      </w:r>
      <w:r w:rsidRPr="000F1CED">
        <w:rPr>
          <w:rFonts w:cs="Times New Roman"/>
        </w:rPr>
        <w:t xml:space="preserve"> </w:t>
      </w:r>
    </w:p>
  </w:footnote>
  <w:footnote w:id="87">
    <w:p w:rsidR="00156D87" w:rsidRPr="000F1CED" w:rsidRDefault="00156D87" w:rsidP="006D67E6">
      <w:pPr>
        <w:pStyle w:val="FootnoteText"/>
        <w:jc w:val="both"/>
        <w:rPr>
          <w:rFonts w:cs="Times New Roman"/>
        </w:rPr>
      </w:pPr>
      <w:r w:rsidRPr="000F1CED">
        <w:rPr>
          <w:rStyle w:val="FootnoteReference"/>
          <w:rFonts w:cs="Times New Roman"/>
        </w:rPr>
        <w:footnoteRef/>
      </w:r>
      <w:r w:rsidRPr="000F1CED">
        <w:rPr>
          <w:rFonts w:cs="Times New Roman"/>
        </w:rPr>
        <w:t xml:space="preserve"> </w:t>
      </w:r>
      <w:r w:rsidRPr="004B1B03">
        <w:rPr>
          <w:rFonts w:cs="Times New Roman"/>
        </w:rPr>
        <w:t>I/A Court H.R</w:t>
      </w:r>
      <w:r>
        <w:rPr>
          <w:rFonts w:cs="Times New Roman"/>
        </w:rPr>
        <w:t>,</w:t>
      </w:r>
      <w:r w:rsidRPr="004B1B03">
        <w:rPr>
          <w:rFonts w:cs="Times New Roman"/>
        </w:rPr>
        <w:t xml:space="preserve"> </w:t>
      </w:r>
      <w:r w:rsidRPr="004B1B03">
        <w:rPr>
          <w:rFonts w:cs="Times New Roman"/>
          <w:i/>
        </w:rPr>
        <w:t>Juridical Condition and Rights of the Undocumented Migrants</w:t>
      </w:r>
      <w:r w:rsidRPr="005B0B4C">
        <w:rPr>
          <w:rFonts w:cs="Times New Roman"/>
        </w:rPr>
        <w:t>,</w:t>
      </w:r>
      <w:r>
        <w:rPr>
          <w:rFonts w:cs="Times New Roman"/>
        </w:rPr>
        <w:t xml:space="preserve"> </w:t>
      </w:r>
      <w:r w:rsidRPr="004B1B03">
        <w:rPr>
          <w:rFonts w:cs="Times New Roman"/>
          <w:i/>
        </w:rPr>
        <w:t xml:space="preserve">supra </w:t>
      </w:r>
      <w:r>
        <w:rPr>
          <w:rFonts w:cs="Times New Roman"/>
        </w:rPr>
        <w:t>note 62</w:t>
      </w:r>
      <w:r w:rsidR="00820DC0">
        <w:rPr>
          <w:rFonts w:cs="Times New Roman"/>
        </w:rPr>
        <w:fldChar w:fldCharType="begin"/>
      </w:r>
      <w:r>
        <w:instrText xml:space="preserve"> TA \s "I/A Court H.R., Juridical Condition and Rights of Undocumented Migrants. Advisory Opinion OC-18 of September 17, 2003. Series A No. 18" </w:instrText>
      </w:r>
      <w:r w:rsidR="00820DC0">
        <w:rPr>
          <w:rFonts w:cs="Times New Roman"/>
        </w:rPr>
        <w:fldChar w:fldCharType="end"/>
      </w:r>
      <w:r>
        <w:rPr>
          <w:rFonts w:cs="Times New Roman"/>
        </w:rPr>
        <w:t xml:space="preserve">, </w:t>
      </w:r>
      <w:r w:rsidRPr="000F1CED">
        <w:rPr>
          <w:rFonts w:cs="Times New Roman"/>
        </w:rPr>
        <w:t>para. 91</w:t>
      </w:r>
    </w:p>
  </w:footnote>
  <w:footnote w:id="88">
    <w:p w:rsidR="00156D87" w:rsidRPr="000F1CED" w:rsidRDefault="00156D87" w:rsidP="006D67E6">
      <w:pPr>
        <w:pStyle w:val="FootnoteText"/>
        <w:jc w:val="both"/>
        <w:rPr>
          <w:rFonts w:cs="Times New Roman"/>
        </w:rPr>
      </w:pPr>
      <w:r w:rsidRPr="00813B79">
        <w:rPr>
          <w:rStyle w:val="FootnoteReference"/>
          <w:rFonts w:cs="Times New Roman"/>
        </w:rPr>
        <w:footnoteRef/>
      </w:r>
      <w:r w:rsidRPr="00813B79">
        <w:rPr>
          <w:rFonts w:cs="Times New Roman"/>
        </w:rPr>
        <w:t xml:space="preserve"> Preamble, American Declaration on the Rights and Duties of Man</w:t>
      </w:r>
      <w:r w:rsidR="00820DC0">
        <w:rPr>
          <w:rFonts w:cs="Times New Roman"/>
        </w:rPr>
        <w:fldChar w:fldCharType="begin"/>
      </w:r>
      <w:r>
        <w:instrText xml:space="preserve"> TA \l "American Declaration on the Rights and Duties of Man, April. 22, 1948, O.A.S. Res. XXX" \c 4 </w:instrText>
      </w:r>
      <w:r w:rsidR="00820DC0">
        <w:rPr>
          <w:rFonts w:cs="Times New Roman"/>
        </w:rPr>
        <w:fldChar w:fldCharType="end"/>
      </w:r>
      <w:r w:rsidRPr="00813B79">
        <w:rPr>
          <w:rFonts w:cs="Times New Roman"/>
        </w:rPr>
        <w:t>; Preamble, Additional Protocol to the American Convention on Human Rights in the Area of Economic, Social and Cultural Rights “Protocol of San Salvador”</w:t>
      </w:r>
    </w:p>
  </w:footnote>
  <w:footnote w:id="89">
    <w:p w:rsidR="00156D87" w:rsidRPr="000F1CED" w:rsidRDefault="00156D87" w:rsidP="006D67E6">
      <w:pPr>
        <w:pStyle w:val="FootnoteText"/>
        <w:jc w:val="both"/>
        <w:rPr>
          <w:rFonts w:cs="Times New Roman"/>
        </w:rPr>
      </w:pPr>
      <w:r w:rsidRPr="00BD69C8">
        <w:rPr>
          <w:rStyle w:val="FootnoteReference"/>
          <w:rFonts w:cs="Times New Roman"/>
        </w:rPr>
        <w:footnoteRef/>
      </w:r>
      <w:r w:rsidRPr="00BD69C8">
        <w:rPr>
          <w:rFonts w:cs="Times New Roman"/>
        </w:rPr>
        <w:t xml:space="preserve"> </w:t>
      </w:r>
      <w:r>
        <w:rPr>
          <w:rFonts w:cs="Times New Roman"/>
        </w:rPr>
        <w:t>Man Yee Karen Lee</w:t>
      </w:r>
      <w:r w:rsidRPr="00BD69C8">
        <w:rPr>
          <w:rFonts w:cs="Times New Roman"/>
        </w:rPr>
        <w:t xml:space="preserve">. </w:t>
      </w:r>
      <w:r w:rsidRPr="00BD69C8">
        <w:rPr>
          <w:rFonts w:cs="Times New Roman"/>
          <w:i/>
        </w:rPr>
        <w:t>Equality, Dignity and Same-Sex Marriage: A Rights Disagreement in Democratic Societies</w:t>
      </w:r>
      <w:r w:rsidRPr="00BD69C8">
        <w:rPr>
          <w:rFonts w:cs="Times New Roman"/>
        </w:rPr>
        <w:t xml:space="preserve"> (Martinus Nijhoff Publishers, 2010)</w:t>
      </w:r>
      <w:r w:rsidR="00820DC0">
        <w:rPr>
          <w:rFonts w:cs="Times New Roman"/>
        </w:rPr>
        <w:fldChar w:fldCharType="begin"/>
      </w:r>
      <w:r>
        <w:instrText xml:space="preserve"> TA \l "</w:instrText>
      </w:r>
      <w:r w:rsidRPr="00CF0A34">
        <w:rPr>
          <w:rFonts w:cs="Times New Roman"/>
        </w:rPr>
        <w:instrText xml:space="preserve">Man Yee Karen Lee. </w:instrText>
      </w:r>
      <w:r w:rsidRPr="00CF0A34">
        <w:rPr>
          <w:rFonts w:cs="Times New Roman"/>
          <w:i/>
        </w:rPr>
        <w:instrText>Equality, Dignity and Same-Sex Marriage: A Rights Disagreement in Democratic Societies</w:instrText>
      </w:r>
      <w:r w:rsidRPr="00CF0A34">
        <w:rPr>
          <w:rFonts w:cs="Times New Roman"/>
        </w:rPr>
        <w:instrText xml:space="preserve"> (Martinus Nijhoff Publishers, 2010)</w:instrText>
      </w:r>
      <w:r>
        <w:instrText xml:space="preserve">" \s "Man Yee Karen Lee. Equality, Dignity and Same-Sex Marriage: A Rights Disagreement in Democratic Societies (Martinus Nijhoff Publishers, 2010)" \c 2 </w:instrText>
      </w:r>
      <w:r w:rsidR="00820DC0">
        <w:rPr>
          <w:rFonts w:cs="Times New Roman"/>
        </w:rPr>
        <w:fldChar w:fldCharType="end"/>
      </w:r>
      <w:r w:rsidRPr="00BD69C8">
        <w:rPr>
          <w:rFonts w:cs="Times New Roman"/>
        </w:rPr>
        <w:t>, p. 5</w:t>
      </w:r>
    </w:p>
  </w:footnote>
  <w:footnote w:id="90">
    <w:p w:rsidR="00156D87" w:rsidRPr="000F1CED" w:rsidRDefault="00156D87" w:rsidP="006D67E6">
      <w:pPr>
        <w:pStyle w:val="FootnoteText"/>
        <w:jc w:val="both"/>
        <w:rPr>
          <w:rFonts w:cs="Times New Roman"/>
        </w:rPr>
      </w:pPr>
      <w:r w:rsidRPr="000F1CED">
        <w:rPr>
          <w:rStyle w:val="FootnoteReference"/>
          <w:rFonts w:cs="Times New Roman"/>
        </w:rPr>
        <w:footnoteRef/>
      </w:r>
      <w:r w:rsidRPr="000F1CED">
        <w:rPr>
          <w:rFonts w:cs="Times New Roman"/>
        </w:rPr>
        <w:t xml:space="preserve"> </w:t>
      </w:r>
      <w:r w:rsidRPr="000F1CED">
        <w:rPr>
          <w:rFonts w:cs="Times New Roman"/>
          <w:i/>
        </w:rPr>
        <w:t>Halpern v Canada</w:t>
      </w:r>
      <w:r w:rsidRPr="000F1CED">
        <w:rPr>
          <w:rFonts w:cs="Times New Roman"/>
        </w:rPr>
        <w:t xml:space="preserve"> </w:t>
      </w:r>
      <w:r w:rsidRPr="006118A9">
        <w:rPr>
          <w:rFonts w:cs="Times New Roman"/>
        </w:rPr>
        <w:t>[2003] O.J. No. 2268</w:t>
      </w:r>
      <w:r>
        <w:rPr>
          <w:rFonts w:cs="Times New Roman"/>
        </w:rPr>
        <w:t>,</w:t>
      </w:r>
      <w:r w:rsidR="00820DC0">
        <w:rPr>
          <w:rFonts w:cs="Times New Roman"/>
        </w:rPr>
        <w:fldChar w:fldCharType="begin"/>
      </w:r>
      <w:r>
        <w:instrText xml:space="preserve"> TA \l "</w:instrText>
      </w:r>
      <w:r w:rsidRPr="003318D3">
        <w:rPr>
          <w:rFonts w:cs="Times New Roman"/>
          <w:i/>
        </w:rPr>
        <w:instrText>Halpern v Canada</w:instrText>
      </w:r>
      <w:r w:rsidRPr="003318D3">
        <w:rPr>
          <w:rFonts w:cs="Times New Roman"/>
        </w:rPr>
        <w:instrText xml:space="preserve"> [2003] O.J. No. 2268,</w:instrText>
      </w:r>
      <w:r>
        <w:instrText xml:space="preserve">" \s "Halpern v Canada [2003] O.J. No. 2268," \c 1 </w:instrText>
      </w:r>
      <w:r w:rsidR="00820DC0">
        <w:rPr>
          <w:rFonts w:cs="Times New Roman"/>
        </w:rPr>
        <w:fldChar w:fldCharType="end"/>
      </w:r>
      <w:r>
        <w:rPr>
          <w:rFonts w:cs="Times New Roman"/>
        </w:rPr>
        <w:t xml:space="preserve"> </w:t>
      </w:r>
      <w:r w:rsidRPr="000F1CED">
        <w:rPr>
          <w:rFonts w:cs="Times New Roman"/>
        </w:rPr>
        <w:t>para 94</w:t>
      </w:r>
    </w:p>
  </w:footnote>
  <w:footnote w:id="91">
    <w:p w:rsidR="00156D87" w:rsidRPr="00867813" w:rsidRDefault="00156D87" w:rsidP="006D67E6">
      <w:pPr>
        <w:pStyle w:val="FootnoteText"/>
        <w:jc w:val="both"/>
        <w:rPr>
          <w:rFonts w:cs="Times New Roman"/>
        </w:rPr>
      </w:pPr>
      <w:r w:rsidRPr="00BD69C8">
        <w:rPr>
          <w:rStyle w:val="FootnoteReference"/>
          <w:rFonts w:cs="Times New Roman"/>
        </w:rPr>
        <w:footnoteRef/>
      </w:r>
      <w:r w:rsidRPr="00BD69C8">
        <w:rPr>
          <w:rFonts w:cs="Times New Roman"/>
        </w:rPr>
        <w:t xml:space="preserve"> Charles Taylor. The Politics of Recognition in Amy Gutman (ed</w:t>
      </w:r>
      <w:r w:rsidRPr="00BD69C8">
        <w:rPr>
          <w:rFonts w:cs="Times New Roman"/>
          <w:i/>
        </w:rPr>
        <w:t xml:space="preserve">), Multiculturalism: Examining the Politics of Recognition </w:t>
      </w:r>
      <w:r w:rsidRPr="00BD69C8">
        <w:rPr>
          <w:rFonts w:cs="Times New Roman"/>
        </w:rPr>
        <w:t>(Princeton: Princeton University Press, 1994)</w:t>
      </w:r>
      <w:r w:rsidR="00820DC0">
        <w:rPr>
          <w:rFonts w:cs="Times New Roman"/>
        </w:rPr>
        <w:fldChar w:fldCharType="begin"/>
      </w:r>
      <w:r>
        <w:instrText xml:space="preserve"> TA \l "</w:instrText>
      </w:r>
      <w:r w:rsidRPr="00D1136B">
        <w:rPr>
          <w:rFonts w:cs="Times New Roman"/>
        </w:rPr>
        <w:instrText>Charles Taylor. The Politics of Recognition in Amy Gutman (ed</w:instrText>
      </w:r>
      <w:r w:rsidRPr="00D1136B">
        <w:rPr>
          <w:rFonts w:cs="Times New Roman"/>
          <w:i/>
        </w:rPr>
        <w:instrText xml:space="preserve">), Multiculturalism: Examining the Politics of Recognition </w:instrText>
      </w:r>
      <w:r w:rsidRPr="00D1136B">
        <w:rPr>
          <w:rFonts w:cs="Times New Roman"/>
        </w:rPr>
        <w:instrText>(Princeton: Princeton University Press, 1994)</w:instrText>
      </w:r>
      <w:r>
        <w:instrText xml:space="preserve">" \s "Charles Taylor. The Politics of Recognition in Amy Gutman (ed), Multiculturalism: Examining the Politics of Recognition (Princeton: Princeton University Press, 1994)" \c 2 </w:instrText>
      </w:r>
      <w:r w:rsidR="00820DC0">
        <w:rPr>
          <w:rFonts w:cs="Times New Roman"/>
        </w:rPr>
        <w:fldChar w:fldCharType="end"/>
      </w:r>
      <w:r w:rsidRPr="00BD69C8">
        <w:rPr>
          <w:rFonts w:cs="Times New Roman"/>
        </w:rPr>
        <w:t xml:space="preserve">; </w:t>
      </w:r>
      <w:r w:rsidRPr="00BD69C8">
        <w:rPr>
          <w:rFonts w:cs="Times New Roman"/>
          <w:i/>
        </w:rPr>
        <w:t>Goodridge v Department of Public Health</w:t>
      </w:r>
      <w:r w:rsidRPr="00BD69C8">
        <w:rPr>
          <w:rFonts w:cs="Times New Roman"/>
        </w:rPr>
        <w:t xml:space="preserve"> 798 N.E.2d 941 (Mass. 2003),</w:t>
      </w:r>
      <w:r w:rsidR="00820DC0">
        <w:rPr>
          <w:rFonts w:cs="Times New Roman"/>
        </w:rPr>
        <w:fldChar w:fldCharType="begin"/>
      </w:r>
      <w:r>
        <w:instrText xml:space="preserve"> TA \s "Goodridge v Department of Public Health 798 N.E.2d 941 (Mass. 2003)" </w:instrText>
      </w:r>
      <w:r w:rsidR="00820DC0">
        <w:rPr>
          <w:rFonts w:cs="Times New Roman"/>
        </w:rPr>
        <w:fldChar w:fldCharType="end"/>
      </w:r>
      <w:r w:rsidRPr="00BD69C8">
        <w:rPr>
          <w:rFonts w:cs="Times New Roman"/>
        </w:rPr>
        <w:t xml:space="preserve"> pg. 133 ; </w:t>
      </w:r>
      <w:r w:rsidRPr="00BD69C8">
        <w:rPr>
          <w:rFonts w:cs="Times New Roman"/>
          <w:i/>
        </w:rPr>
        <w:t>Re Marriage Cases</w:t>
      </w:r>
      <w:r w:rsidRPr="00BD69C8">
        <w:rPr>
          <w:rFonts w:cs="Times New Roman"/>
        </w:rPr>
        <w:t xml:space="preserve"> (2008) 43 Cal.4th 757 [76 Cal.Rptr.3d 683, 183 P.3d 384]</w:t>
      </w:r>
      <w:r w:rsidR="00820DC0">
        <w:rPr>
          <w:rFonts w:cs="Times New Roman"/>
        </w:rPr>
        <w:fldChar w:fldCharType="begin"/>
      </w:r>
      <w:r>
        <w:instrText xml:space="preserve"> TA \l "</w:instrText>
      </w:r>
      <w:r w:rsidRPr="000B6FE6">
        <w:rPr>
          <w:rFonts w:cs="Times New Roman"/>
          <w:i/>
        </w:rPr>
        <w:instrText>Re Marriage Cases</w:instrText>
      </w:r>
      <w:r w:rsidRPr="000B6FE6">
        <w:rPr>
          <w:rFonts w:cs="Times New Roman"/>
        </w:rPr>
        <w:instrText xml:space="preserve"> (2008) 43 Cal.4th 757 [76 Cal.Rptr.3d 683, 183 P.3d 384]</w:instrText>
      </w:r>
      <w:r>
        <w:instrText xml:space="preserve">" \s "Re Marriage Cases (2008) 43 Cal.4th 757 [76 Cal.Rptr.3d 683, 183 P.3d 384]" \c 1 </w:instrText>
      </w:r>
      <w:r w:rsidR="00820DC0">
        <w:rPr>
          <w:rFonts w:cs="Times New Roman"/>
        </w:rPr>
        <w:fldChar w:fldCharType="end"/>
      </w:r>
    </w:p>
  </w:footnote>
  <w:footnote w:id="92">
    <w:p w:rsidR="00156D87" w:rsidRPr="00867813" w:rsidRDefault="00156D87" w:rsidP="006D67E6">
      <w:pPr>
        <w:pStyle w:val="FootnoteText"/>
        <w:jc w:val="both"/>
        <w:rPr>
          <w:rFonts w:cs="Times New Roman"/>
        </w:rPr>
      </w:pPr>
      <w:r w:rsidRPr="00867813">
        <w:rPr>
          <w:rStyle w:val="FootnoteReference"/>
          <w:rFonts w:cs="Times New Roman"/>
        </w:rPr>
        <w:footnoteRef/>
      </w:r>
      <w:r w:rsidRPr="00867813">
        <w:rPr>
          <w:rFonts w:cs="Times New Roman"/>
        </w:rPr>
        <w:t xml:space="preserve"> </w:t>
      </w:r>
      <w:r w:rsidRPr="00867813">
        <w:rPr>
          <w:rFonts w:cs="Times New Roman"/>
          <w:i/>
        </w:rPr>
        <w:t>Minister of Home Affairs</w:t>
      </w:r>
      <w:r>
        <w:rPr>
          <w:rFonts w:cs="Times New Roman"/>
          <w:i/>
        </w:rPr>
        <w:t xml:space="preserve"> and Another</w:t>
      </w:r>
      <w:r w:rsidRPr="00867813">
        <w:rPr>
          <w:rFonts w:cs="Times New Roman"/>
          <w:i/>
        </w:rPr>
        <w:t xml:space="preserve"> v Fourie</w:t>
      </w:r>
      <w:r>
        <w:rPr>
          <w:rFonts w:cs="Times New Roman"/>
          <w:i/>
        </w:rPr>
        <w:t xml:space="preserve"> and Another</w:t>
      </w:r>
      <w:r>
        <w:rPr>
          <w:rFonts w:cs="Times New Roman"/>
        </w:rPr>
        <w:t xml:space="preserve"> </w:t>
      </w:r>
      <w:r w:rsidRPr="006118A9">
        <w:rPr>
          <w:rFonts w:cs="Times New Roman"/>
        </w:rPr>
        <w:t>[2005] ZACC 19</w:t>
      </w:r>
      <w:r>
        <w:rPr>
          <w:rFonts w:cs="Times New Roman"/>
        </w:rPr>
        <w:t>,</w:t>
      </w:r>
      <w:r w:rsidR="00820DC0">
        <w:rPr>
          <w:rFonts w:cs="Times New Roman"/>
        </w:rPr>
        <w:fldChar w:fldCharType="begin"/>
      </w:r>
      <w:r>
        <w:instrText xml:space="preserve"> TA \l "</w:instrText>
      </w:r>
      <w:r w:rsidRPr="00926C7B">
        <w:rPr>
          <w:rFonts w:cs="Times New Roman"/>
          <w:i/>
        </w:rPr>
        <w:instrText>Minister of Home Affairs and Another v Fourie and Another</w:instrText>
      </w:r>
      <w:r w:rsidRPr="00926C7B">
        <w:rPr>
          <w:rFonts w:cs="Times New Roman"/>
        </w:rPr>
        <w:instrText xml:space="preserve"> [2005] ZACC 19,</w:instrText>
      </w:r>
      <w:r>
        <w:instrText xml:space="preserve">" \s "Minister of Home Affairs and Another v Fourie and Another [2005] ZACC 19," \c 1 </w:instrText>
      </w:r>
      <w:r w:rsidR="00820DC0">
        <w:rPr>
          <w:rFonts w:cs="Times New Roman"/>
        </w:rPr>
        <w:fldChar w:fldCharType="end"/>
      </w:r>
      <w:r w:rsidRPr="006118A9">
        <w:rPr>
          <w:rFonts w:cs="Times New Roman"/>
        </w:rPr>
        <w:t xml:space="preserve"> </w:t>
      </w:r>
      <w:r w:rsidRPr="00867813">
        <w:rPr>
          <w:rFonts w:cs="Times New Roman"/>
        </w:rPr>
        <w:t xml:space="preserve">para 72 </w:t>
      </w:r>
    </w:p>
  </w:footnote>
  <w:footnote w:id="93">
    <w:p w:rsidR="00156D87" w:rsidRDefault="00156D87" w:rsidP="006D67E6">
      <w:pPr>
        <w:pStyle w:val="FootnoteText"/>
        <w:jc w:val="both"/>
      </w:pPr>
      <w:r w:rsidRPr="00867813">
        <w:rPr>
          <w:rStyle w:val="FootnoteReference"/>
          <w:rFonts w:cs="Times New Roman"/>
        </w:rPr>
        <w:footnoteRef/>
      </w:r>
      <w:r w:rsidRPr="00867813">
        <w:rPr>
          <w:rFonts w:cs="Times New Roman"/>
        </w:rPr>
        <w:t xml:space="preserve"> Hypothetical, paras</w:t>
      </w:r>
      <w:r>
        <w:rPr>
          <w:rFonts w:cs="Times New Roman"/>
        </w:rPr>
        <w:t>.</w:t>
      </w:r>
      <w:r w:rsidRPr="00867813">
        <w:rPr>
          <w:rFonts w:cs="Times New Roman"/>
        </w:rPr>
        <w:t xml:space="preserve"> 39 and 45</w:t>
      </w:r>
    </w:p>
  </w:footnote>
  <w:footnote w:id="94">
    <w:p w:rsidR="00156D87" w:rsidRPr="00F70881" w:rsidRDefault="00156D87" w:rsidP="00754B17">
      <w:pPr>
        <w:pStyle w:val="FootnoteText"/>
        <w:jc w:val="both"/>
        <w:rPr>
          <w:rFonts w:cs="Times New Roman"/>
        </w:rPr>
      </w:pPr>
      <w:r w:rsidRPr="00F70881">
        <w:rPr>
          <w:rStyle w:val="FootnoteReference"/>
          <w:rFonts w:cs="Times New Roman"/>
        </w:rPr>
        <w:footnoteRef/>
      </w:r>
      <w:r w:rsidRPr="00F70881">
        <w:rPr>
          <w:rFonts w:cs="Times New Roman"/>
        </w:rPr>
        <w:t xml:space="preserve"> I/A Court H.R, </w:t>
      </w:r>
      <w:r w:rsidRPr="00F70881">
        <w:rPr>
          <w:rFonts w:cs="Times New Roman"/>
          <w:i/>
        </w:rPr>
        <w:t>Case of Atala Riffo</w:t>
      </w:r>
      <w:r w:rsidRPr="00F70881">
        <w:rPr>
          <w:rFonts w:cs="Times New Roman"/>
        </w:rPr>
        <w:t xml:space="preserve">, </w:t>
      </w:r>
      <w:r w:rsidRPr="00F70881">
        <w:rPr>
          <w:rFonts w:cs="Times New Roman"/>
          <w:i/>
        </w:rPr>
        <w:t>supra</w:t>
      </w:r>
      <w:r w:rsidRPr="00F70881">
        <w:rPr>
          <w:rFonts w:cs="Times New Roman"/>
        </w:rPr>
        <w:t xml:space="preserve"> note 62</w:t>
      </w:r>
      <w:r w:rsidR="00820DC0" w:rsidRPr="00F70881">
        <w:rPr>
          <w:rFonts w:cs="Times New Roman"/>
        </w:rPr>
        <w:fldChar w:fldCharType="begin"/>
      </w:r>
      <w:r w:rsidRPr="00F70881">
        <w:rPr>
          <w:rFonts w:cs="Times New Roman"/>
        </w:rPr>
        <w:instrText xml:space="preserve"> TA \s "/A Court H.R., Case of Atala Riffo and daughters v. Chile. Merits, Reparations and Costs. Judgment of February 24, 2012 Series C No. 239" </w:instrText>
      </w:r>
      <w:r w:rsidR="00820DC0" w:rsidRPr="00F70881">
        <w:rPr>
          <w:rFonts w:cs="Times New Roman"/>
        </w:rPr>
        <w:fldChar w:fldCharType="end"/>
      </w:r>
      <w:r w:rsidRPr="00F70881">
        <w:rPr>
          <w:rFonts w:cs="Times New Roman"/>
        </w:rPr>
        <w:t xml:space="preserve">, para. 169; I/A Court H.R., </w:t>
      </w:r>
      <w:r w:rsidRPr="00F70881">
        <w:rPr>
          <w:rFonts w:cs="Times New Roman"/>
          <w:i/>
        </w:rPr>
        <w:t>Juridical Condition and Human Rights of the Child</w:t>
      </w:r>
      <w:r w:rsidRPr="00F70881">
        <w:rPr>
          <w:rFonts w:cs="Times New Roman"/>
        </w:rPr>
        <w:t>. Advisory Opinion OC-17/02 of August 28, 2002. Series A No. 17</w:t>
      </w:r>
      <w:r w:rsidR="00820DC0" w:rsidRPr="00F70881">
        <w:rPr>
          <w:rFonts w:cs="Times New Roman"/>
        </w:rPr>
        <w:fldChar w:fldCharType="begin"/>
      </w:r>
      <w:r w:rsidRPr="00F70881">
        <w:rPr>
          <w:rFonts w:cs="Times New Roman"/>
        </w:rPr>
        <w:instrText xml:space="preserve"> TA \l "I/A Court H.R., </w:instrText>
      </w:r>
      <w:r w:rsidRPr="00F70881">
        <w:rPr>
          <w:rFonts w:cs="Times New Roman"/>
          <w:i/>
        </w:rPr>
        <w:instrText>Juridical Condition and Human Rights of the Child</w:instrText>
      </w:r>
      <w:r w:rsidRPr="00F70881">
        <w:rPr>
          <w:rFonts w:cs="Times New Roman"/>
        </w:rPr>
        <w:instrText xml:space="preserve">. Advisory Opinion OC-17/02 of August 28, 2002. Series A No. 17" \s "I/A Court H.R., Juridical Condition and Human Rights of the Child. Advisory Opinion OC-17/02 of August 28, 2002. Series A No. 17" \c 1 </w:instrText>
      </w:r>
      <w:r w:rsidR="00820DC0" w:rsidRPr="00F70881">
        <w:rPr>
          <w:rFonts w:cs="Times New Roman"/>
        </w:rPr>
        <w:fldChar w:fldCharType="end"/>
      </w:r>
      <w:r w:rsidRPr="00F70881">
        <w:rPr>
          <w:rFonts w:cs="Times New Roman"/>
        </w:rPr>
        <w:t xml:space="preserve">, para. 66; </w:t>
      </w:r>
    </w:p>
  </w:footnote>
  <w:footnote w:id="95">
    <w:p w:rsidR="00156D87" w:rsidRPr="00F70881" w:rsidRDefault="00156D87" w:rsidP="00754B17">
      <w:pPr>
        <w:pStyle w:val="FootnoteText"/>
        <w:jc w:val="both"/>
        <w:rPr>
          <w:rFonts w:cs="Times New Roman"/>
        </w:rPr>
      </w:pPr>
      <w:r w:rsidRPr="00F70881">
        <w:rPr>
          <w:rStyle w:val="FootnoteReference"/>
          <w:rFonts w:cs="Times New Roman"/>
        </w:rPr>
        <w:footnoteRef/>
      </w:r>
      <w:r w:rsidRPr="00F70881">
        <w:rPr>
          <w:rFonts w:cs="Times New Roman"/>
        </w:rPr>
        <w:t xml:space="preserve"> I/A Court H.R, </w:t>
      </w:r>
      <w:r w:rsidRPr="00F70881">
        <w:rPr>
          <w:rFonts w:cs="Times New Roman"/>
          <w:i/>
        </w:rPr>
        <w:t>Case of Atala Riffo</w:t>
      </w:r>
      <w:r w:rsidRPr="00F70881">
        <w:rPr>
          <w:rFonts w:cs="Times New Roman"/>
        </w:rPr>
        <w:t xml:space="preserve">, </w:t>
      </w:r>
      <w:r w:rsidRPr="00F70881">
        <w:rPr>
          <w:rFonts w:cs="Times New Roman"/>
          <w:i/>
        </w:rPr>
        <w:t>supra</w:t>
      </w:r>
      <w:r w:rsidRPr="00F70881">
        <w:rPr>
          <w:rFonts w:cs="Times New Roman"/>
        </w:rPr>
        <w:t xml:space="preserve"> note 62, para. 170</w:t>
      </w:r>
    </w:p>
  </w:footnote>
  <w:footnote w:id="96">
    <w:p w:rsidR="00156D87" w:rsidRPr="00F70881" w:rsidRDefault="00156D87" w:rsidP="00754B17">
      <w:pPr>
        <w:pStyle w:val="FootnoteText"/>
        <w:jc w:val="both"/>
        <w:rPr>
          <w:rFonts w:cs="Times New Roman"/>
        </w:rPr>
      </w:pPr>
      <w:r w:rsidRPr="00F70881">
        <w:rPr>
          <w:rStyle w:val="FootnoteReference"/>
          <w:rFonts w:cs="Times New Roman"/>
        </w:rPr>
        <w:footnoteRef/>
      </w:r>
      <w:r w:rsidRPr="00F70881">
        <w:rPr>
          <w:rFonts w:cs="Times New Roman"/>
        </w:rPr>
        <w:t xml:space="preserve"> Article 12.1, Universal Declaration of Human Rights</w:t>
      </w:r>
      <w:r w:rsidR="00820DC0">
        <w:rPr>
          <w:rFonts w:cs="Times New Roman"/>
        </w:rPr>
        <w:fldChar w:fldCharType="begin"/>
      </w:r>
      <w:r>
        <w:instrText xml:space="preserve"> TA \l "Universal Declaration of Human Rights G.A. res. 217 (III), December 10, 1948" \c 4 </w:instrText>
      </w:r>
      <w:r w:rsidR="00820DC0">
        <w:rPr>
          <w:rFonts w:cs="Times New Roman"/>
        </w:rPr>
        <w:fldChar w:fldCharType="end"/>
      </w:r>
      <w:r w:rsidRPr="00F70881">
        <w:rPr>
          <w:rFonts w:cs="Times New Roman"/>
        </w:rPr>
        <w:t>; Article V, American Declaration of Rights and Duties of Man; Artic</w:t>
      </w:r>
      <w:r>
        <w:rPr>
          <w:rFonts w:cs="Times New Roman"/>
        </w:rPr>
        <w:t>le 17, International Covenant on</w:t>
      </w:r>
      <w:r w:rsidRPr="00F70881">
        <w:rPr>
          <w:rFonts w:cs="Times New Roman"/>
        </w:rPr>
        <w:t xml:space="preserve"> Civil and Political Rights</w:t>
      </w:r>
      <w:r w:rsidR="00820DC0">
        <w:rPr>
          <w:rFonts w:cs="Times New Roman"/>
        </w:rPr>
        <w:fldChar w:fldCharType="begin"/>
      </w:r>
      <w:r>
        <w:instrText xml:space="preserve"> TA \l "International Covenant on Civil and Political Rights, G.A. res. 2200A (XXI), 21 U.N. GAOR Supp. (No. 16) at 52, U.N. Doc. A/6316 (1966), 999 U.N.T.S. 171, entered into force Mar. 23, 1976" \c 4 </w:instrText>
      </w:r>
      <w:r w:rsidR="00820DC0">
        <w:rPr>
          <w:rFonts w:cs="Times New Roman"/>
        </w:rPr>
        <w:fldChar w:fldCharType="end"/>
      </w:r>
      <w:r w:rsidRPr="00F70881">
        <w:rPr>
          <w:rFonts w:cs="Times New Roman"/>
        </w:rPr>
        <w:t xml:space="preserve">; Article 8, European </w:t>
      </w:r>
      <w:r>
        <w:rPr>
          <w:rFonts w:cs="Times New Roman"/>
        </w:rPr>
        <w:t>Convention on Human Rights</w:t>
      </w:r>
      <w:r w:rsidRPr="00F70881">
        <w:rPr>
          <w:rFonts w:cs="Times New Roman"/>
        </w:rPr>
        <w:t>, Yogyakarta Principles –Principles on the Application of Human Rights Law in relation to sexual orientation and gender identity (Principle 24)</w:t>
      </w:r>
    </w:p>
  </w:footnote>
  <w:footnote w:id="97">
    <w:p w:rsidR="00156D87" w:rsidRPr="00F70881" w:rsidRDefault="00156D87" w:rsidP="00754B17">
      <w:pPr>
        <w:pStyle w:val="FootnoteText"/>
        <w:jc w:val="both"/>
        <w:rPr>
          <w:rFonts w:cs="Times New Roman"/>
        </w:rPr>
      </w:pPr>
      <w:r w:rsidRPr="00F70881">
        <w:rPr>
          <w:rStyle w:val="FootnoteReference"/>
          <w:rFonts w:cs="Times New Roman"/>
        </w:rPr>
        <w:footnoteRef/>
      </w:r>
      <w:r w:rsidRPr="00F70881">
        <w:rPr>
          <w:rFonts w:cs="Times New Roman"/>
        </w:rPr>
        <w:t xml:space="preserve"> Article 17, ACHR</w:t>
      </w:r>
    </w:p>
  </w:footnote>
  <w:footnote w:id="98">
    <w:p w:rsidR="00156D87" w:rsidRPr="00F70881" w:rsidRDefault="00156D87" w:rsidP="00754B17">
      <w:pPr>
        <w:pStyle w:val="FootnoteText"/>
        <w:jc w:val="both"/>
        <w:rPr>
          <w:rFonts w:cs="Times New Roman"/>
        </w:rPr>
      </w:pPr>
      <w:r w:rsidRPr="00F70881">
        <w:rPr>
          <w:rStyle w:val="FootnoteReference"/>
          <w:rFonts w:cs="Times New Roman"/>
        </w:rPr>
        <w:footnoteRef/>
      </w:r>
      <w:r w:rsidRPr="00F70881">
        <w:rPr>
          <w:rFonts w:cs="Times New Roman"/>
        </w:rPr>
        <w:t xml:space="preserve"> I/A Court H.R, </w:t>
      </w:r>
      <w:r w:rsidRPr="00F70881">
        <w:rPr>
          <w:rFonts w:cs="Times New Roman"/>
          <w:i/>
        </w:rPr>
        <w:t>Case of Atala Riffo</w:t>
      </w:r>
      <w:r w:rsidRPr="00F70881">
        <w:rPr>
          <w:rFonts w:cs="Times New Roman"/>
        </w:rPr>
        <w:t>, supra note 62</w:t>
      </w:r>
      <w:r w:rsidR="00820DC0" w:rsidRPr="00F70881">
        <w:rPr>
          <w:rFonts w:cs="Times New Roman"/>
        </w:rPr>
        <w:fldChar w:fldCharType="begin"/>
      </w:r>
      <w:r w:rsidRPr="00F70881">
        <w:rPr>
          <w:rFonts w:cs="Times New Roman"/>
        </w:rPr>
        <w:instrText xml:space="preserve"> TA \s "/A Court H.R., Case of Atala Riffo and daughters v. Chile. Merits, Reparations and Costs. Judgment of February 24, 2012 Series C No. 239" </w:instrText>
      </w:r>
      <w:r w:rsidR="00820DC0" w:rsidRPr="00F70881">
        <w:rPr>
          <w:rFonts w:cs="Times New Roman"/>
        </w:rPr>
        <w:fldChar w:fldCharType="end"/>
      </w:r>
      <w:r w:rsidRPr="00F70881">
        <w:rPr>
          <w:rFonts w:cs="Times New Roman"/>
        </w:rPr>
        <w:t>, para. 192</w:t>
      </w:r>
    </w:p>
  </w:footnote>
  <w:footnote w:id="99">
    <w:p w:rsidR="00156D87" w:rsidRPr="0045447A" w:rsidRDefault="00156D87" w:rsidP="00754B17">
      <w:pPr>
        <w:pStyle w:val="FootnoteText"/>
        <w:jc w:val="both"/>
        <w:rPr>
          <w:rFonts w:cs="Times New Roman"/>
        </w:rPr>
      </w:pPr>
      <w:r w:rsidRPr="00F70881">
        <w:rPr>
          <w:rStyle w:val="FootnoteReference"/>
          <w:rFonts w:cs="Times New Roman"/>
        </w:rPr>
        <w:footnoteRef/>
      </w:r>
      <w:r w:rsidRPr="00F70881">
        <w:rPr>
          <w:rFonts w:cs="Times New Roman"/>
        </w:rPr>
        <w:t xml:space="preserve"> ECtHR, </w:t>
      </w:r>
      <w:r w:rsidRPr="00F70881">
        <w:rPr>
          <w:rFonts w:cs="Times New Roman"/>
          <w:i/>
        </w:rPr>
        <w:t>Schalk and Kopf, supra</w:t>
      </w:r>
      <w:r w:rsidRPr="00F70881">
        <w:rPr>
          <w:rFonts w:cs="Times New Roman"/>
        </w:rPr>
        <w:t xml:space="preserve"> note 79, para 94</w:t>
      </w:r>
      <w:r w:rsidR="00820DC0" w:rsidRPr="00F70881">
        <w:rPr>
          <w:rFonts w:cs="Times New Roman"/>
        </w:rPr>
        <w:fldChar w:fldCharType="begin"/>
      </w:r>
      <w:r w:rsidRPr="00F70881">
        <w:rPr>
          <w:rFonts w:cs="Times New Roman"/>
        </w:rPr>
        <w:instrText xml:space="preserve"> TA \s "ECtHR, Schalk and Kopf v Austria, Application No. 30141/04, June 24, 2010" </w:instrText>
      </w:r>
      <w:r w:rsidR="00820DC0" w:rsidRPr="00F70881">
        <w:rPr>
          <w:rFonts w:cs="Times New Roman"/>
        </w:rPr>
        <w:fldChar w:fldCharType="end"/>
      </w:r>
      <w:r w:rsidRPr="00F70881">
        <w:rPr>
          <w:rFonts w:cs="Times New Roman"/>
        </w:rPr>
        <w:t xml:space="preserve">.; ECtHR, </w:t>
      </w:r>
      <w:r w:rsidRPr="00F70881">
        <w:rPr>
          <w:rFonts w:cs="Times New Roman"/>
          <w:i/>
        </w:rPr>
        <w:t xml:space="preserve">P.B. and J.S. v Austria, </w:t>
      </w:r>
      <w:r w:rsidRPr="00F70881">
        <w:rPr>
          <w:rFonts w:cs="Times New Roman"/>
        </w:rPr>
        <w:t>Application No. 18984/02, July 22, 2010</w:t>
      </w:r>
      <w:r w:rsidR="00820DC0" w:rsidRPr="00F70881">
        <w:rPr>
          <w:rFonts w:cs="Times New Roman"/>
        </w:rPr>
        <w:fldChar w:fldCharType="begin"/>
      </w:r>
      <w:r w:rsidRPr="00F70881">
        <w:rPr>
          <w:rFonts w:cs="Times New Roman"/>
        </w:rPr>
        <w:instrText xml:space="preserve"> TA \l "ECtHR, </w:instrText>
      </w:r>
      <w:r w:rsidRPr="00F70881">
        <w:rPr>
          <w:rFonts w:cs="Times New Roman"/>
          <w:i/>
        </w:rPr>
        <w:instrText xml:space="preserve">P.B. and J.S. v Austria, </w:instrText>
      </w:r>
      <w:r w:rsidRPr="00F70881">
        <w:rPr>
          <w:rFonts w:cs="Times New Roman"/>
        </w:rPr>
        <w:instrText xml:space="preserve">Application No. 18984/02, July 22, 2010" \s "ECtHR, P.B. and J.S. v Austria, Application No. 18984/02, July 22, 2010" \c 1 </w:instrText>
      </w:r>
      <w:r w:rsidR="00820DC0" w:rsidRPr="00F70881">
        <w:rPr>
          <w:rFonts w:cs="Times New Roman"/>
        </w:rPr>
        <w:fldChar w:fldCharType="end"/>
      </w:r>
      <w:r w:rsidRPr="00F70881">
        <w:rPr>
          <w:rFonts w:cs="Times New Roman"/>
        </w:rPr>
        <w:t>, para. 30</w:t>
      </w:r>
    </w:p>
  </w:footnote>
  <w:footnote w:id="100">
    <w:p w:rsidR="00156D87" w:rsidRPr="00E12248" w:rsidRDefault="00156D87" w:rsidP="00754B17">
      <w:pPr>
        <w:pStyle w:val="FootnoteText"/>
        <w:jc w:val="both"/>
        <w:rPr>
          <w:rFonts w:cs="Times New Roman"/>
        </w:rPr>
      </w:pPr>
      <w:r>
        <w:rPr>
          <w:rStyle w:val="FootnoteReference"/>
        </w:rPr>
        <w:footnoteRef/>
      </w:r>
      <w:r>
        <w:t xml:space="preserve"> </w:t>
      </w:r>
      <w:r>
        <w:rPr>
          <w:rFonts w:cs="Times New Roman"/>
        </w:rPr>
        <w:t>Clarification Questions and Answers, No. 9</w:t>
      </w:r>
    </w:p>
  </w:footnote>
  <w:footnote w:id="101">
    <w:p w:rsidR="00156D87" w:rsidRPr="0085640F" w:rsidRDefault="00156D87" w:rsidP="00754B17">
      <w:pPr>
        <w:pStyle w:val="FootnoteText"/>
        <w:jc w:val="both"/>
        <w:rPr>
          <w:rFonts w:cs="Times New Roman"/>
        </w:rPr>
      </w:pPr>
      <w:r w:rsidRPr="0085640F">
        <w:rPr>
          <w:rStyle w:val="FootnoteReference"/>
          <w:rFonts w:cs="Times New Roman"/>
        </w:rPr>
        <w:footnoteRef/>
      </w:r>
      <w:r w:rsidRPr="0085640F">
        <w:rPr>
          <w:rFonts w:cs="Times New Roman"/>
        </w:rPr>
        <w:t xml:space="preserve"> </w:t>
      </w:r>
      <w:r w:rsidRPr="002D42AB">
        <w:rPr>
          <w:rFonts w:cs="Times New Roman"/>
        </w:rPr>
        <w:t xml:space="preserve">I/A Court H.R., </w:t>
      </w:r>
      <w:r w:rsidRPr="002D42AB">
        <w:rPr>
          <w:rFonts w:cs="Times New Roman"/>
          <w:i/>
        </w:rPr>
        <w:t>The Right to Information on Consular Assistance. In the Framework of the Guarantees of the due Process of Law</w:t>
      </w:r>
      <w:r w:rsidRPr="002D42AB">
        <w:rPr>
          <w:rFonts w:cs="Times New Roman"/>
        </w:rPr>
        <w:t>. Advisory Opinion OC-16/99 of October 1, 1999. Series A No. 16</w:t>
      </w:r>
      <w:r w:rsidR="00820DC0">
        <w:rPr>
          <w:rFonts w:cs="Times New Roman"/>
        </w:rPr>
        <w:fldChar w:fldCharType="begin"/>
      </w:r>
      <w:r>
        <w:instrText xml:space="preserve"> TA \l "</w:instrText>
      </w:r>
      <w:r w:rsidRPr="00CA4149">
        <w:rPr>
          <w:rFonts w:cs="Times New Roman"/>
        </w:rPr>
        <w:instrText xml:space="preserve">I/A Court H.R., </w:instrText>
      </w:r>
      <w:r w:rsidRPr="00CA4149">
        <w:rPr>
          <w:rFonts w:cs="Times New Roman"/>
          <w:i/>
        </w:rPr>
        <w:instrText>The Right to Information on Consular Assistance. In the Framework of the Guarantees of the due Process of Law</w:instrText>
      </w:r>
      <w:r w:rsidRPr="00CA4149">
        <w:rPr>
          <w:rFonts w:cs="Times New Roman"/>
        </w:rPr>
        <w:instrText>. Advisory Opinion OC-16/99 of October 1, 1999. Series A No. 16</w:instrText>
      </w:r>
      <w:r>
        <w:instrText xml:space="preserve">" \s "I/A Court H.R., The Right to Information on Consular Assistance. In the Framework of the Guarantees of the due Process of Law. Advisory Opinion OC-16/99 of October 1, 1999. Series A No. 16" \c 1 </w:instrText>
      </w:r>
      <w:r w:rsidR="00820DC0">
        <w:rPr>
          <w:rFonts w:cs="Times New Roman"/>
        </w:rPr>
        <w:fldChar w:fldCharType="end"/>
      </w:r>
      <w:r>
        <w:rPr>
          <w:rFonts w:cs="Times New Roman"/>
        </w:rPr>
        <w:t xml:space="preserve">, </w:t>
      </w:r>
      <w:r w:rsidRPr="0085640F">
        <w:rPr>
          <w:rFonts w:cs="Times New Roman"/>
        </w:rPr>
        <w:t xml:space="preserve">para 114; </w:t>
      </w:r>
      <w:r w:rsidRPr="002D42AB">
        <w:rPr>
          <w:rFonts w:cs="Times New Roman"/>
        </w:rPr>
        <w:t xml:space="preserve">I/A Court H.R., </w:t>
      </w:r>
      <w:r w:rsidRPr="002D42AB">
        <w:rPr>
          <w:rFonts w:cs="Times New Roman"/>
          <w:i/>
        </w:rPr>
        <w:t>Interpretation of the American Declaration of the Rights and Duties of Man within the Framework of Article 64 of the American Convention on Human Rights</w:t>
      </w:r>
      <w:r w:rsidRPr="002D42AB">
        <w:rPr>
          <w:rFonts w:cs="Times New Roman"/>
        </w:rPr>
        <w:t>. Advisory Opinion OC-10/89 of July 14,1989. Series A No. 10</w:t>
      </w:r>
      <w:r w:rsidR="00820DC0">
        <w:rPr>
          <w:rFonts w:cs="Times New Roman"/>
        </w:rPr>
        <w:fldChar w:fldCharType="begin"/>
      </w:r>
      <w:r>
        <w:instrText xml:space="preserve"> TA \l "</w:instrText>
      </w:r>
      <w:r w:rsidRPr="002D1738">
        <w:rPr>
          <w:rFonts w:cs="Times New Roman"/>
        </w:rPr>
        <w:instrText xml:space="preserve">I/A Court H.R., </w:instrText>
      </w:r>
      <w:r w:rsidRPr="002D1738">
        <w:rPr>
          <w:rFonts w:cs="Times New Roman"/>
          <w:i/>
        </w:rPr>
        <w:instrText>Interpretation of the American Declaration of the Rights and Duties of Man within the Framework of Article 64 of the American Convention on Human Rights</w:instrText>
      </w:r>
      <w:r w:rsidRPr="002D1738">
        <w:rPr>
          <w:rFonts w:cs="Times New Roman"/>
        </w:rPr>
        <w:instrText>. Advisory Opinion OC-10/89 of July 14,1989. Series A No. 10</w:instrText>
      </w:r>
      <w:r>
        <w:instrText xml:space="preserve">" \s "I/A Court H.R., Interpretation of the American Declaration of the Rights and Duties of Man within the Framework of Article 64 of the American Convention on Human Rights. Advisory Opinion OC-10/89 of July 14,1989. Series A No. 10" \c 1 </w:instrText>
      </w:r>
      <w:r w:rsidR="00820DC0">
        <w:rPr>
          <w:rFonts w:cs="Times New Roman"/>
        </w:rPr>
        <w:fldChar w:fldCharType="end"/>
      </w:r>
      <w:r>
        <w:rPr>
          <w:rFonts w:cs="Times New Roman"/>
        </w:rPr>
        <w:t xml:space="preserve">, </w:t>
      </w:r>
      <w:r w:rsidRPr="0085640F">
        <w:rPr>
          <w:rFonts w:cs="Times New Roman"/>
        </w:rPr>
        <w:t>para. 43</w:t>
      </w:r>
    </w:p>
  </w:footnote>
  <w:footnote w:id="102">
    <w:p w:rsidR="00156D87" w:rsidRPr="00921CAF" w:rsidRDefault="00156D87" w:rsidP="00754B17">
      <w:pPr>
        <w:pStyle w:val="FootnoteText"/>
        <w:jc w:val="both"/>
        <w:rPr>
          <w:rFonts w:cs="Times New Roman"/>
        </w:rPr>
      </w:pPr>
      <w:r w:rsidRPr="00813B79">
        <w:rPr>
          <w:rStyle w:val="FootnoteReference"/>
          <w:rFonts w:cs="Times New Roman"/>
        </w:rPr>
        <w:footnoteRef/>
      </w:r>
      <w:r w:rsidRPr="00813B79">
        <w:rPr>
          <w:rFonts w:cs="Times New Roman"/>
        </w:rPr>
        <w:t xml:space="preserve"> Vienna Convention on the Law of Treaties (Article 31)</w:t>
      </w:r>
    </w:p>
  </w:footnote>
  <w:footnote w:id="103">
    <w:p w:rsidR="00156D87" w:rsidRPr="0085640F" w:rsidRDefault="00156D87" w:rsidP="00921CAF">
      <w:pPr>
        <w:pStyle w:val="FootnoteText"/>
        <w:jc w:val="both"/>
        <w:rPr>
          <w:rFonts w:cs="Times New Roman"/>
        </w:rPr>
      </w:pPr>
      <w:r w:rsidRPr="0085640F">
        <w:rPr>
          <w:rStyle w:val="FootnoteReference"/>
          <w:rFonts w:cs="Times New Roman"/>
        </w:rPr>
        <w:footnoteRef/>
      </w:r>
      <w:r>
        <w:rPr>
          <w:rFonts w:cs="Times New Roman"/>
        </w:rPr>
        <w:t xml:space="preserve"> </w:t>
      </w:r>
      <w:r w:rsidRPr="00921CAF">
        <w:rPr>
          <w:rFonts w:cs="Times New Roman"/>
        </w:rPr>
        <w:t xml:space="preserve">I/A Court H.R., </w:t>
      </w:r>
      <w:r w:rsidRPr="00921CAF">
        <w:rPr>
          <w:rFonts w:cs="Times New Roman"/>
          <w:i/>
        </w:rPr>
        <w:t>In the matter of Viviana Gallardo et al</w:t>
      </w:r>
      <w:r w:rsidRPr="00921CAF">
        <w:rPr>
          <w:rFonts w:cs="Times New Roman"/>
        </w:rPr>
        <w:t xml:space="preserve">. </w:t>
      </w:r>
      <w:r>
        <w:rPr>
          <w:rFonts w:cs="Times New Roman"/>
        </w:rPr>
        <w:t xml:space="preserve">Advisory Opinion of July 15, 1981, </w:t>
      </w:r>
      <w:r w:rsidRPr="00921CAF">
        <w:rPr>
          <w:rFonts w:cs="Times New Roman"/>
        </w:rPr>
        <w:t>Series A No. 101</w:t>
      </w:r>
      <w:r w:rsidR="00820DC0">
        <w:rPr>
          <w:rFonts w:cs="Times New Roman"/>
        </w:rPr>
        <w:fldChar w:fldCharType="begin"/>
      </w:r>
      <w:r>
        <w:instrText xml:space="preserve"> TA \l "</w:instrText>
      </w:r>
      <w:r w:rsidRPr="00D15968">
        <w:rPr>
          <w:rFonts w:cs="Times New Roman"/>
        </w:rPr>
        <w:instrText xml:space="preserve">I/A Court H.R., </w:instrText>
      </w:r>
      <w:r w:rsidRPr="00D15968">
        <w:rPr>
          <w:rFonts w:cs="Times New Roman"/>
          <w:i/>
        </w:rPr>
        <w:instrText>In the matter of Viviana Gallardo et al</w:instrText>
      </w:r>
      <w:r w:rsidRPr="00D15968">
        <w:rPr>
          <w:rFonts w:cs="Times New Roman"/>
        </w:rPr>
        <w:instrText>. Advisory Opinion of July 15, 1981, Series A No. 101</w:instrText>
      </w:r>
      <w:r>
        <w:instrText xml:space="preserve">" \s "I/A Court H.R., In the matter of Viviana Gallardo et al. Advisory Opinion of July 15, 1981, Series A No. 101" \c 1 </w:instrText>
      </w:r>
      <w:r w:rsidR="00820DC0">
        <w:rPr>
          <w:rFonts w:cs="Times New Roman"/>
        </w:rPr>
        <w:fldChar w:fldCharType="end"/>
      </w:r>
      <w:r>
        <w:rPr>
          <w:rFonts w:cs="Times New Roman"/>
        </w:rPr>
        <w:t xml:space="preserve">, </w:t>
      </w:r>
      <w:r w:rsidRPr="0085640F">
        <w:rPr>
          <w:rFonts w:cs="Times New Roman"/>
        </w:rPr>
        <w:t>para 16</w:t>
      </w:r>
      <w:r>
        <w:rPr>
          <w:rFonts w:cs="Times New Roman"/>
        </w:rPr>
        <w:t xml:space="preserve">; </w:t>
      </w:r>
      <w:r w:rsidRPr="00813B79">
        <w:rPr>
          <w:rFonts w:cs="Times New Roman"/>
        </w:rPr>
        <w:t>Jo M Pasqualucci. The Practice and Procedure of the Inter-American Court of Human Rights. supra note 52, p. 12</w:t>
      </w:r>
    </w:p>
  </w:footnote>
  <w:footnote w:id="104">
    <w:p w:rsidR="00156D87" w:rsidRPr="0085640F" w:rsidRDefault="00156D87" w:rsidP="00754B17">
      <w:pPr>
        <w:pStyle w:val="FootnoteText"/>
        <w:jc w:val="both"/>
        <w:rPr>
          <w:rFonts w:cs="Times New Roman"/>
        </w:rPr>
      </w:pPr>
      <w:r w:rsidRPr="0085640F">
        <w:rPr>
          <w:rStyle w:val="FootnoteReference"/>
          <w:rFonts w:cs="Times New Roman"/>
        </w:rPr>
        <w:footnoteRef/>
      </w:r>
      <w:r w:rsidRPr="0085640F">
        <w:rPr>
          <w:rFonts w:cs="Times New Roman"/>
        </w:rPr>
        <w:t xml:space="preserve"> </w:t>
      </w:r>
      <w:r w:rsidRPr="00921CAF">
        <w:rPr>
          <w:rFonts w:cs="Times New Roman"/>
        </w:rPr>
        <w:t>I/A Court H.R., Case of Vargas-Areco v. Paraguay. Judgment of September 26, 2006. Series C No. 155</w:t>
      </w:r>
      <w:r w:rsidR="00820DC0">
        <w:rPr>
          <w:rFonts w:cs="Times New Roman"/>
        </w:rPr>
        <w:fldChar w:fldCharType="begin"/>
      </w:r>
      <w:r>
        <w:instrText xml:space="preserve"> TA \l "</w:instrText>
      </w:r>
      <w:r w:rsidRPr="00131A39">
        <w:rPr>
          <w:rFonts w:cs="Times New Roman"/>
        </w:rPr>
        <w:instrText>I/A Court H.R., Case of Vargas-Areco v. Paraguay. Judgment of September 26, 2006. Series C No. 155</w:instrText>
      </w:r>
      <w:r>
        <w:instrText xml:space="preserve">" \s "I/A Court H.R., Case of Vargas-Areco v. Paraguay. Judgment of September 26, 2006. Series C No. 155" \c 1 </w:instrText>
      </w:r>
      <w:r w:rsidR="00820DC0">
        <w:rPr>
          <w:rFonts w:cs="Times New Roman"/>
        </w:rPr>
        <w:fldChar w:fldCharType="end"/>
      </w:r>
      <w:r>
        <w:rPr>
          <w:rFonts w:cs="Times New Roman"/>
        </w:rPr>
        <w:t xml:space="preserve">, </w:t>
      </w:r>
      <w:r w:rsidRPr="0085640F">
        <w:rPr>
          <w:rFonts w:cs="Times New Roman"/>
        </w:rPr>
        <w:t>para 85</w:t>
      </w:r>
      <w:r>
        <w:rPr>
          <w:rFonts w:cs="Times New Roman"/>
        </w:rPr>
        <w:t xml:space="preserve">; </w:t>
      </w:r>
      <w:r w:rsidRPr="0085640F">
        <w:rPr>
          <w:rFonts w:cs="Times New Roman"/>
        </w:rPr>
        <w:t xml:space="preserve">I/A Court H.R., </w:t>
      </w:r>
      <w:r w:rsidRPr="0085640F">
        <w:rPr>
          <w:rFonts w:cs="Times New Roman"/>
          <w:i/>
        </w:rPr>
        <w:t>Case of Ricardo Canese v. Paraguay</w:t>
      </w:r>
      <w:r w:rsidRPr="0085640F">
        <w:rPr>
          <w:rFonts w:cs="Times New Roman"/>
        </w:rPr>
        <w:t xml:space="preserve">, Merits, Reparations, and Costs, Judgment of 31 </w:t>
      </w:r>
      <w:r>
        <w:rPr>
          <w:rFonts w:cs="Times New Roman"/>
        </w:rPr>
        <w:t>Aug. 2004, Series C No. 111</w:t>
      </w:r>
      <w:r w:rsidR="00820DC0">
        <w:rPr>
          <w:rFonts w:cs="Times New Roman"/>
        </w:rPr>
        <w:fldChar w:fldCharType="begin"/>
      </w:r>
      <w:r>
        <w:instrText xml:space="preserve"> TA \l "</w:instrText>
      </w:r>
      <w:r w:rsidRPr="00A023C8">
        <w:rPr>
          <w:rFonts w:cs="Times New Roman"/>
        </w:rPr>
        <w:instrText xml:space="preserve">I/A Court H.R., </w:instrText>
      </w:r>
      <w:r w:rsidRPr="00A023C8">
        <w:rPr>
          <w:rFonts w:cs="Times New Roman"/>
          <w:i/>
        </w:rPr>
        <w:instrText>Case of Ricardo Canese v. Paraguay</w:instrText>
      </w:r>
      <w:r w:rsidRPr="00A023C8">
        <w:rPr>
          <w:rFonts w:cs="Times New Roman"/>
        </w:rPr>
        <w:instrText>, Merits, Reparations, and Costs, Judgment of 31 Aug. 2004, Series C No. 111</w:instrText>
      </w:r>
      <w:r>
        <w:instrText xml:space="preserve">" \s "I/A Court H.R., Case of Ricardo Canese v. Paraguay, Merits, Reparations, and Costs, Judgment of 31 Aug. 2004, Series C No. 111" \c 1 </w:instrText>
      </w:r>
      <w:r w:rsidR="00820DC0">
        <w:rPr>
          <w:rFonts w:cs="Times New Roman"/>
        </w:rPr>
        <w:fldChar w:fldCharType="end"/>
      </w:r>
      <w:r>
        <w:rPr>
          <w:rFonts w:cs="Times New Roman"/>
        </w:rPr>
        <w:t xml:space="preserve">, </w:t>
      </w:r>
      <w:r w:rsidRPr="0085640F">
        <w:rPr>
          <w:rFonts w:cs="Times New Roman"/>
        </w:rPr>
        <w:t>para. 181; I/A Court H.R</w:t>
      </w:r>
      <w:r w:rsidRPr="0085640F">
        <w:rPr>
          <w:rFonts w:cs="Times New Roman"/>
          <w:i/>
        </w:rPr>
        <w:t>., Case of Herrera-Ulloa v. Costa Rica</w:t>
      </w:r>
      <w:r w:rsidRPr="0085640F">
        <w:rPr>
          <w:rFonts w:cs="Times New Roman"/>
        </w:rPr>
        <w:t xml:space="preserve">, Preliminary Objections, Merits, Reparations, and Costs, Judgment of 2 </w:t>
      </w:r>
      <w:r>
        <w:rPr>
          <w:rFonts w:cs="Times New Roman"/>
        </w:rPr>
        <w:t>July 2004, Series C No. 107,</w:t>
      </w:r>
      <w:r w:rsidR="00820DC0">
        <w:rPr>
          <w:rFonts w:cs="Times New Roman"/>
        </w:rPr>
        <w:fldChar w:fldCharType="begin"/>
      </w:r>
      <w:r>
        <w:instrText xml:space="preserve"> TA \s "I/A Court H.R., Case of Herrera-Ulloa v. Costa Rica. Preliminary Objections, Merits, Reparations and Costs. Judgment of July 2, 2004. Series C No. 107" </w:instrText>
      </w:r>
      <w:r w:rsidR="00820DC0">
        <w:rPr>
          <w:rFonts w:cs="Times New Roman"/>
        </w:rPr>
        <w:fldChar w:fldCharType="end"/>
      </w:r>
      <w:r>
        <w:rPr>
          <w:rFonts w:cs="Times New Roman"/>
        </w:rPr>
        <w:t xml:space="preserve"> </w:t>
      </w:r>
      <w:r w:rsidRPr="0085640F">
        <w:rPr>
          <w:rFonts w:cs="Times New Roman"/>
        </w:rPr>
        <w:t>para. 184</w:t>
      </w:r>
    </w:p>
  </w:footnote>
  <w:footnote w:id="105">
    <w:p w:rsidR="00156D87" w:rsidRPr="00354D94" w:rsidRDefault="00156D87" w:rsidP="00754B17">
      <w:pPr>
        <w:pStyle w:val="FootnoteText"/>
        <w:jc w:val="both"/>
        <w:rPr>
          <w:rFonts w:cs="Times New Roman"/>
          <w:i/>
        </w:rPr>
      </w:pPr>
      <w:r w:rsidRPr="0085640F">
        <w:rPr>
          <w:rStyle w:val="FootnoteReference"/>
          <w:rFonts w:cs="Times New Roman"/>
        </w:rPr>
        <w:footnoteRef/>
      </w:r>
      <w:r>
        <w:rPr>
          <w:rFonts w:cs="Times New Roman"/>
        </w:rPr>
        <w:t xml:space="preserve"> </w:t>
      </w:r>
      <w:r w:rsidRPr="002D42AB">
        <w:rPr>
          <w:rFonts w:cs="Times New Roman"/>
        </w:rPr>
        <w:t xml:space="preserve">I/A Court H.R., </w:t>
      </w:r>
      <w:r w:rsidRPr="002D42AB">
        <w:rPr>
          <w:rFonts w:cs="Times New Roman"/>
          <w:i/>
        </w:rPr>
        <w:t>The Right to Information on Consular Assistance. In the Framework of the Guarantees of the due Process of Law</w:t>
      </w:r>
      <w:r>
        <w:rPr>
          <w:rFonts w:cs="Times New Roman"/>
        </w:rPr>
        <w:t xml:space="preserve">, </w:t>
      </w:r>
      <w:r w:rsidRPr="00354D94">
        <w:rPr>
          <w:rFonts w:cs="Times New Roman"/>
          <w:i/>
        </w:rPr>
        <w:t>supra</w:t>
      </w:r>
      <w:r>
        <w:rPr>
          <w:rFonts w:cs="Times New Roman"/>
        </w:rPr>
        <w:t xml:space="preserve"> note 102</w:t>
      </w:r>
      <w:r w:rsidR="00820DC0">
        <w:rPr>
          <w:rFonts w:cs="Times New Roman"/>
        </w:rPr>
        <w:fldChar w:fldCharType="begin"/>
      </w:r>
      <w:r>
        <w:instrText xml:space="preserve"> TA \s "I/A Court H.R., The Right to Information on Consular Assistance. In the Framework of the Guarantees of the due Process of Law. Advisory Opinion OC-16/99 of October 1, 1999. Series A No. 16" </w:instrText>
      </w:r>
      <w:r w:rsidR="00820DC0">
        <w:rPr>
          <w:rFonts w:cs="Times New Roman"/>
        </w:rPr>
        <w:fldChar w:fldCharType="end"/>
      </w:r>
      <w:r>
        <w:rPr>
          <w:rFonts w:cs="Times New Roman"/>
        </w:rPr>
        <w:t>, para 114</w:t>
      </w:r>
    </w:p>
  </w:footnote>
  <w:footnote w:id="106">
    <w:p w:rsidR="00156D87" w:rsidRPr="00114793" w:rsidRDefault="00156D87" w:rsidP="00754B17">
      <w:pPr>
        <w:pStyle w:val="FootnoteText"/>
        <w:jc w:val="both"/>
        <w:rPr>
          <w:rFonts w:cs="Times New Roman"/>
        </w:rPr>
      </w:pPr>
      <w:r w:rsidRPr="00813B79">
        <w:rPr>
          <w:rStyle w:val="FootnoteReference"/>
          <w:rFonts w:cs="Times New Roman"/>
        </w:rPr>
        <w:footnoteRef/>
      </w:r>
      <w:r w:rsidRPr="00813B79">
        <w:rPr>
          <w:rFonts w:cs="Times New Roman"/>
        </w:rPr>
        <w:t xml:space="preserve"> IACHR, Report No. 81/10, Case 12.562, </w:t>
      </w:r>
      <w:r w:rsidRPr="00813B79">
        <w:rPr>
          <w:rFonts w:cs="Times New Roman"/>
          <w:i/>
        </w:rPr>
        <w:t>Wayne Smith, Hugo Armendariz, et al. v. United States</w:t>
      </w:r>
      <w:r w:rsidRPr="00813B79">
        <w:rPr>
          <w:rFonts w:cs="Times New Roman"/>
        </w:rPr>
        <w:t>, 12 July 2010</w:t>
      </w:r>
      <w:r w:rsidR="00820DC0">
        <w:rPr>
          <w:rFonts w:cs="Times New Roman"/>
        </w:rPr>
        <w:fldChar w:fldCharType="begin"/>
      </w:r>
      <w:r>
        <w:instrText xml:space="preserve"> TA \l "</w:instrText>
      </w:r>
      <w:r w:rsidRPr="002E4C78">
        <w:rPr>
          <w:rFonts w:cs="Times New Roman"/>
        </w:rPr>
        <w:instrText xml:space="preserve">IACHR, Report No. 81/10, Case 12.562, </w:instrText>
      </w:r>
      <w:r w:rsidRPr="002E4C78">
        <w:rPr>
          <w:rFonts w:cs="Times New Roman"/>
          <w:i/>
        </w:rPr>
        <w:instrText>Wayne Smith, Hugo Armendariz, et al. v. United States</w:instrText>
      </w:r>
      <w:r w:rsidRPr="002E4C78">
        <w:rPr>
          <w:rFonts w:cs="Times New Roman"/>
        </w:rPr>
        <w:instrText>, 12 July 2010</w:instrText>
      </w:r>
      <w:r>
        <w:instrText xml:space="preserve">" \s "IACHR, Report No. 81/10, Case 12.562, Wayne Smith, Hugo Armendariz, et al. v. United States, 12 July 2010" \c 1 </w:instrText>
      </w:r>
      <w:r w:rsidR="00820DC0">
        <w:rPr>
          <w:rFonts w:cs="Times New Roman"/>
        </w:rPr>
        <w:fldChar w:fldCharType="end"/>
      </w:r>
      <w:r>
        <w:rPr>
          <w:rFonts w:cs="Times New Roman"/>
        </w:rPr>
        <w:t xml:space="preserve">, </w:t>
      </w:r>
      <w:r w:rsidRPr="00813B79">
        <w:rPr>
          <w:rFonts w:cs="Times New Roman"/>
        </w:rPr>
        <w:t>para 46</w:t>
      </w:r>
    </w:p>
  </w:footnote>
  <w:footnote w:id="107">
    <w:p w:rsidR="00156D87" w:rsidRPr="00A904C8" w:rsidRDefault="00156D87" w:rsidP="00754B17">
      <w:pPr>
        <w:pStyle w:val="FootnoteText"/>
        <w:jc w:val="both"/>
        <w:rPr>
          <w:rFonts w:cs="Times New Roman"/>
        </w:rPr>
      </w:pPr>
      <w:r w:rsidRPr="00A904C8">
        <w:rPr>
          <w:rStyle w:val="FootnoteReference"/>
          <w:rFonts w:cs="Times New Roman"/>
        </w:rPr>
        <w:footnoteRef/>
      </w:r>
      <w:r w:rsidRPr="00A904C8">
        <w:rPr>
          <w:rFonts w:cs="Times New Roman"/>
        </w:rPr>
        <w:t xml:space="preserve"> </w:t>
      </w:r>
      <w:r>
        <w:rPr>
          <w:rFonts w:cs="Times New Roman"/>
        </w:rPr>
        <w:t xml:space="preserve">ECtHR, </w:t>
      </w:r>
      <w:r w:rsidRPr="00354D94">
        <w:rPr>
          <w:rFonts w:cs="Times New Roman"/>
          <w:i/>
        </w:rPr>
        <w:t>Goodwin v UK</w:t>
      </w:r>
      <w:r>
        <w:rPr>
          <w:rFonts w:cs="Times New Roman"/>
        </w:rPr>
        <w:t xml:space="preserve">, Application No. </w:t>
      </w:r>
      <w:r w:rsidRPr="00354D94">
        <w:rPr>
          <w:rFonts w:cs="Times New Roman"/>
        </w:rPr>
        <w:t>28957/95</w:t>
      </w:r>
      <w:r>
        <w:rPr>
          <w:rFonts w:cs="Times New Roman"/>
        </w:rPr>
        <w:t>, July 11, 2002</w:t>
      </w:r>
      <w:r w:rsidR="00820DC0">
        <w:rPr>
          <w:rFonts w:cs="Times New Roman"/>
        </w:rPr>
        <w:fldChar w:fldCharType="begin"/>
      </w:r>
      <w:r>
        <w:instrText xml:space="preserve"> TA \l "</w:instrText>
      </w:r>
      <w:r w:rsidRPr="0091435C">
        <w:rPr>
          <w:rFonts w:cs="Times New Roman"/>
        </w:rPr>
        <w:instrText xml:space="preserve">ECtHR, </w:instrText>
      </w:r>
      <w:r w:rsidRPr="0091435C">
        <w:rPr>
          <w:rFonts w:cs="Times New Roman"/>
          <w:i/>
        </w:rPr>
        <w:instrText>Goodwin v UK</w:instrText>
      </w:r>
      <w:r w:rsidRPr="0091435C">
        <w:rPr>
          <w:rFonts w:cs="Times New Roman"/>
        </w:rPr>
        <w:instrText>, Application No. 28957/95, July 11, 2002</w:instrText>
      </w:r>
      <w:r>
        <w:instrText xml:space="preserve">" \s "ECtHR, Goodwin v UK, Application No. 28957/95, July 11, 2002" \c 1 </w:instrText>
      </w:r>
      <w:r w:rsidR="00820DC0">
        <w:rPr>
          <w:rFonts w:cs="Times New Roman"/>
        </w:rPr>
        <w:fldChar w:fldCharType="end"/>
      </w:r>
      <w:r>
        <w:rPr>
          <w:rFonts w:cs="Times New Roman"/>
        </w:rPr>
        <w:t>,</w:t>
      </w:r>
      <w:r w:rsidRPr="00A904C8">
        <w:rPr>
          <w:rFonts w:cs="Times New Roman"/>
        </w:rPr>
        <w:t xml:space="preserve"> para 98</w:t>
      </w:r>
    </w:p>
  </w:footnote>
  <w:footnote w:id="108">
    <w:p w:rsidR="00156D87" w:rsidRPr="006D67E6" w:rsidRDefault="00156D87" w:rsidP="00754B17">
      <w:pPr>
        <w:pStyle w:val="FootnoteText"/>
        <w:jc w:val="both"/>
        <w:rPr>
          <w:rFonts w:cs="Times New Roman"/>
        </w:rPr>
      </w:pPr>
      <w:r w:rsidRPr="006D67E6">
        <w:rPr>
          <w:rStyle w:val="FootnoteReference"/>
          <w:rFonts w:cs="Times New Roman"/>
        </w:rPr>
        <w:footnoteRef/>
      </w:r>
      <w:r w:rsidRPr="006D67E6">
        <w:rPr>
          <w:rFonts w:cs="Times New Roman"/>
        </w:rPr>
        <w:t xml:space="preserve"> United Nations Human Rights Committee </w:t>
      </w:r>
      <w:r w:rsidRPr="006D67E6">
        <w:rPr>
          <w:rFonts w:cs="Times New Roman"/>
          <w:i/>
        </w:rPr>
        <w:t>Joslin v. New Zealand</w:t>
      </w:r>
      <w:r w:rsidRPr="006D67E6">
        <w:rPr>
          <w:rFonts w:cs="Times New Roman"/>
        </w:rPr>
        <w:t>. Communication No. 902/1999. 17 July 2002</w:t>
      </w:r>
      <w:r w:rsidR="00820DC0" w:rsidRPr="006D67E6">
        <w:rPr>
          <w:rFonts w:cs="Times New Roman"/>
        </w:rPr>
        <w:fldChar w:fldCharType="begin"/>
      </w:r>
      <w:r w:rsidRPr="006D67E6">
        <w:rPr>
          <w:rFonts w:cs="Times New Roman"/>
        </w:rPr>
        <w:instrText xml:space="preserve"> TA \l "United Nations Human Rights Committee </w:instrText>
      </w:r>
      <w:r w:rsidRPr="006D67E6">
        <w:rPr>
          <w:rFonts w:cs="Times New Roman"/>
          <w:i/>
        </w:rPr>
        <w:instrText>Joslin v. New Zealand</w:instrText>
      </w:r>
      <w:r w:rsidRPr="006D67E6">
        <w:rPr>
          <w:rFonts w:cs="Times New Roman"/>
        </w:rPr>
        <w:instrText xml:space="preserve">. Communication No. 902/1999. 17 July 2002" \s "United Nations Human Rights Committee Joslin v. New Zealand. Communication No. 902/1999. 17 July 2002" \c 1 </w:instrText>
      </w:r>
      <w:r w:rsidR="00820DC0" w:rsidRPr="006D67E6">
        <w:rPr>
          <w:rFonts w:cs="Times New Roman"/>
        </w:rPr>
        <w:fldChar w:fldCharType="end"/>
      </w:r>
      <w:r w:rsidRPr="006D67E6">
        <w:rPr>
          <w:rFonts w:cs="Times New Roman"/>
        </w:rPr>
        <w:t xml:space="preserve"> (HRC)</w:t>
      </w:r>
    </w:p>
  </w:footnote>
  <w:footnote w:id="109">
    <w:p w:rsidR="00156D87" w:rsidRPr="006D67E6" w:rsidRDefault="00156D87" w:rsidP="00754B17">
      <w:pPr>
        <w:pStyle w:val="FootnoteText"/>
        <w:jc w:val="both"/>
        <w:rPr>
          <w:rFonts w:cs="Times New Roman"/>
        </w:rPr>
      </w:pPr>
      <w:r w:rsidRPr="006D67E6">
        <w:rPr>
          <w:rStyle w:val="FootnoteReference"/>
          <w:rFonts w:cs="Times New Roman"/>
        </w:rPr>
        <w:footnoteRef/>
      </w:r>
      <w:r w:rsidRPr="006D67E6">
        <w:rPr>
          <w:rFonts w:cs="Times New Roman"/>
        </w:rPr>
        <w:t xml:space="preserve"> Article 14, ECHR</w:t>
      </w:r>
    </w:p>
  </w:footnote>
  <w:footnote w:id="110">
    <w:p w:rsidR="00156D87" w:rsidRPr="006D67E6" w:rsidRDefault="00156D87" w:rsidP="00754B17">
      <w:pPr>
        <w:pStyle w:val="FootnoteText"/>
        <w:jc w:val="both"/>
        <w:rPr>
          <w:rFonts w:cs="Times New Roman"/>
        </w:rPr>
      </w:pPr>
      <w:r w:rsidRPr="006D67E6">
        <w:rPr>
          <w:rStyle w:val="FootnoteReference"/>
          <w:rFonts w:cs="Times New Roman"/>
        </w:rPr>
        <w:footnoteRef/>
      </w:r>
      <w:r w:rsidRPr="006D67E6">
        <w:rPr>
          <w:rFonts w:cs="Times New Roman"/>
        </w:rPr>
        <w:t xml:space="preserve"> Loveday Hodson. </w:t>
      </w:r>
      <w:r w:rsidRPr="006D67E6">
        <w:rPr>
          <w:rFonts w:cs="Times New Roman"/>
          <w:i/>
        </w:rPr>
        <w:t>A Marriage by Any Other Name? Schalk and Kopf v Austria</w:t>
      </w:r>
      <w:r w:rsidRPr="006D67E6">
        <w:rPr>
          <w:rFonts w:cs="Times New Roman"/>
        </w:rPr>
        <w:t xml:space="preserve"> (2011) Human Rights Law Review, HRLR (2011)</w:t>
      </w:r>
      <w:r w:rsidR="00820DC0" w:rsidRPr="006D67E6">
        <w:rPr>
          <w:rFonts w:cs="Times New Roman"/>
        </w:rPr>
        <w:fldChar w:fldCharType="begin"/>
      </w:r>
      <w:r w:rsidRPr="006D67E6">
        <w:rPr>
          <w:rFonts w:cs="Times New Roman"/>
        </w:rPr>
        <w:instrText xml:space="preserve"> TA \l "Loveday Hodson. </w:instrText>
      </w:r>
      <w:r w:rsidRPr="006D67E6">
        <w:rPr>
          <w:rFonts w:cs="Times New Roman"/>
          <w:i/>
        </w:rPr>
        <w:instrText>A Marriage by Any Other Name? Schalk and Kopf v Austria</w:instrText>
      </w:r>
      <w:r w:rsidRPr="006D67E6">
        <w:rPr>
          <w:rFonts w:cs="Times New Roman"/>
        </w:rPr>
        <w:instrText xml:space="preserve"> (2011) Human Rights Law Review, HRLR (2011)" \s "Loveday Hodson. A Marriage by Any Other Name? Schalk and Kopf v Austria (2011) Human Rights Law Review, HRLR (2011)" \c 2 </w:instrText>
      </w:r>
      <w:r w:rsidR="00820DC0" w:rsidRPr="006D67E6">
        <w:rPr>
          <w:rFonts w:cs="Times New Roman"/>
        </w:rPr>
        <w:fldChar w:fldCharType="end"/>
      </w:r>
      <w:r w:rsidRPr="006D67E6">
        <w:rPr>
          <w:rFonts w:cs="Times New Roman"/>
        </w:rPr>
        <w:t>, p. 3</w:t>
      </w:r>
    </w:p>
  </w:footnote>
  <w:footnote w:id="111">
    <w:p w:rsidR="00156D87" w:rsidRPr="006D67E6" w:rsidRDefault="00156D87" w:rsidP="00754B17">
      <w:pPr>
        <w:pStyle w:val="FootnoteText"/>
        <w:jc w:val="both"/>
        <w:rPr>
          <w:rFonts w:cs="Times New Roman"/>
        </w:rPr>
      </w:pPr>
      <w:r w:rsidRPr="006D67E6">
        <w:rPr>
          <w:rStyle w:val="FootnoteReference"/>
          <w:rFonts w:cs="Times New Roman"/>
        </w:rPr>
        <w:footnoteRef/>
      </w:r>
      <w:r w:rsidRPr="006D67E6">
        <w:rPr>
          <w:rFonts w:cs="Times New Roman"/>
        </w:rPr>
        <w:t xml:space="preserve"> ECtHR, </w:t>
      </w:r>
      <w:r w:rsidRPr="006D67E6">
        <w:rPr>
          <w:rFonts w:cs="Times New Roman"/>
          <w:i/>
        </w:rPr>
        <w:t>Schalk and Kopf, supra</w:t>
      </w:r>
      <w:r w:rsidRPr="006D67E6">
        <w:rPr>
          <w:rFonts w:cs="Times New Roman"/>
        </w:rPr>
        <w:t xml:space="preserve"> note 79, para 61</w:t>
      </w:r>
      <w:r w:rsidR="00820DC0" w:rsidRPr="006D67E6">
        <w:rPr>
          <w:rFonts w:cs="Times New Roman"/>
        </w:rPr>
        <w:fldChar w:fldCharType="begin"/>
      </w:r>
      <w:r w:rsidRPr="006D67E6">
        <w:rPr>
          <w:rFonts w:cs="Times New Roman"/>
        </w:rPr>
        <w:instrText xml:space="preserve"> TA \s "ECtHR, Schalk and Kopf v Austria, Application No. 30141/04, June 24, 2010" </w:instrText>
      </w:r>
      <w:r w:rsidR="00820DC0" w:rsidRPr="006D67E6">
        <w:rPr>
          <w:rFonts w:cs="Times New Roman"/>
        </w:rPr>
        <w:fldChar w:fldCharType="end"/>
      </w:r>
    </w:p>
  </w:footnote>
  <w:footnote w:id="112">
    <w:p w:rsidR="00156D87" w:rsidRPr="006D67E6" w:rsidRDefault="00156D87" w:rsidP="00754B17">
      <w:pPr>
        <w:pStyle w:val="FootnoteText"/>
        <w:jc w:val="both"/>
        <w:rPr>
          <w:rFonts w:cs="Times New Roman"/>
        </w:rPr>
      </w:pPr>
      <w:r w:rsidRPr="006D67E6">
        <w:rPr>
          <w:rStyle w:val="FootnoteReference"/>
          <w:rFonts w:cs="Times New Roman"/>
        </w:rPr>
        <w:footnoteRef/>
      </w:r>
      <w:r w:rsidRPr="006D67E6">
        <w:rPr>
          <w:rFonts w:cs="Times New Roman"/>
        </w:rPr>
        <w:t xml:space="preserve"> ECtHR, </w:t>
      </w:r>
      <w:r w:rsidRPr="006D67E6">
        <w:rPr>
          <w:rFonts w:cs="Times New Roman"/>
          <w:i/>
        </w:rPr>
        <w:t>Schalk and Kopf, supra</w:t>
      </w:r>
      <w:r w:rsidRPr="006D67E6">
        <w:rPr>
          <w:rFonts w:cs="Times New Roman"/>
        </w:rPr>
        <w:t xml:space="preserve"> note 79, para</w:t>
      </w:r>
      <w:r w:rsidR="00820DC0" w:rsidRPr="006D67E6">
        <w:rPr>
          <w:rFonts w:cs="Times New Roman"/>
        </w:rPr>
        <w:fldChar w:fldCharType="begin"/>
      </w:r>
      <w:r w:rsidRPr="006D67E6">
        <w:rPr>
          <w:rFonts w:cs="Times New Roman"/>
        </w:rPr>
        <w:instrText xml:space="preserve"> TA \s "ECtHR, Schalk and Kopf v Austria, Application No. 30141/04, June 24, 2010" </w:instrText>
      </w:r>
      <w:r w:rsidR="00820DC0" w:rsidRPr="006D67E6">
        <w:rPr>
          <w:rFonts w:cs="Times New Roman"/>
        </w:rPr>
        <w:fldChar w:fldCharType="end"/>
      </w:r>
      <w:r w:rsidRPr="006D67E6">
        <w:rPr>
          <w:rFonts w:cs="Times New Roman"/>
        </w:rPr>
        <w:t xml:space="preserve"> 58</w:t>
      </w:r>
    </w:p>
  </w:footnote>
  <w:footnote w:id="113">
    <w:p w:rsidR="00156D87" w:rsidRPr="00534505" w:rsidRDefault="00156D87" w:rsidP="00754B17">
      <w:pPr>
        <w:pStyle w:val="FootnoteText"/>
        <w:jc w:val="both"/>
        <w:rPr>
          <w:rFonts w:cs="Times New Roman"/>
        </w:rPr>
      </w:pPr>
      <w:r w:rsidRPr="006D67E6">
        <w:rPr>
          <w:rStyle w:val="FootnoteReference"/>
          <w:rFonts w:cs="Times New Roman"/>
        </w:rPr>
        <w:footnoteRef/>
      </w:r>
      <w:r w:rsidRPr="006D67E6">
        <w:rPr>
          <w:rFonts w:cs="Times New Roman"/>
        </w:rPr>
        <w:t xml:space="preserve"> See pages 21-25 of this Memorial</w:t>
      </w:r>
    </w:p>
  </w:footnote>
  <w:footnote w:id="114">
    <w:p w:rsidR="00156D87" w:rsidRPr="00813B79" w:rsidRDefault="00156D87" w:rsidP="00754B17">
      <w:pPr>
        <w:pStyle w:val="FootnoteText"/>
        <w:jc w:val="both"/>
        <w:rPr>
          <w:rFonts w:cs="Times New Roman"/>
        </w:rPr>
      </w:pPr>
      <w:r w:rsidRPr="00813B79">
        <w:rPr>
          <w:rStyle w:val="FootnoteReference"/>
          <w:rFonts w:cs="Times New Roman"/>
        </w:rPr>
        <w:footnoteRef/>
      </w:r>
      <w:r w:rsidRPr="00813B79">
        <w:rPr>
          <w:rFonts w:cs="Times New Roman"/>
        </w:rPr>
        <w:t xml:space="preserve"> Article VI, American Declaration; Article, 15, Additional Protocol to the American Convention on Human Rights in the Area of Economic, Social and Cultural Rights (“Protocol of San Salvador”)</w:t>
      </w:r>
    </w:p>
  </w:footnote>
  <w:footnote w:id="115">
    <w:p w:rsidR="00156D87" w:rsidRPr="00813B79" w:rsidRDefault="00156D87" w:rsidP="00754B17">
      <w:pPr>
        <w:pStyle w:val="FootnoteText"/>
        <w:jc w:val="both"/>
        <w:rPr>
          <w:rFonts w:cs="Times New Roman"/>
        </w:rPr>
      </w:pPr>
      <w:r w:rsidRPr="00813B79">
        <w:rPr>
          <w:rStyle w:val="FootnoteReference"/>
          <w:rFonts w:cs="Times New Roman"/>
        </w:rPr>
        <w:footnoteRef/>
      </w:r>
      <w:r w:rsidRPr="00813B79">
        <w:rPr>
          <w:rFonts w:cs="Times New Roman"/>
        </w:rPr>
        <w:t xml:space="preserve"> </w:t>
      </w:r>
      <w:r>
        <w:rPr>
          <w:rFonts w:cs="Times New Roman"/>
        </w:rPr>
        <w:t>I</w:t>
      </w:r>
      <w:r w:rsidRPr="00813B79">
        <w:rPr>
          <w:rFonts w:cs="Times New Roman"/>
        </w:rPr>
        <w:t>/A Court H.R</w:t>
      </w:r>
      <w:r w:rsidRPr="00813B79">
        <w:rPr>
          <w:rFonts w:cs="Times New Roman"/>
          <w:i/>
        </w:rPr>
        <w:t>., "Other treaties” subject to the advisory jurisdiction of the Court (Art. 64 American Convention on Human Rights).</w:t>
      </w:r>
      <w:r w:rsidRPr="00813B79">
        <w:rPr>
          <w:rFonts w:cs="Times New Roman"/>
        </w:rPr>
        <w:t xml:space="preserve"> Advisory Opinion OC-1/82 of September 24, 1982. Series A No. 1</w:t>
      </w:r>
      <w:r w:rsidR="00820DC0">
        <w:rPr>
          <w:rFonts w:cs="Times New Roman"/>
        </w:rPr>
        <w:fldChar w:fldCharType="begin"/>
      </w:r>
      <w:r>
        <w:instrText xml:space="preserve"> TA \l "</w:instrText>
      </w:r>
      <w:r w:rsidRPr="00D56A98">
        <w:rPr>
          <w:rFonts w:cs="Times New Roman"/>
        </w:rPr>
        <w:instrText>I/A Court H.R</w:instrText>
      </w:r>
      <w:r w:rsidRPr="00D56A98">
        <w:rPr>
          <w:rFonts w:cs="Times New Roman"/>
          <w:i/>
        </w:rPr>
        <w:instrText xml:space="preserve">., </w:instrText>
      </w:r>
      <w:r>
        <w:instrText>\</w:instrText>
      </w:r>
      <w:r w:rsidRPr="00D56A98">
        <w:rPr>
          <w:rFonts w:cs="Times New Roman"/>
          <w:i/>
        </w:rPr>
        <w:instrText>"Other treaties</w:instrText>
      </w:r>
      <w:r>
        <w:instrText>\</w:instrText>
      </w:r>
      <w:r w:rsidRPr="00D56A98">
        <w:rPr>
          <w:rFonts w:cs="Times New Roman"/>
          <w:i/>
        </w:rPr>
        <w:instrText>” subject to the advisory jurisdiction of the Court (Art. 64 American Convention on Human Rights).</w:instrText>
      </w:r>
      <w:r w:rsidRPr="00D56A98">
        <w:rPr>
          <w:rFonts w:cs="Times New Roman"/>
        </w:rPr>
        <w:instrText xml:space="preserve"> Advisory Opinion OC-1/82 of September 24, 1982. Series A No. 1</w:instrText>
      </w:r>
      <w:r>
        <w:instrText xml:space="preserve">" \s "I/A Court H.R., \"Other treaties\" subject to the advisory jurisdiction of the Court (Art. 64 American Convention on Human Rights). Advisory Opinion OC-1/82 of September 24, 1982. Series A No. 1" \c 1 </w:instrText>
      </w:r>
      <w:r w:rsidR="00820DC0">
        <w:rPr>
          <w:rFonts w:cs="Times New Roman"/>
        </w:rPr>
        <w:fldChar w:fldCharType="end"/>
      </w:r>
    </w:p>
  </w:footnote>
  <w:footnote w:id="116">
    <w:p w:rsidR="00156D87" w:rsidRPr="001019C7" w:rsidRDefault="00156D87" w:rsidP="000A6550">
      <w:pPr>
        <w:pStyle w:val="FootnoteText"/>
        <w:jc w:val="both"/>
        <w:rPr>
          <w:rFonts w:cs="Times New Roman"/>
        </w:rPr>
      </w:pPr>
      <w:r w:rsidRPr="001019C7">
        <w:rPr>
          <w:rStyle w:val="FootnoteReference"/>
          <w:rFonts w:cs="Times New Roman"/>
        </w:rPr>
        <w:footnoteRef/>
      </w:r>
      <w:r w:rsidRPr="001019C7">
        <w:rPr>
          <w:rFonts w:cs="Times New Roman"/>
        </w:rPr>
        <w:t xml:space="preserve"> I/A Court H.R., </w:t>
      </w:r>
      <w:r w:rsidRPr="00F70881">
        <w:rPr>
          <w:rFonts w:cs="Times New Roman"/>
          <w:i/>
        </w:rPr>
        <w:t>Case of Artavia Murillo et al ("In vitro fertilization") v. Costa Rica</w:t>
      </w:r>
      <w:r>
        <w:rPr>
          <w:rFonts w:cs="Times New Roman"/>
        </w:rPr>
        <w:t xml:space="preserve">, </w:t>
      </w:r>
      <w:r w:rsidRPr="001019C7">
        <w:rPr>
          <w:rFonts w:cs="Times New Roman"/>
          <w:i/>
        </w:rPr>
        <w:t>supra</w:t>
      </w:r>
      <w:r>
        <w:rPr>
          <w:rFonts w:cs="Times New Roman"/>
        </w:rPr>
        <w:t xml:space="preserve"> note 84</w:t>
      </w:r>
      <w:r w:rsidR="00820DC0" w:rsidRPr="001019C7">
        <w:rPr>
          <w:rFonts w:cs="Times New Roman"/>
        </w:rPr>
        <w:fldChar w:fldCharType="begin"/>
      </w:r>
      <w:r>
        <w:rPr>
          <w:rFonts w:cs="Times New Roman"/>
        </w:rPr>
        <w:instrText xml:space="preserve"> TA \s "I/A Court H.R., </w:instrText>
      </w:r>
      <w:r w:rsidRPr="001019C7">
        <w:rPr>
          <w:rFonts w:cs="Times New Roman"/>
        </w:rPr>
        <w:instrText xml:space="preserve">Artavia Murillo et al (\"In vitro fertilization\") v. Costa Rica. Preliminary Objections, Merits, Reparations and Costs. Judgment of November 28, 2012. Series C No. 257" </w:instrText>
      </w:r>
      <w:r w:rsidR="00820DC0" w:rsidRPr="001019C7">
        <w:rPr>
          <w:rFonts w:cs="Times New Roman"/>
        </w:rPr>
        <w:fldChar w:fldCharType="end"/>
      </w:r>
      <w:r w:rsidRPr="001019C7">
        <w:rPr>
          <w:rFonts w:cs="Times New Roman"/>
        </w:rPr>
        <w:t xml:space="preserve"> para 143; I/A Court H.R., </w:t>
      </w:r>
      <w:r w:rsidRPr="001019C7">
        <w:rPr>
          <w:rFonts w:cs="Times New Roman"/>
          <w:i/>
        </w:rPr>
        <w:t>Case of Rosendo-Cantú et al. v. Mexico</w:t>
      </w:r>
      <w:r w:rsidRPr="001019C7">
        <w:rPr>
          <w:rFonts w:cs="Times New Roman"/>
        </w:rPr>
        <w:t>. Preliminary Objection, Merits, Reparations, and Costs. Judgment of August 31, 2010. Series C No. 216</w:t>
      </w:r>
      <w:r w:rsidR="00820DC0" w:rsidRPr="001019C7">
        <w:rPr>
          <w:rFonts w:cs="Times New Roman"/>
        </w:rPr>
        <w:fldChar w:fldCharType="begin"/>
      </w:r>
      <w:r w:rsidRPr="001019C7">
        <w:rPr>
          <w:rFonts w:cs="Times New Roman"/>
        </w:rPr>
        <w:instrText xml:space="preserve"> TA \l "I/A Court H.R., </w:instrText>
      </w:r>
      <w:r w:rsidRPr="001019C7">
        <w:rPr>
          <w:rFonts w:cs="Times New Roman"/>
          <w:i/>
        </w:rPr>
        <w:instrText>Case of Rosendo-Cantú et al. v. Mexico</w:instrText>
      </w:r>
      <w:r w:rsidRPr="001019C7">
        <w:rPr>
          <w:rFonts w:cs="Times New Roman"/>
        </w:rPr>
        <w:instrText xml:space="preserve">. Preliminary Objection, Merits, Reparations, and Costs. Judgment of August 31, 2010. Series C No. 216" \s "I/A Court H.R., Case of Rosendo-Cantú et al. v. Mexico. Preliminary Objection, Merits, Reparations, and Costs. Judgment of August 31, 2010. Series C No. 216" \c 1 </w:instrText>
      </w:r>
      <w:r w:rsidR="00820DC0" w:rsidRPr="001019C7">
        <w:rPr>
          <w:rFonts w:cs="Times New Roman"/>
        </w:rPr>
        <w:fldChar w:fldCharType="end"/>
      </w:r>
      <w:r w:rsidRPr="001019C7">
        <w:rPr>
          <w:rFonts w:cs="Times New Roman"/>
        </w:rPr>
        <w:t xml:space="preserve">, para. 119; </w:t>
      </w:r>
      <w:r w:rsidR="00A6208A" w:rsidRPr="00A6208A">
        <w:rPr>
          <w:rFonts w:cs="Times New Roman"/>
        </w:rPr>
        <w:t>I/A Court H.R</w:t>
      </w:r>
      <w:r w:rsidR="00A6208A">
        <w:rPr>
          <w:rFonts w:cs="Times New Roman"/>
        </w:rPr>
        <w:t xml:space="preserve">, </w:t>
      </w:r>
      <w:r w:rsidR="00A6208A" w:rsidRPr="00A6208A">
        <w:rPr>
          <w:rFonts w:cs="Times New Roman"/>
        </w:rPr>
        <w:t xml:space="preserve"> </w:t>
      </w:r>
      <w:r w:rsidRPr="001019C7">
        <w:rPr>
          <w:rFonts w:cs="Times New Roman"/>
          <w:i/>
        </w:rPr>
        <w:t>Case of Fernández Ortega et al. v. Mexico</w:t>
      </w:r>
      <w:r w:rsidRPr="001019C7">
        <w:rPr>
          <w:rFonts w:cs="Times New Roman"/>
        </w:rPr>
        <w:t>. Preliminary Objection, Merits, Reparations, and Costs. Judgment of August 30, 2010  Series C No. 215</w:t>
      </w:r>
      <w:r w:rsidR="00820DC0" w:rsidRPr="001019C7">
        <w:rPr>
          <w:rFonts w:cs="Times New Roman"/>
        </w:rPr>
        <w:fldChar w:fldCharType="begin"/>
      </w:r>
      <w:r w:rsidRPr="001019C7">
        <w:rPr>
          <w:rFonts w:cs="Times New Roman"/>
        </w:rPr>
        <w:instrText xml:space="preserve"> TA \l "</w:instrText>
      </w:r>
      <w:r w:rsidR="00A6208A">
        <w:rPr>
          <w:rFonts w:cs="Times New Roman"/>
        </w:rPr>
        <w:instrText xml:space="preserve">I/A Court H.R., </w:instrText>
      </w:r>
      <w:r w:rsidRPr="001019C7">
        <w:rPr>
          <w:rFonts w:cs="Times New Roman"/>
        </w:rPr>
        <w:instrText xml:space="preserve">Case of Fernández Ortega et al. v. Mexico. Preliminary Objection, Merits, Reparations, and Costs. Judgment of August 30, 2010  Series C No. 215" \c 1 </w:instrText>
      </w:r>
      <w:r w:rsidR="00820DC0" w:rsidRPr="001019C7">
        <w:rPr>
          <w:rFonts w:cs="Times New Roman"/>
        </w:rPr>
        <w:fldChar w:fldCharType="end"/>
      </w:r>
      <w:r w:rsidRPr="001019C7">
        <w:rPr>
          <w:rFonts w:cs="Times New Roman"/>
        </w:rPr>
        <w:t xml:space="preserve">, para. 129;  ECtHR, </w:t>
      </w:r>
      <w:r w:rsidRPr="001019C7">
        <w:rPr>
          <w:rFonts w:cs="Times New Roman"/>
          <w:i/>
        </w:rPr>
        <w:t>Peck v. United Kingdom</w:t>
      </w:r>
      <w:r w:rsidRPr="001019C7">
        <w:rPr>
          <w:rFonts w:cs="Times New Roman"/>
        </w:rPr>
        <w:t>, Application No. 44647/98, January 28, 2003</w:t>
      </w:r>
      <w:r w:rsidR="00820DC0" w:rsidRPr="001019C7">
        <w:rPr>
          <w:rFonts w:cs="Times New Roman"/>
        </w:rPr>
        <w:fldChar w:fldCharType="begin"/>
      </w:r>
      <w:r w:rsidRPr="001019C7">
        <w:rPr>
          <w:rFonts w:cs="Times New Roman"/>
        </w:rPr>
        <w:instrText xml:space="preserve"> TA \l "ECtHR, </w:instrText>
      </w:r>
      <w:r w:rsidRPr="001019C7">
        <w:rPr>
          <w:rFonts w:cs="Times New Roman"/>
          <w:i/>
        </w:rPr>
        <w:instrText>Peck v. United Kingdom</w:instrText>
      </w:r>
      <w:r w:rsidRPr="001019C7">
        <w:rPr>
          <w:rFonts w:cs="Times New Roman"/>
        </w:rPr>
        <w:instrText xml:space="preserve">, Application No. 44647/98, January 28, 2003" \s "ECtHR, Peck v. United Kingdom, Application No. 44647/98, January 28, 2003" \c 1 </w:instrText>
      </w:r>
      <w:r w:rsidR="00820DC0" w:rsidRPr="001019C7">
        <w:rPr>
          <w:rFonts w:cs="Times New Roman"/>
        </w:rPr>
        <w:fldChar w:fldCharType="end"/>
      </w:r>
      <w:r w:rsidRPr="001019C7">
        <w:rPr>
          <w:rFonts w:cs="Times New Roman"/>
        </w:rPr>
        <w:t>, para. 57</w:t>
      </w:r>
    </w:p>
  </w:footnote>
  <w:footnote w:id="117">
    <w:p w:rsidR="00156D87" w:rsidRPr="001019C7" w:rsidRDefault="00156D87" w:rsidP="000A6550">
      <w:pPr>
        <w:pStyle w:val="FootnoteText"/>
        <w:rPr>
          <w:rFonts w:cs="Times New Roman"/>
        </w:rPr>
      </w:pPr>
      <w:r w:rsidRPr="001019C7">
        <w:rPr>
          <w:rStyle w:val="FootnoteReference"/>
          <w:rFonts w:cs="Times New Roman"/>
        </w:rPr>
        <w:footnoteRef/>
      </w:r>
      <w:r w:rsidRPr="001019C7">
        <w:rPr>
          <w:rFonts w:cs="Times New Roman"/>
        </w:rPr>
        <w:t xml:space="preserve"> </w:t>
      </w:r>
      <w:r w:rsidRPr="00004C4E">
        <w:rPr>
          <w:rFonts w:cs="Times New Roman"/>
        </w:rPr>
        <w:t>I/A Court H.R</w:t>
      </w:r>
      <w:r>
        <w:rPr>
          <w:rFonts w:cs="Times New Roman"/>
        </w:rPr>
        <w:t>,</w:t>
      </w:r>
      <w:r w:rsidRPr="00004C4E">
        <w:rPr>
          <w:rFonts w:cs="Times New Roman"/>
        </w:rPr>
        <w:t xml:space="preserve"> </w:t>
      </w:r>
      <w:r w:rsidRPr="00004C4E">
        <w:rPr>
          <w:rFonts w:cs="Times New Roman"/>
          <w:i/>
        </w:rPr>
        <w:t>Case of Atala Riffo</w:t>
      </w:r>
      <w:r w:rsidR="00820DC0">
        <w:rPr>
          <w:rFonts w:cs="Times New Roman"/>
          <w:i/>
        </w:rPr>
        <w:fldChar w:fldCharType="begin"/>
      </w:r>
      <w:r>
        <w:instrText xml:space="preserve"> TA \s "/A Court H.R., Case of Atala Riffo and daughters v. Chile. Merits, Reparations and Costs. Judgment of February 24, 2012 Series C No. 239" </w:instrText>
      </w:r>
      <w:r w:rsidR="00820DC0">
        <w:rPr>
          <w:rFonts w:cs="Times New Roman"/>
          <w:i/>
        </w:rPr>
        <w:fldChar w:fldCharType="end"/>
      </w:r>
      <w:r>
        <w:rPr>
          <w:rFonts w:cs="Times New Roman"/>
          <w:i/>
        </w:rPr>
        <w:t>,</w:t>
      </w:r>
      <w:r w:rsidRPr="00854468">
        <w:rPr>
          <w:rFonts w:cs="Times New Roman"/>
        </w:rPr>
        <w:t xml:space="preserve"> </w:t>
      </w:r>
      <w:r w:rsidRPr="00004C4E">
        <w:rPr>
          <w:rFonts w:cs="Times New Roman"/>
          <w:i/>
        </w:rPr>
        <w:t>supra</w:t>
      </w:r>
      <w:r>
        <w:rPr>
          <w:rFonts w:cs="Times New Roman"/>
        </w:rPr>
        <w:t xml:space="preserve"> note 62, </w:t>
      </w:r>
      <w:r w:rsidRPr="001019C7">
        <w:rPr>
          <w:rFonts w:cs="Times New Roman"/>
        </w:rPr>
        <w:t>para 135</w:t>
      </w:r>
      <w:r w:rsidR="00820DC0" w:rsidRPr="001019C7">
        <w:rPr>
          <w:rFonts w:cs="Times New Roman"/>
        </w:rPr>
        <w:fldChar w:fldCharType="begin"/>
      </w:r>
      <w:r w:rsidRPr="001019C7">
        <w:rPr>
          <w:rFonts w:cs="Times New Roman"/>
        </w:rPr>
        <w:instrText xml:space="preserve"> TA \s "/A Court H.R., Case of Atala Riffo and daughters v. Chile. Merits, Reparations and Costs. Judgment of February 24, 2012 Series C No. 239" </w:instrText>
      </w:r>
      <w:r w:rsidR="00820DC0" w:rsidRPr="001019C7">
        <w:rPr>
          <w:rFonts w:cs="Times New Roman"/>
        </w:rPr>
        <w:fldChar w:fldCharType="end"/>
      </w:r>
    </w:p>
  </w:footnote>
  <w:footnote w:id="118">
    <w:p w:rsidR="00156D87" w:rsidRPr="001019C7" w:rsidRDefault="00156D87" w:rsidP="000A6550">
      <w:pPr>
        <w:pStyle w:val="FootnoteText"/>
        <w:rPr>
          <w:rFonts w:cs="Times New Roman"/>
        </w:rPr>
      </w:pPr>
      <w:r w:rsidRPr="001019C7">
        <w:rPr>
          <w:rStyle w:val="FootnoteReference"/>
          <w:rFonts w:cs="Times New Roman"/>
        </w:rPr>
        <w:footnoteRef/>
      </w:r>
      <w:r w:rsidRPr="001019C7">
        <w:rPr>
          <w:rFonts w:cs="Times New Roman"/>
        </w:rPr>
        <w:t xml:space="preserve"> United Nations Human Rights Committee , </w:t>
      </w:r>
      <w:r w:rsidRPr="001019C7">
        <w:rPr>
          <w:rFonts w:cs="Times New Roman"/>
          <w:i/>
        </w:rPr>
        <w:t>Au meeruddy-cziffra et al v Mauritius</w:t>
      </w:r>
      <w:r w:rsidRPr="001019C7">
        <w:rPr>
          <w:rFonts w:cs="Times New Roman"/>
        </w:rPr>
        <w:t>,  Communication No. 35/1978, UN Doc. CCPR/C/12/D/35/1978 (1978)</w:t>
      </w:r>
      <w:r w:rsidR="00820DC0" w:rsidRPr="001019C7">
        <w:rPr>
          <w:rFonts w:cs="Times New Roman"/>
        </w:rPr>
        <w:fldChar w:fldCharType="begin"/>
      </w:r>
      <w:r w:rsidRPr="001019C7">
        <w:rPr>
          <w:rFonts w:cs="Times New Roman"/>
        </w:rPr>
        <w:instrText xml:space="preserve"> TA \l "United Nations Human Rights Committee , </w:instrText>
      </w:r>
      <w:r w:rsidRPr="001019C7">
        <w:rPr>
          <w:rFonts w:cs="Times New Roman"/>
          <w:i/>
        </w:rPr>
        <w:instrText>Au meeruddy-cziffra et al v Mauritius</w:instrText>
      </w:r>
      <w:r w:rsidRPr="001019C7">
        <w:rPr>
          <w:rFonts w:cs="Times New Roman"/>
        </w:rPr>
        <w:instrText xml:space="preserve">,  Communication No. 35/1978, UN Doc. CCPR/C/12/D/35/1978 (1978)" \s "United Nations Human Rights Committee , Au meeruddy-cziffra et al v Mauritius,  Communication No. 35/1978, UN Doc. CCPR/C/12/D/35/1978 (1978)" \c 1 </w:instrText>
      </w:r>
      <w:r w:rsidR="00820DC0" w:rsidRPr="001019C7">
        <w:rPr>
          <w:rFonts w:cs="Times New Roman"/>
        </w:rPr>
        <w:fldChar w:fldCharType="end"/>
      </w:r>
    </w:p>
  </w:footnote>
  <w:footnote w:id="119">
    <w:p w:rsidR="00156D87" w:rsidRPr="006D67E6" w:rsidRDefault="00156D87" w:rsidP="000A6550">
      <w:pPr>
        <w:pStyle w:val="FootnoteText"/>
        <w:rPr>
          <w:rFonts w:cs="Times New Roman"/>
        </w:rPr>
      </w:pPr>
      <w:r w:rsidRPr="001019C7">
        <w:rPr>
          <w:rStyle w:val="FootnoteReference"/>
          <w:rFonts w:cs="Times New Roman"/>
        </w:rPr>
        <w:footnoteRef/>
      </w:r>
      <w:r w:rsidRPr="001019C7">
        <w:rPr>
          <w:rFonts w:cs="Times New Roman"/>
        </w:rPr>
        <w:t xml:space="preserve"> I/A Court H.R., </w:t>
      </w:r>
      <w:r w:rsidRPr="00F70881">
        <w:rPr>
          <w:rFonts w:cs="Times New Roman"/>
          <w:i/>
        </w:rPr>
        <w:t>Case of Artavia Murillo et al ("In vitro fertilization") v. Costa Rica</w:t>
      </w:r>
      <w:r>
        <w:rPr>
          <w:rFonts w:cs="Times New Roman"/>
        </w:rPr>
        <w:t xml:space="preserve">, </w:t>
      </w:r>
      <w:r w:rsidRPr="001019C7">
        <w:rPr>
          <w:rFonts w:cs="Times New Roman"/>
          <w:i/>
        </w:rPr>
        <w:t>supra</w:t>
      </w:r>
      <w:r>
        <w:rPr>
          <w:rFonts w:cs="Times New Roman"/>
        </w:rPr>
        <w:t xml:space="preserve"> note 84, </w:t>
      </w:r>
      <w:r w:rsidRPr="001019C7">
        <w:rPr>
          <w:rFonts w:cs="Times New Roman"/>
        </w:rPr>
        <w:t>para 143</w:t>
      </w:r>
      <w:r w:rsidR="00820DC0" w:rsidRPr="001019C7">
        <w:rPr>
          <w:rFonts w:cs="Times New Roman"/>
        </w:rPr>
        <w:fldChar w:fldCharType="begin"/>
      </w:r>
      <w:r w:rsidRPr="001019C7">
        <w:rPr>
          <w:rFonts w:cs="Times New Roman"/>
        </w:rPr>
        <w:instrText xml:space="preserve"> TA \s "I/A Court H.R., Case of Artavia Murillo et al (\"In vitro fertilization\") v. Costa Rica. Preliminary Objections, Merits, Reparations and Costs. Judgment of November 28, 2012. Series C No. 257" </w:instrText>
      </w:r>
      <w:r w:rsidR="00820DC0" w:rsidRPr="001019C7">
        <w:rPr>
          <w:rFonts w:cs="Times New Roman"/>
        </w:rPr>
        <w:fldChar w:fldCharType="end"/>
      </w:r>
      <w:r w:rsidR="00820DC0" w:rsidRPr="001019C7">
        <w:rPr>
          <w:rFonts w:cs="Times New Roman"/>
        </w:rPr>
        <w:fldChar w:fldCharType="begin"/>
      </w:r>
      <w:r w:rsidRPr="001019C7">
        <w:rPr>
          <w:rFonts w:cs="Times New Roman"/>
        </w:rPr>
        <w:instrText xml:space="preserve"> TA \s "I/A Court H.R., Case of Artavia Murillo et al (\"In vitro fertilization\") v. Costa Rica. Preliminary Objections, Merits, Reparations and Costs. Judgment of November 28, 2012. Series C No. 257" </w:instrText>
      </w:r>
      <w:r w:rsidR="00820DC0" w:rsidRPr="001019C7">
        <w:rPr>
          <w:rFonts w:cs="Times New Roman"/>
        </w:rPr>
        <w:fldChar w:fldCharType="end"/>
      </w:r>
    </w:p>
  </w:footnote>
  <w:footnote w:id="120">
    <w:p w:rsidR="00156D87" w:rsidRPr="00F70881" w:rsidRDefault="00156D87" w:rsidP="000A6550">
      <w:pPr>
        <w:pStyle w:val="FootnoteText"/>
        <w:rPr>
          <w:rFonts w:cs="Times New Roman"/>
        </w:rPr>
      </w:pPr>
      <w:r w:rsidRPr="00F70881">
        <w:rPr>
          <w:rStyle w:val="FootnoteReference"/>
          <w:rFonts w:cs="Times New Roman"/>
        </w:rPr>
        <w:footnoteRef/>
      </w:r>
      <w:r w:rsidRPr="00F70881">
        <w:rPr>
          <w:rFonts w:cs="Times New Roman"/>
        </w:rPr>
        <w:t xml:space="preserve"> I/A Court H.R., </w:t>
      </w:r>
      <w:r w:rsidRPr="006D67E6">
        <w:rPr>
          <w:rFonts w:cs="Times New Roman"/>
          <w:i/>
        </w:rPr>
        <w:t>Case of Artavia Murillo et al ("In vitro fertilization") v. Costa Rica</w:t>
      </w:r>
      <w:r w:rsidRPr="00F70881">
        <w:rPr>
          <w:rFonts w:cs="Times New Roman"/>
        </w:rPr>
        <w:t xml:space="preserve">, </w:t>
      </w:r>
      <w:r w:rsidRPr="00F70881">
        <w:rPr>
          <w:rFonts w:cs="Times New Roman"/>
          <w:i/>
        </w:rPr>
        <w:t>supra</w:t>
      </w:r>
      <w:r w:rsidRPr="00F70881">
        <w:rPr>
          <w:rFonts w:cs="Times New Roman"/>
        </w:rPr>
        <w:t xml:space="preserve"> note 84, para 143</w:t>
      </w:r>
      <w:r w:rsidR="00820DC0" w:rsidRPr="00F70881">
        <w:rPr>
          <w:rFonts w:cs="Times New Roman"/>
          <w:highlight w:val="yellow"/>
        </w:rPr>
        <w:fldChar w:fldCharType="begin"/>
      </w:r>
      <w:r w:rsidRPr="00F70881">
        <w:rPr>
          <w:rFonts w:cs="Times New Roman"/>
        </w:rPr>
        <w:instrText xml:space="preserve"> TA \s "I/A Court H.R., Case of Artavia Murillo et al (\"In vitro fertilization\") v. Costa Rica. Preliminary Objections, Merits, Reparations and Costs. Judgment of November 28, 2012. Series C No. 257" </w:instrText>
      </w:r>
      <w:r w:rsidR="00820DC0" w:rsidRPr="00F70881">
        <w:rPr>
          <w:rFonts w:cs="Times New Roman"/>
          <w:highlight w:val="yellow"/>
        </w:rPr>
        <w:fldChar w:fldCharType="end"/>
      </w:r>
      <w:r w:rsidRPr="00F70881">
        <w:rPr>
          <w:rFonts w:cs="Times New Roman"/>
        </w:rPr>
        <w:t xml:space="preserve">; I/A Court H.R, </w:t>
      </w:r>
      <w:r w:rsidRPr="00F70881">
        <w:rPr>
          <w:rFonts w:cs="Times New Roman"/>
          <w:i/>
        </w:rPr>
        <w:t>Case of Atala Riffo</w:t>
      </w:r>
      <w:r w:rsidRPr="00F70881">
        <w:rPr>
          <w:rFonts w:cs="Times New Roman"/>
        </w:rPr>
        <w:t>, supra note 62</w:t>
      </w:r>
      <w:r w:rsidR="00820DC0" w:rsidRPr="00F70881">
        <w:rPr>
          <w:rFonts w:cs="Times New Roman"/>
        </w:rPr>
        <w:fldChar w:fldCharType="begin"/>
      </w:r>
      <w:r w:rsidRPr="00F70881">
        <w:rPr>
          <w:rFonts w:cs="Times New Roman"/>
        </w:rPr>
        <w:instrText xml:space="preserve"> TA \s "/A Court H.R., Case of Atala Riffo and daughters v. Chile. Merits, Reparations and Costs. Judgment of February 24, 2012 Series C No. 239" </w:instrText>
      </w:r>
      <w:r w:rsidR="00820DC0" w:rsidRPr="00F70881">
        <w:rPr>
          <w:rFonts w:cs="Times New Roman"/>
        </w:rPr>
        <w:fldChar w:fldCharType="end"/>
      </w:r>
      <w:r w:rsidRPr="00F70881">
        <w:rPr>
          <w:rFonts w:cs="Times New Roman"/>
        </w:rPr>
        <w:t xml:space="preserve">, para 164; I/A Court H.R., </w:t>
      </w:r>
      <w:r w:rsidRPr="00F70881">
        <w:rPr>
          <w:rFonts w:cs="Times New Roman"/>
          <w:i/>
        </w:rPr>
        <w:t>Case of Tristán-Donoso v. Panama</w:t>
      </w:r>
      <w:r w:rsidRPr="00F70881">
        <w:rPr>
          <w:rFonts w:cs="Times New Roman"/>
        </w:rPr>
        <w:t>. Preliminary Objection, Merits, Reparations and Costs. Judgment of January 27, 2009. Series C No. 193</w:t>
      </w:r>
      <w:r w:rsidR="00820DC0" w:rsidRPr="00F70881">
        <w:rPr>
          <w:rFonts w:cs="Times New Roman"/>
        </w:rPr>
        <w:fldChar w:fldCharType="begin"/>
      </w:r>
      <w:r w:rsidRPr="00F70881">
        <w:rPr>
          <w:rFonts w:cs="Times New Roman"/>
        </w:rPr>
        <w:instrText xml:space="preserve"> TA \l "I/A Court H.R., </w:instrText>
      </w:r>
      <w:r w:rsidRPr="00F70881">
        <w:rPr>
          <w:rFonts w:cs="Times New Roman"/>
          <w:i/>
        </w:rPr>
        <w:instrText>Case of Tristán-Donoso v. Panama</w:instrText>
      </w:r>
      <w:r w:rsidRPr="00F70881">
        <w:rPr>
          <w:rFonts w:cs="Times New Roman"/>
        </w:rPr>
        <w:instrText xml:space="preserve">. Preliminary Objection, Merits, Reparations and Costs. Judgment of January 27, 2009. Series C No. 193" \s "I/A Court H.R., Case of Tristán-Donoso v. Panama. Preliminary Objection, Merits, Reparations and Costs. Judgment of January 27, 2009. Series C No. 193" \c 1 </w:instrText>
      </w:r>
      <w:r w:rsidR="00820DC0" w:rsidRPr="00F70881">
        <w:rPr>
          <w:rFonts w:cs="Times New Roman"/>
        </w:rPr>
        <w:fldChar w:fldCharType="end"/>
      </w:r>
      <w:r w:rsidRPr="00F70881">
        <w:rPr>
          <w:rFonts w:cs="Times New Roman"/>
        </w:rPr>
        <w:t xml:space="preserve">, para 56; I/A Court H.R., </w:t>
      </w:r>
      <w:r w:rsidRPr="00F70881">
        <w:rPr>
          <w:rFonts w:cs="Times New Roman"/>
          <w:i/>
        </w:rPr>
        <w:t>Case of Escher et al. v. Brazil</w:t>
      </w:r>
      <w:r w:rsidRPr="00F70881">
        <w:rPr>
          <w:rFonts w:cs="Times New Roman"/>
        </w:rPr>
        <w:t>. Preliminary Objections, Merits, Reparations, and Costs. Judgment of July 6, 2009</w:t>
      </w:r>
      <w:r w:rsidR="00820DC0" w:rsidRPr="00F70881">
        <w:rPr>
          <w:rFonts w:cs="Times New Roman"/>
        </w:rPr>
        <w:fldChar w:fldCharType="begin"/>
      </w:r>
      <w:r w:rsidRPr="00F70881">
        <w:rPr>
          <w:rFonts w:cs="Times New Roman"/>
        </w:rPr>
        <w:instrText xml:space="preserve"> TA \l "I/A Court H.R., Case of Escher et al. v. Brazil. Preliminary Objections, Merits, Reparations, and Costs. Judgment of July 6, 2009" \s "I/A Court H.R., Case of Escher et al. v. Brazil. Preliminary Objections, Merits, Reparations, and Costs. Judgment of July 6, 2009" \c 1 </w:instrText>
      </w:r>
      <w:r w:rsidR="00820DC0" w:rsidRPr="00F70881">
        <w:rPr>
          <w:rFonts w:cs="Times New Roman"/>
        </w:rPr>
        <w:fldChar w:fldCharType="end"/>
      </w:r>
      <w:r w:rsidRPr="00F70881">
        <w:rPr>
          <w:rFonts w:cs="Times New Roman"/>
        </w:rPr>
        <w:t>.para 116</w:t>
      </w:r>
    </w:p>
  </w:footnote>
  <w:footnote w:id="121">
    <w:p w:rsidR="00156D87" w:rsidRPr="00F70881" w:rsidRDefault="00156D87" w:rsidP="000A6550">
      <w:pPr>
        <w:autoSpaceDE w:val="0"/>
        <w:autoSpaceDN w:val="0"/>
        <w:adjustRightInd w:val="0"/>
        <w:jc w:val="both"/>
        <w:rPr>
          <w:rFonts w:cs="Times New Roman"/>
          <w:sz w:val="16"/>
          <w:szCs w:val="16"/>
        </w:rPr>
      </w:pPr>
      <w:r w:rsidRPr="00F70881">
        <w:rPr>
          <w:rStyle w:val="FootnoteReference"/>
          <w:rFonts w:cs="Times New Roman"/>
        </w:rPr>
        <w:footnoteRef/>
      </w:r>
      <w:r w:rsidRPr="00F70881">
        <w:rPr>
          <w:rFonts w:cs="Times New Roman"/>
        </w:rPr>
        <w:t xml:space="preserve"> </w:t>
      </w:r>
      <w:r w:rsidRPr="00F70881">
        <w:rPr>
          <w:rFonts w:cs="Times New Roman"/>
          <w:sz w:val="20"/>
          <w:szCs w:val="20"/>
        </w:rPr>
        <w:t>United Nations, Human Rights Committee, General Comment No. 16 (32nd period of sessions, 1988) para. 4</w:t>
      </w:r>
    </w:p>
  </w:footnote>
  <w:footnote w:id="122">
    <w:p w:rsidR="00156D87" w:rsidRPr="00F70881" w:rsidRDefault="00156D87" w:rsidP="000A6550">
      <w:pPr>
        <w:pStyle w:val="FootnoteText"/>
        <w:jc w:val="both"/>
        <w:rPr>
          <w:rFonts w:cs="Times New Roman"/>
        </w:rPr>
      </w:pPr>
      <w:r w:rsidRPr="00F70881">
        <w:rPr>
          <w:rStyle w:val="FootnoteReference"/>
          <w:rFonts w:cs="Times New Roman"/>
        </w:rPr>
        <w:footnoteRef/>
      </w:r>
      <w:r w:rsidRPr="00F70881">
        <w:rPr>
          <w:rFonts w:cs="Times New Roman"/>
        </w:rPr>
        <w:t xml:space="preserve"> I/A Court H.R, </w:t>
      </w:r>
      <w:r w:rsidRPr="00F70881">
        <w:rPr>
          <w:rFonts w:cs="Times New Roman"/>
          <w:i/>
        </w:rPr>
        <w:t>Case of Atala Riffo</w:t>
      </w:r>
      <w:r w:rsidRPr="00F70881">
        <w:rPr>
          <w:rFonts w:cs="Times New Roman"/>
        </w:rPr>
        <w:t xml:space="preserve">, </w:t>
      </w:r>
      <w:r w:rsidRPr="00F70881">
        <w:rPr>
          <w:rFonts w:cs="Times New Roman"/>
          <w:i/>
        </w:rPr>
        <w:t>supra</w:t>
      </w:r>
      <w:r w:rsidRPr="00F70881">
        <w:rPr>
          <w:rFonts w:cs="Times New Roman"/>
        </w:rPr>
        <w:t xml:space="preserve"> note 62, para 192</w:t>
      </w:r>
      <w:r w:rsidR="00820DC0" w:rsidRPr="00F70881">
        <w:rPr>
          <w:rFonts w:cs="Times New Roman"/>
        </w:rPr>
        <w:fldChar w:fldCharType="begin"/>
      </w:r>
      <w:r w:rsidRPr="00F70881">
        <w:rPr>
          <w:rFonts w:cs="Times New Roman"/>
        </w:rPr>
        <w:instrText xml:space="preserve"> TA \s "/A Court H.R., Case of Atala Riffo and daughters v. Chile. Merits, Reparations and Costs. Judgment of February 24, 2012 Series C No. 239" </w:instrText>
      </w:r>
      <w:r w:rsidR="00820DC0" w:rsidRPr="00F70881">
        <w:rPr>
          <w:rFonts w:cs="Times New Roman"/>
        </w:rPr>
        <w:fldChar w:fldCharType="end"/>
      </w:r>
    </w:p>
  </w:footnote>
  <w:footnote w:id="123">
    <w:p w:rsidR="00156D87" w:rsidRPr="00F70881" w:rsidRDefault="00156D87" w:rsidP="000A6550">
      <w:pPr>
        <w:pStyle w:val="FootnoteText"/>
        <w:rPr>
          <w:rFonts w:cs="Times New Roman"/>
        </w:rPr>
      </w:pPr>
      <w:r w:rsidRPr="00F70881">
        <w:rPr>
          <w:rStyle w:val="FootnoteReference"/>
          <w:rFonts w:cs="Times New Roman"/>
        </w:rPr>
        <w:footnoteRef/>
      </w:r>
      <w:r w:rsidRPr="00F70881">
        <w:rPr>
          <w:rFonts w:cs="Times New Roman"/>
        </w:rPr>
        <w:t xml:space="preserve"> Atala Riffo  para 172</w:t>
      </w:r>
      <w:r w:rsidR="00820DC0" w:rsidRPr="00F70881">
        <w:rPr>
          <w:rFonts w:cs="Times New Roman"/>
        </w:rPr>
        <w:fldChar w:fldCharType="begin"/>
      </w:r>
      <w:r w:rsidRPr="00F70881">
        <w:rPr>
          <w:rFonts w:cs="Times New Roman"/>
        </w:rPr>
        <w:instrText xml:space="preserve"> TA \s "/A Court H.R., Case of Atala Riffo and daughters v. Chile. Merits, Reparations and Costs. Judgment of February 24, 2012 Series C No. 239" </w:instrText>
      </w:r>
      <w:r w:rsidR="00820DC0" w:rsidRPr="00F70881">
        <w:rPr>
          <w:rFonts w:cs="Times New Roman"/>
        </w:rPr>
        <w:fldChar w:fldCharType="end"/>
      </w:r>
      <w:r w:rsidRPr="00F70881">
        <w:rPr>
          <w:rFonts w:cs="Times New Roman"/>
        </w:rPr>
        <w:t xml:space="preserve"> Schalk and Kopf v Austria paras 91</w:t>
      </w:r>
      <w:r w:rsidR="00820DC0" w:rsidRPr="00F70881">
        <w:rPr>
          <w:rFonts w:cs="Times New Roman"/>
        </w:rPr>
        <w:fldChar w:fldCharType="begin"/>
      </w:r>
      <w:r w:rsidRPr="00F70881">
        <w:rPr>
          <w:rFonts w:cs="Times New Roman"/>
        </w:rPr>
        <w:instrText xml:space="preserve"> TA \s "ECtHR, Schalk and Kopf v Austria, Application No. 30141/04, June 24, 2010" </w:instrText>
      </w:r>
      <w:r w:rsidR="00820DC0" w:rsidRPr="00F70881">
        <w:rPr>
          <w:rFonts w:cs="Times New Roman"/>
        </w:rPr>
        <w:fldChar w:fldCharType="end"/>
      </w:r>
      <w:r w:rsidRPr="00F70881">
        <w:rPr>
          <w:rFonts w:cs="Times New Roman"/>
        </w:rPr>
        <w:t xml:space="preserve"> and 94</w:t>
      </w:r>
    </w:p>
  </w:footnote>
  <w:footnote w:id="124">
    <w:p w:rsidR="00156D87" w:rsidRPr="00B018D4" w:rsidRDefault="00156D87" w:rsidP="000A6550">
      <w:pPr>
        <w:pStyle w:val="FootnoteText"/>
        <w:jc w:val="both"/>
        <w:rPr>
          <w:rFonts w:cs="Times New Roman"/>
        </w:rPr>
      </w:pPr>
      <w:r w:rsidRPr="00F70881">
        <w:rPr>
          <w:rStyle w:val="FootnoteReference"/>
          <w:rFonts w:cs="Times New Roman"/>
        </w:rPr>
        <w:footnoteRef/>
      </w:r>
      <w:r w:rsidRPr="00F70881">
        <w:rPr>
          <w:rFonts w:cs="Times New Roman"/>
        </w:rPr>
        <w:t xml:space="preserve"> ECtHR, </w:t>
      </w:r>
      <w:r w:rsidRPr="00F70881">
        <w:rPr>
          <w:rFonts w:cs="Times New Roman"/>
          <w:i/>
        </w:rPr>
        <w:t>Dudgeon v. The United Kingdom</w:t>
      </w:r>
      <w:r w:rsidRPr="00F70881">
        <w:rPr>
          <w:rFonts w:cs="Times New Roman"/>
        </w:rPr>
        <w:t>, Application no. 7525/76, October 22, 1981</w:t>
      </w:r>
      <w:r w:rsidR="00820DC0" w:rsidRPr="00F70881">
        <w:rPr>
          <w:rFonts w:cs="Times New Roman"/>
        </w:rPr>
        <w:fldChar w:fldCharType="begin"/>
      </w:r>
      <w:r w:rsidRPr="00F70881">
        <w:rPr>
          <w:rFonts w:cs="Times New Roman"/>
        </w:rPr>
        <w:instrText xml:space="preserve"> TA \l "ECtHR, Dudgeon v. T</w:instrText>
      </w:r>
      <w:r>
        <w:rPr>
          <w:rFonts w:cs="Times New Roman"/>
        </w:rPr>
        <w:instrText>he United Kingdom, Application N</w:instrText>
      </w:r>
      <w:r w:rsidRPr="00F70881">
        <w:rPr>
          <w:rFonts w:cs="Times New Roman"/>
        </w:rPr>
        <w:instrText xml:space="preserve">o. 7525/76, October 22, 1981" \c 1 </w:instrText>
      </w:r>
      <w:r w:rsidR="00820DC0" w:rsidRPr="00F70881">
        <w:rPr>
          <w:rFonts w:cs="Times New Roman"/>
        </w:rPr>
        <w:fldChar w:fldCharType="end"/>
      </w:r>
      <w:r w:rsidRPr="00F70881">
        <w:rPr>
          <w:rFonts w:cs="Times New Roman"/>
        </w:rPr>
        <w:t>, para. 51</w:t>
      </w:r>
    </w:p>
  </w:footnote>
  <w:footnote w:id="125">
    <w:p w:rsidR="00156D87" w:rsidRPr="00BD57BB" w:rsidRDefault="00156D87" w:rsidP="000A6550">
      <w:pPr>
        <w:pStyle w:val="FootnoteText"/>
        <w:jc w:val="both"/>
        <w:rPr>
          <w:rFonts w:cs="Times New Roman"/>
        </w:rPr>
      </w:pPr>
      <w:r w:rsidRPr="00BD57BB">
        <w:rPr>
          <w:rStyle w:val="FootnoteReference"/>
          <w:rFonts w:cs="Times New Roman"/>
        </w:rPr>
        <w:footnoteRef/>
      </w:r>
      <w:r w:rsidRPr="00BD57BB">
        <w:rPr>
          <w:rFonts w:cs="Times New Roman"/>
        </w:rPr>
        <w:t xml:space="preserve"> </w:t>
      </w:r>
      <w:r>
        <w:rPr>
          <w:rFonts w:cs="Times New Roman"/>
        </w:rPr>
        <w:t xml:space="preserve">ECtHR, </w:t>
      </w:r>
      <w:r>
        <w:rPr>
          <w:rFonts w:cs="Times New Roman"/>
          <w:i/>
        </w:rPr>
        <w:t>Dudgeon v. The United Kingdom</w:t>
      </w:r>
      <w:r>
        <w:rPr>
          <w:rFonts w:cs="Times New Roman"/>
        </w:rPr>
        <w:t xml:space="preserve">, </w:t>
      </w:r>
      <w:r>
        <w:rPr>
          <w:rFonts w:cs="Times New Roman"/>
          <w:i/>
        </w:rPr>
        <w:t xml:space="preserve">supra </w:t>
      </w:r>
      <w:r>
        <w:rPr>
          <w:rFonts w:cs="Times New Roman"/>
        </w:rPr>
        <w:t>note 90</w:t>
      </w:r>
      <w:r>
        <w:rPr>
          <w:rFonts w:cs="Times New Roman"/>
          <w:i/>
        </w:rPr>
        <w:t>,</w:t>
      </w:r>
      <w:r w:rsidR="00820DC0">
        <w:rPr>
          <w:rFonts w:cs="Times New Roman"/>
          <w:i/>
        </w:rPr>
        <w:fldChar w:fldCharType="begin"/>
      </w:r>
      <w:r>
        <w:instrText xml:space="preserve"> TA \s "ECtHR, Dudgeon v. The United Kingdom, Application no. 7525/76, October 22, 1981" </w:instrText>
      </w:r>
      <w:r w:rsidR="00820DC0">
        <w:rPr>
          <w:rFonts w:cs="Times New Roman"/>
          <w:i/>
        </w:rPr>
        <w:fldChar w:fldCharType="end"/>
      </w:r>
      <w:r>
        <w:rPr>
          <w:rFonts w:cs="Times New Roman"/>
          <w:i/>
        </w:rPr>
        <w:t xml:space="preserve"> </w:t>
      </w:r>
      <w:r>
        <w:rPr>
          <w:rFonts w:cs="Times New Roman"/>
        </w:rPr>
        <w:t xml:space="preserve"> para. 52</w:t>
      </w:r>
    </w:p>
  </w:footnote>
  <w:footnote w:id="126">
    <w:p w:rsidR="00156D87" w:rsidRPr="00F70881" w:rsidRDefault="00156D87" w:rsidP="000A6550">
      <w:pPr>
        <w:pStyle w:val="FootnoteText"/>
        <w:jc w:val="both"/>
        <w:rPr>
          <w:rFonts w:cs="Times New Roman"/>
        </w:rPr>
      </w:pPr>
      <w:r w:rsidRPr="00F70881">
        <w:rPr>
          <w:rStyle w:val="FootnoteReference"/>
          <w:rFonts w:cs="Times New Roman"/>
        </w:rPr>
        <w:footnoteRef/>
      </w:r>
      <w:r w:rsidRPr="00F70881">
        <w:rPr>
          <w:rFonts w:cs="Times New Roman"/>
        </w:rPr>
        <w:t xml:space="preserve"> ECtHR, </w:t>
      </w:r>
      <w:r w:rsidRPr="00F70881">
        <w:rPr>
          <w:rFonts w:cs="Times New Roman"/>
          <w:i/>
        </w:rPr>
        <w:t>Dudgeon v. The United Kingdom</w:t>
      </w:r>
      <w:r w:rsidRPr="00F70881">
        <w:rPr>
          <w:rFonts w:cs="Times New Roman"/>
        </w:rPr>
        <w:t xml:space="preserve">, </w:t>
      </w:r>
      <w:r w:rsidRPr="00F70881">
        <w:rPr>
          <w:rFonts w:cs="Times New Roman"/>
          <w:i/>
        </w:rPr>
        <w:t xml:space="preserve">supra </w:t>
      </w:r>
      <w:r w:rsidRPr="00F70881">
        <w:rPr>
          <w:rFonts w:cs="Times New Roman"/>
        </w:rPr>
        <w:t>note 90, para</w:t>
      </w:r>
      <w:r w:rsidR="00820DC0" w:rsidRPr="00F70881">
        <w:rPr>
          <w:rFonts w:cs="Times New Roman"/>
        </w:rPr>
        <w:fldChar w:fldCharType="begin"/>
      </w:r>
      <w:r w:rsidRPr="00F70881">
        <w:rPr>
          <w:rFonts w:cs="Times New Roman"/>
        </w:rPr>
        <w:instrText xml:space="preserve"> TA \s "ECtHR, Dudgeon v. The United Kingdom, Application no. 7525/76, October 22, 1981" </w:instrText>
      </w:r>
      <w:r w:rsidR="00820DC0" w:rsidRPr="00F70881">
        <w:rPr>
          <w:rFonts w:cs="Times New Roman"/>
        </w:rPr>
        <w:fldChar w:fldCharType="end"/>
      </w:r>
      <w:r w:rsidRPr="00F70881">
        <w:rPr>
          <w:rFonts w:cs="Times New Roman"/>
        </w:rPr>
        <w:t>. 52</w:t>
      </w:r>
    </w:p>
  </w:footnote>
  <w:footnote w:id="127">
    <w:p w:rsidR="00156D87" w:rsidRPr="00F70881" w:rsidRDefault="00156D87" w:rsidP="000A6550">
      <w:pPr>
        <w:pStyle w:val="FootnoteText"/>
        <w:jc w:val="both"/>
        <w:rPr>
          <w:rFonts w:cs="Times New Roman"/>
        </w:rPr>
      </w:pPr>
      <w:r w:rsidRPr="00F70881">
        <w:rPr>
          <w:rStyle w:val="FootnoteReference"/>
          <w:rFonts w:cs="Times New Roman"/>
        </w:rPr>
        <w:footnoteRef/>
      </w:r>
      <w:r w:rsidRPr="00F70881">
        <w:rPr>
          <w:rFonts w:cs="Times New Roman"/>
        </w:rPr>
        <w:t xml:space="preserve"> ECtHR, </w:t>
      </w:r>
      <w:r w:rsidRPr="00F70881">
        <w:rPr>
          <w:rFonts w:cs="Times New Roman"/>
          <w:i/>
        </w:rPr>
        <w:t>Dudgeon v. The United Kingdom</w:t>
      </w:r>
      <w:r w:rsidRPr="00F70881">
        <w:rPr>
          <w:rFonts w:cs="Times New Roman"/>
        </w:rPr>
        <w:t xml:space="preserve">, </w:t>
      </w:r>
      <w:r w:rsidRPr="00F70881">
        <w:rPr>
          <w:rFonts w:cs="Times New Roman"/>
          <w:i/>
        </w:rPr>
        <w:t>supra</w:t>
      </w:r>
      <w:r w:rsidRPr="00F70881">
        <w:rPr>
          <w:rFonts w:cs="Times New Roman"/>
        </w:rPr>
        <w:t xml:space="preserve"> note 90, para. 52</w:t>
      </w:r>
      <w:r w:rsidR="00820DC0" w:rsidRPr="00F70881">
        <w:rPr>
          <w:rFonts w:cs="Times New Roman"/>
        </w:rPr>
        <w:fldChar w:fldCharType="begin"/>
      </w:r>
      <w:r w:rsidRPr="00F70881">
        <w:rPr>
          <w:rFonts w:cs="Times New Roman"/>
        </w:rPr>
        <w:instrText xml:space="preserve"> TA \s "ECtHR, Dudgeon v. The United Kingdom, Application no. 7525/76, October 22, 1981" </w:instrText>
      </w:r>
      <w:r w:rsidR="00820DC0" w:rsidRPr="00F70881">
        <w:rPr>
          <w:rFonts w:cs="Times New Roman"/>
        </w:rPr>
        <w:fldChar w:fldCharType="end"/>
      </w:r>
    </w:p>
  </w:footnote>
  <w:footnote w:id="128">
    <w:p w:rsidR="00156D87" w:rsidRPr="00F70881" w:rsidRDefault="00156D87" w:rsidP="000A6550">
      <w:pPr>
        <w:pStyle w:val="FootnoteText"/>
        <w:rPr>
          <w:rFonts w:cs="Times New Roman"/>
        </w:rPr>
      </w:pPr>
      <w:r w:rsidRPr="00F70881">
        <w:rPr>
          <w:rStyle w:val="FootnoteReference"/>
          <w:rFonts w:cs="Times New Roman"/>
        </w:rPr>
        <w:footnoteRef/>
      </w:r>
      <w:r w:rsidRPr="00F70881">
        <w:rPr>
          <w:rFonts w:cs="Times New Roman"/>
        </w:rPr>
        <w:t xml:space="preserve"> </w:t>
      </w:r>
      <w:r w:rsidRPr="00F70881">
        <w:rPr>
          <w:rFonts w:cs="Times New Roman"/>
          <w:i/>
        </w:rPr>
        <w:t>Goodridge v Department of Public Health</w:t>
      </w:r>
      <w:r w:rsidRPr="00F70881">
        <w:rPr>
          <w:rFonts w:cs="Times New Roman"/>
        </w:rPr>
        <w:t xml:space="preserve"> 798 N.E.2d 941 (Mass. 2003)</w:t>
      </w:r>
      <w:r w:rsidR="00820DC0" w:rsidRPr="00F70881">
        <w:rPr>
          <w:rFonts w:cs="Times New Roman"/>
        </w:rPr>
        <w:fldChar w:fldCharType="begin"/>
      </w:r>
      <w:r w:rsidRPr="00F70881">
        <w:rPr>
          <w:rFonts w:cs="Times New Roman"/>
        </w:rPr>
        <w:instrText xml:space="preserve"> TA \l "</w:instrText>
      </w:r>
      <w:r w:rsidRPr="00F70881">
        <w:rPr>
          <w:rFonts w:cs="Times New Roman"/>
          <w:i/>
        </w:rPr>
        <w:instrText>Goodridge v Department of Public Health</w:instrText>
      </w:r>
      <w:r w:rsidRPr="00F70881">
        <w:rPr>
          <w:rFonts w:cs="Times New Roman"/>
        </w:rPr>
        <w:instrText xml:space="preserve"> 798 N.E.2d 941 (Mass. 2003)" \s "Goodridge v Department of Public Health 798 N.E.2d 941 (Mass. 2003)" \c 1 </w:instrText>
      </w:r>
      <w:r w:rsidR="00820DC0" w:rsidRPr="00F70881">
        <w:rPr>
          <w:rFonts w:cs="Times New Roman"/>
        </w:rPr>
        <w:fldChar w:fldCharType="end"/>
      </w:r>
      <w:r w:rsidRPr="00F70881">
        <w:rPr>
          <w:rFonts w:cs="Times New Roman"/>
        </w:rPr>
        <w:t>, pg. 133</w:t>
      </w:r>
    </w:p>
  </w:footnote>
  <w:footnote w:id="129">
    <w:p w:rsidR="00156D87" w:rsidRPr="00F70881" w:rsidRDefault="00156D87" w:rsidP="000A6550">
      <w:pPr>
        <w:pStyle w:val="FootnoteText"/>
        <w:rPr>
          <w:rFonts w:cs="Times New Roman"/>
        </w:rPr>
      </w:pPr>
      <w:r w:rsidRPr="00F70881">
        <w:rPr>
          <w:rStyle w:val="FootnoteReference"/>
          <w:rFonts w:cs="Times New Roman"/>
        </w:rPr>
        <w:footnoteRef/>
      </w:r>
      <w:r w:rsidRPr="00F70881">
        <w:rPr>
          <w:rFonts w:cs="Times New Roman"/>
        </w:rPr>
        <w:t xml:space="preserve">  </w:t>
      </w:r>
      <w:r w:rsidRPr="001019C7">
        <w:rPr>
          <w:rFonts w:cs="Times New Roman"/>
        </w:rPr>
        <w:t xml:space="preserve">I/A Court H.R., </w:t>
      </w:r>
      <w:r w:rsidRPr="00F70881">
        <w:rPr>
          <w:rFonts w:cs="Times New Roman"/>
          <w:i/>
        </w:rPr>
        <w:t>Case of Artavia Murillo et al ("In vitro fertilization") v. Costa Rica</w:t>
      </w:r>
      <w:r>
        <w:rPr>
          <w:rFonts w:cs="Times New Roman"/>
        </w:rPr>
        <w:t xml:space="preserve">, </w:t>
      </w:r>
      <w:r w:rsidRPr="001019C7">
        <w:rPr>
          <w:rFonts w:cs="Times New Roman"/>
          <w:i/>
        </w:rPr>
        <w:t>supra</w:t>
      </w:r>
      <w:r>
        <w:rPr>
          <w:rFonts w:cs="Times New Roman"/>
        </w:rPr>
        <w:t xml:space="preserve"> note 84, </w:t>
      </w:r>
      <w:r w:rsidRPr="00F70881">
        <w:rPr>
          <w:rFonts w:cs="Times New Roman"/>
        </w:rPr>
        <w:t>para 143</w:t>
      </w:r>
    </w:p>
  </w:footnote>
  <w:footnote w:id="130">
    <w:p w:rsidR="00156D87" w:rsidRPr="00365075" w:rsidRDefault="00156D87" w:rsidP="000A6550">
      <w:pPr>
        <w:pStyle w:val="FootnoteText"/>
        <w:jc w:val="both"/>
        <w:rPr>
          <w:rFonts w:cs="Times New Roman"/>
        </w:rPr>
      </w:pPr>
      <w:r w:rsidRPr="00F70881">
        <w:rPr>
          <w:rStyle w:val="FootnoteReference"/>
          <w:rFonts w:cs="Times New Roman"/>
        </w:rPr>
        <w:footnoteRef/>
      </w:r>
      <w:r w:rsidRPr="00F70881">
        <w:rPr>
          <w:rFonts w:cs="Times New Roman"/>
        </w:rPr>
        <w:t xml:space="preserve"> ECtHR, </w:t>
      </w:r>
      <w:r w:rsidRPr="00F70881">
        <w:rPr>
          <w:rFonts w:cs="Times New Roman"/>
          <w:i/>
        </w:rPr>
        <w:t>Dudgeon v. The United Kingdom</w:t>
      </w:r>
      <w:r w:rsidRPr="00F70881">
        <w:rPr>
          <w:rFonts w:cs="Times New Roman"/>
        </w:rPr>
        <w:t xml:space="preserve">, </w:t>
      </w:r>
      <w:r w:rsidRPr="00F70881">
        <w:rPr>
          <w:rFonts w:cs="Times New Roman"/>
          <w:i/>
        </w:rPr>
        <w:t>supra</w:t>
      </w:r>
      <w:r w:rsidRPr="00F70881">
        <w:rPr>
          <w:rFonts w:cs="Times New Roman"/>
        </w:rPr>
        <w:t xml:space="preserve"> note 90, para</w:t>
      </w:r>
      <w:r w:rsidR="00820DC0" w:rsidRPr="00F70881">
        <w:rPr>
          <w:rFonts w:cs="Times New Roman"/>
        </w:rPr>
        <w:fldChar w:fldCharType="begin"/>
      </w:r>
      <w:r w:rsidRPr="00F70881">
        <w:rPr>
          <w:rFonts w:cs="Times New Roman"/>
        </w:rPr>
        <w:instrText xml:space="preserve"> TA \s "ECtHR, Dudgeon v. The United Kingdom, Application no. 7525/76, October 22, 1981" </w:instrText>
      </w:r>
      <w:r w:rsidR="00820DC0" w:rsidRPr="00F70881">
        <w:rPr>
          <w:rFonts w:cs="Times New Roman"/>
        </w:rPr>
        <w:fldChar w:fldCharType="end"/>
      </w:r>
      <w:r w:rsidRPr="00F70881">
        <w:rPr>
          <w:rFonts w:cs="Times New Roman"/>
        </w:rPr>
        <w:t>. 61</w:t>
      </w:r>
    </w:p>
  </w:footnote>
  <w:footnote w:id="131">
    <w:p w:rsidR="00156D87" w:rsidRPr="00F70881" w:rsidRDefault="00156D87" w:rsidP="000A6550">
      <w:pPr>
        <w:pStyle w:val="FootnoteText"/>
        <w:rPr>
          <w:rFonts w:cs="Times New Roman"/>
        </w:rPr>
      </w:pPr>
      <w:r w:rsidRPr="00F70881">
        <w:rPr>
          <w:rStyle w:val="FootnoteReference"/>
          <w:rFonts w:cs="Times New Roman"/>
        </w:rPr>
        <w:footnoteRef/>
      </w:r>
      <w:r>
        <w:rPr>
          <w:rFonts w:cs="Times New Roman"/>
        </w:rPr>
        <w:t xml:space="preserve"> </w:t>
      </w:r>
      <w:r w:rsidRPr="00F70881">
        <w:rPr>
          <w:rStyle w:val="FootnoteReference"/>
          <w:rFonts w:cs="Times New Roman"/>
        </w:rPr>
        <w:footnoteRef/>
      </w:r>
      <w:r w:rsidRPr="00F70881">
        <w:rPr>
          <w:rFonts w:cs="Times New Roman"/>
        </w:rPr>
        <w:t xml:space="preserve"> ECtHR, </w:t>
      </w:r>
      <w:r w:rsidRPr="00F70881">
        <w:rPr>
          <w:rFonts w:cs="Times New Roman"/>
          <w:i/>
        </w:rPr>
        <w:t>Dudgeon v. The United Kingdom</w:t>
      </w:r>
      <w:r w:rsidRPr="00F70881">
        <w:rPr>
          <w:rFonts w:cs="Times New Roman"/>
        </w:rPr>
        <w:t xml:space="preserve">, </w:t>
      </w:r>
      <w:r w:rsidRPr="00F70881">
        <w:rPr>
          <w:rFonts w:cs="Times New Roman"/>
          <w:i/>
        </w:rPr>
        <w:t xml:space="preserve">supra </w:t>
      </w:r>
      <w:r w:rsidRPr="00F70881">
        <w:rPr>
          <w:rFonts w:cs="Times New Roman"/>
        </w:rPr>
        <w:t xml:space="preserve">note 90, </w:t>
      </w:r>
      <w:r>
        <w:rPr>
          <w:rFonts w:cs="Times New Roman"/>
        </w:rPr>
        <w:t xml:space="preserve"> </w:t>
      </w:r>
      <w:r w:rsidRPr="00F70881">
        <w:rPr>
          <w:rFonts w:cs="Times New Roman"/>
        </w:rPr>
        <w:t>para 60</w:t>
      </w:r>
      <w:r w:rsidR="00820DC0" w:rsidRPr="00F70881">
        <w:rPr>
          <w:rFonts w:cs="Times New Roman"/>
        </w:rPr>
        <w:fldChar w:fldCharType="begin"/>
      </w:r>
      <w:r w:rsidRPr="00F70881">
        <w:rPr>
          <w:rFonts w:cs="Times New Roman"/>
        </w:rPr>
        <w:instrText xml:space="preserve"> TA \s "ECtHR, Dudgeon v. The United Kingdom, Application no. 7525/76, October 22, 1981" </w:instrText>
      </w:r>
      <w:r w:rsidR="00820DC0" w:rsidRPr="00F70881">
        <w:rPr>
          <w:rFonts w:cs="Times New Roman"/>
        </w:rPr>
        <w:fldChar w:fldCharType="end"/>
      </w:r>
    </w:p>
  </w:footnote>
  <w:footnote w:id="132">
    <w:p w:rsidR="00156D87" w:rsidRPr="00BB6DE0" w:rsidRDefault="00156D87" w:rsidP="00754B17">
      <w:pPr>
        <w:pStyle w:val="FootnoteText"/>
        <w:jc w:val="both"/>
        <w:rPr>
          <w:rFonts w:cs="Times New Roman"/>
        </w:rPr>
      </w:pPr>
      <w:r w:rsidRPr="00BB6DE0">
        <w:rPr>
          <w:rStyle w:val="FootnoteReference"/>
          <w:rFonts w:cs="Times New Roman"/>
        </w:rPr>
        <w:footnoteRef/>
      </w:r>
      <w:r w:rsidRPr="00BB6DE0">
        <w:rPr>
          <w:rFonts w:cs="Times New Roman"/>
        </w:rPr>
        <w:t xml:space="preserve"> </w:t>
      </w:r>
      <w:r w:rsidRPr="001E0D99">
        <w:rPr>
          <w:rFonts w:cs="Times New Roman"/>
        </w:rPr>
        <w:t xml:space="preserve">I/A Court H.R., </w:t>
      </w:r>
      <w:r w:rsidRPr="001E0D99">
        <w:rPr>
          <w:rFonts w:cs="Times New Roman"/>
          <w:i/>
        </w:rPr>
        <w:t>Case of Ivcher-Bronstein v. Peru</w:t>
      </w:r>
      <w:r w:rsidRPr="001E0D99">
        <w:rPr>
          <w:rFonts w:cs="Times New Roman"/>
        </w:rPr>
        <w:t xml:space="preserve">. </w:t>
      </w:r>
      <w:r>
        <w:rPr>
          <w:rFonts w:cs="Times New Roman"/>
        </w:rPr>
        <w:t xml:space="preserve">Merits, </w:t>
      </w:r>
      <w:r w:rsidRPr="001E0D99">
        <w:rPr>
          <w:rFonts w:cs="Times New Roman"/>
        </w:rPr>
        <w:t>Reparations and Costs. Judgment February 6, 2001. Series C No. 74</w:t>
      </w:r>
      <w:r w:rsidR="00820DC0">
        <w:rPr>
          <w:rFonts w:cs="Times New Roman"/>
        </w:rPr>
        <w:fldChar w:fldCharType="begin"/>
      </w:r>
      <w:r>
        <w:instrText xml:space="preserve"> TA \l "</w:instrText>
      </w:r>
      <w:r w:rsidRPr="00EA50B8">
        <w:rPr>
          <w:rFonts w:cs="Times New Roman"/>
        </w:rPr>
        <w:instrText xml:space="preserve">I/A Court H.R., </w:instrText>
      </w:r>
      <w:r w:rsidRPr="00EA50B8">
        <w:rPr>
          <w:rFonts w:cs="Times New Roman"/>
          <w:i/>
        </w:rPr>
        <w:instrText>Case of Ivcher-Bronstein v. Peru</w:instrText>
      </w:r>
      <w:r w:rsidRPr="00EA50B8">
        <w:rPr>
          <w:rFonts w:cs="Times New Roman"/>
        </w:rPr>
        <w:instrText>. Merits, Reparations and Costs. Judgment February 6, 2001. Series C No. 74</w:instrText>
      </w:r>
      <w:r>
        <w:instrText xml:space="preserve">" \s "I/A Court H.R., Case of Ivcher-Bronstein v. Peru. Merits, Reparations and Costs. Judgment February 6, 2001. Series C No. 74" \c 1 </w:instrText>
      </w:r>
      <w:r w:rsidR="00820DC0">
        <w:rPr>
          <w:rFonts w:cs="Times New Roman"/>
        </w:rPr>
        <w:fldChar w:fldCharType="end"/>
      </w:r>
      <w:r>
        <w:rPr>
          <w:rFonts w:cs="Times New Roman"/>
        </w:rPr>
        <w:t xml:space="preserve">, para 135; </w:t>
      </w:r>
      <w:r w:rsidRPr="001E0D99">
        <w:rPr>
          <w:rFonts w:cs="Times New Roman"/>
        </w:rPr>
        <w:t>I/A Court H.R</w:t>
      </w:r>
      <w:r w:rsidRPr="001E0D99">
        <w:rPr>
          <w:rFonts w:cs="Times New Roman"/>
          <w:i/>
        </w:rPr>
        <w:t>., Case of Suárez-Rosero v. Ecuador</w:t>
      </w:r>
      <w:r w:rsidRPr="001E0D99">
        <w:rPr>
          <w:rFonts w:cs="Times New Roman"/>
        </w:rPr>
        <w:t>. Merits. Judgment of November 12, 1997. Series C No. 35</w:t>
      </w:r>
      <w:r w:rsidR="00820DC0">
        <w:rPr>
          <w:rFonts w:cs="Times New Roman"/>
        </w:rPr>
        <w:fldChar w:fldCharType="begin"/>
      </w:r>
      <w:r>
        <w:instrText xml:space="preserve"> TA \l "</w:instrText>
      </w:r>
      <w:r w:rsidRPr="00DD5B8B">
        <w:rPr>
          <w:rFonts w:cs="Times New Roman"/>
        </w:rPr>
        <w:instrText>I/A Court H.R</w:instrText>
      </w:r>
      <w:r w:rsidRPr="00DD5B8B">
        <w:rPr>
          <w:rFonts w:cs="Times New Roman"/>
          <w:i/>
        </w:rPr>
        <w:instrText>., Case of Suárez-Rosero v. Ecuador</w:instrText>
      </w:r>
      <w:r w:rsidRPr="00DD5B8B">
        <w:rPr>
          <w:rFonts w:cs="Times New Roman"/>
        </w:rPr>
        <w:instrText>. Merits. Judgment of November 12, 1997. Series C No. 35</w:instrText>
      </w:r>
      <w:r>
        <w:instrText xml:space="preserve">" \s "I/A Court H.R., Case of Suárez-Rosero v. Ecuador. Merits. Judgment of November 12, 1997. Series C No. 35" \c 1 </w:instrText>
      </w:r>
      <w:r w:rsidR="00820DC0">
        <w:rPr>
          <w:rFonts w:cs="Times New Roman"/>
        </w:rPr>
        <w:fldChar w:fldCharType="end"/>
      </w:r>
      <w:r>
        <w:rPr>
          <w:rFonts w:cs="Times New Roman"/>
        </w:rPr>
        <w:t xml:space="preserve">, </w:t>
      </w:r>
      <w:r w:rsidRPr="00BB6DE0">
        <w:rPr>
          <w:rFonts w:cs="Times New Roman"/>
        </w:rPr>
        <w:t>pars 61-66</w:t>
      </w:r>
    </w:p>
  </w:footnote>
  <w:footnote w:id="133">
    <w:p w:rsidR="00156D87" w:rsidRPr="001E0D99" w:rsidRDefault="00156D87" w:rsidP="00754B17">
      <w:pPr>
        <w:pStyle w:val="FootnoteText"/>
        <w:jc w:val="both"/>
        <w:rPr>
          <w:rFonts w:cs="Times New Roman"/>
        </w:rPr>
      </w:pPr>
      <w:r w:rsidRPr="00BB6DE0">
        <w:rPr>
          <w:rStyle w:val="FootnoteReference"/>
          <w:rFonts w:cs="Times New Roman"/>
        </w:rPr>
        <w:footnoteRef/>
      </w:r>
      <w:r w:rsidRPr="00145DF0">
        <w:rPr>
          <w:rFonts w:cs="Times New Roman"/>
        </w:rPr>
        <w:t xml:space="preserve">Laurence Bugorgue-Larsen </w:t>
      </w:r>
      <w:r w:rsidRPr="00145DF0">
        <w:rPr>
          <w:rFonts w:cs="Times New Roman"/>
          <w:i/>
        </w:rPr>
        <w:t>Inter-American Court of Human Rights: Case Law and Commentary</w:t>
      </w:r>
      <w:r>
        <w:rPr>
          <w:rFonts w:cs="Times New Roman"/>
        </w:rPr>
        <w:t xml:space="preserve">, </w:t>
      </w:r>
      <w:r w:rsidRPr="00145DF0">
        <w:rPr>
          <w:rFonts w:cs="Times New Roman"/>
          <w:i/>
        </w:rPr>
        <w:t>s</w:t>
      </w:r>
      <w:r w:rsidR="00820DC0">
        <w:rPr>
          <w:rFonts w:cs="Times New Roman"/>
          <w:i/>
        </w:rPr>
        <w:fldChar w:fldCharType="begin"/>
      </w:r>
      <w:r>
        <w:instrText xml:space="preserve"> TA \s "Laurence Bugorgue-Larsen,. Inter-American Court of Human Rights: Case Law and Commentary (Oxford University Press, 2011)" </w:instrText>
      </w:r>
      <w:r w:rsidR="00820DC0">
        <w:rPr>
          <w:rFonts w:cs="Times New Roman"/>
          <w:i/>
        </w:rPr>
        <w:fldChar w:fldCharType="end"/>
      </w:r>
      <w:r w:rsidRPr="00145DF0">
        <w:rPr>
          <w:rFonts w:cs="Times New Roman"/>
          <w:i/>
        </w:rPr>
        <w:t>upra</w:t>
      </w:r>
      <w:r>
        <w:rPr>
          <w:rFonts w:cs="Times New Roman"/>
        </w:rPr>
        <w:t xml:space="preserve"> note 38, </w:t>
      </w:r>
      <w:r w:rsidRPr="00145DF0">
        <w:rPr>
          <w:rFonts w:cs="Times New Roman"/>
        </w:rPr>
        <w:t xml:space="preserve"> p. 681;</w:t>
      </w:r>
      <w:r w:rsidRPr="001E0D99">
        <w:rPr>
          <w:rFonts w:cs="Times New Roman"/>
          <w:i/>
        </w:rPr>
        <w:t xml:space="preserve"> </w:t>
      </w:r>
      <w:r w:rsidRPr="00BB6DE0">
        <w:rPr>
          <w:rFonts w:cs="Times New Roman"/>
        </w:rPr>
        <w:t xml:space="preserve"> </w:t>
      </w:r>
      <w:r w:rsidRPr="001E0D99">
        <w:rPr>
          <w:rFonts w:cs="Times New Roman"/>
        </w:rPr>
        <w:t xml:space="preserve">I/A Court H.R., </w:t>
      </w:r>
      <w:r w:rsidRPr="001E0D99">
        <w:rPr>
          <w:rFonts w:cs="Times New Roman"/>
          <w:i/>
        </w:rPr>
        <w:t>Case of Acosta-Calderón v. Ecuador.</w:t>
      </w:r>
      <w:r w:rsidRPr="001E0D99">
        <w:rPr>
          <w:rFonts w:cs="Times New Roman"/>
        </w:rPr>
        <w:t xml:space="preserve"> Merits, Reparations and Costs. Judgment of June 24, 2005. Series C No. 129</w:t>
      </w:r>
      <w:r w:rsidR="00820DC0">
        <w:rPr>
          <w:rFonts w:cs="Times New Roman"/>
        </w:rPr>
        <w:fldChar w:fldCharType="begin"/>
      </w:r>
      <w:r>
        <w:instrText xml:space="preserve"> TA \l "</w:instrText>
      </w:r>
      <w:r w:rsidRPr="005B531D">
        <w:rPr>
          <w:rFonts w:cs="Times New Roman"/>
        </w:rPr>
        <w:instrText xml:space="preserve">I/A Court H.R., </w:instrText>
      </w:r>
      <w:r w:rsidRPr="005B531D">
        <w:rPr>
          <w:rFonts w:cs="Times New Roman"/>
          <w:i/>
        </w:rPr>
        <w:instrText>Case of Acosta-Calderón v. Ecuador.</w:instrText>
      </w:r>
      <w:r w:rsidRPr="005B531D">
        <w:rPr>
          <w:rFonts w:cs="Times New Roman"/>
        </w:rPr>
        <w:instrText xml:space="preserve"> Merits, Reparations and Costs. Judgment of June 24, 2005. Series C No. 129</w:instrText>
      </w:r>
      <w:r>
        <w:instrText xml:space="preserve">" \s ";  I/A Court H.R., Case of Acosta-Calderón v. Ecuador. Merits, Reparations and Costs. Judgment of June 24, 2005. Series C No. 129" \c 1 </w:instrText>
      </w:r>
      <w:r w:rsidR="00820DC0">
        <w:rPr>
          <w:rFonts w:cs="Times New Roman"/>
        </w:rPr>
        <w:fldChar w:fldCharType="end"/>
      </w:r>
      <w:r w:rsidRPr="001E0D99">
        <w:rPr>
          <w:rFonts w:cs="Times New Roman"/>
        </w:rPr>
        <w:t xml:space="preserve"> </w:t>
      </w:r>
      <w:r w:rsidRPr="00BB6DE0">
        <w:rPr>
          <w:rFonts w:cs="Times New Roman"/>
        </w:rPr>
        <w:t>para 92</w:t>
      </w:r>
      <w:r>
        <w:rPr>
          <w:rFonts w:cs="Times New Roman"/>
        </w:rPr>
        <w:t xml:space="preserve">; </w:t>
      </w:r>
      <w:r w:rsidRPr="001E0D99">
        <w:rPr>
          <w:rFonts w:cs="Times New Roman"/>
        </w:rPr>
        <w:t xml:space="preserve">I/A Court H.R., </w:t>
      </w:r>
      <w:r w:rsidRPr="001E0D99">
        <w:rPr>
          <w:rFonts w:cs="Times New Roman"/>
          <w:i/>
        </w:rPr>
        <w:t>Habeas corpus in Emergency Situations (Arts. 27(2), 25(1) and 7(6) American Convention on Human Rights).</w:t>
      </w:r>
      <w:r w:rsidRPr="001E0D99">
        <w:rPr>
          <w:rFonts w:cs="Times New Roman"/>
        </w:rPr>
        <w:t xml:space="preserve"> Advisory Opinion OC-8/87 of January 30, 1987. Series A No. 8,</w:t>
      </w:r>
      <w:r w:rsidR="00820DC0">
        <w:rPr>
          <w:rFonts w:cs="Times New Roman"/>
        </w:rPr>
        <w:fldChar w:fldCharType="begin"/>
      </w:r>
      <w:r>
        <w:instrText xml:space="preserve"> TA \l "</w:instrText>
      </w:r>
      <w:r w:rsidRPr="00267F0C">
        <w:rPr>
          <w:rFonts w:cs="Times New Roman"/>
        </w:rPr>
        <w:instrText xml:space="preserve">I/A Court H.R., </w:instrText>
      </w:r>
      <w:r w:rsidRPr="00267F0C">
        <w:rPr>
          <w:rFonts w:cs="Times New Roman"/>
          <w:i/>
        </w:rPr>
        <w:instrText>Habeas corpus in Emergency Situations (Arts. 27(2), 25(1) and 7(6) American Convention on Human Rights).</w:instrText>
      </w:r>
      <w:r w:rsidRPr="00267F0C">
        <w:rPr>
          <w:rFonts w:cs="Times New Roman"/>
        </w:rPr>
        <w:instrText xml:space="preserve"> Advisory Opinion OC-8/87 of January 30, 1987. Series A No. 8,</w:instrText>
      </w:r>
      <w:r>
        <w:instrText xml:space="preserve">" \s "I/A Court H.R., Habeas corpus in Emergency Situations (Arts. 27(2), 25(1) and 7(6) American Convention on Human Rights). Advisory Opinion OC-8/87 of January 30, 1987. Series A No. 8," \c 1 </w:instrText>
      </w:r>
      <w:r w:rsidR="00820DC0">
        <w:rPr>
          <w:rFonts w:cs="Times New Roman"/>
        </w:rPr>
        <w:fldChar w:fldCharType="end"/>
      </w:r>
      <w:r w:rsidRPr="001E0D99">
        <w:rPr>
          <w:rFonts w:cs="Times New Roman"/>
        </w:rPr>
        <w:t xml:space="preserve"> para 32</w:t>
      </w:r>
    </w:p>
  </w:footnote>
  <w:footnote w:id="134">
    <w:p w:rsidR="00156D87" w:rsidRPr="00824B37" w:rsidRDefault="00156D87" w:rsidP="00754B17">
      <w:pPr>
        <w:pStyle w:val="FootnoteText"/>
        <w:jc w:val="both"/>
        <w:rPr>
          <w:rFonts w:cs="Times New Roman"/>
        </w:rPr>
      </w:pPr>
      <w:r w:rsidRPr="001E0D99">
        <w:rPr>
          <w:rStyle w:val="FootnoteReference"/>
          <w:rFonts w:cs="Times New Roman"/>
        </w:rPr>
        <w:footnoteRef/>
      </w:r>
      <w:r w:rsidRPr="001E0D99">
        <w:rPr>
          <w:rFonts w:cs="Times New Roman"/>
        </w:rPr>
        <w:t xml:space="preserve"> I/A Court H.R., </w:t>
      </w:r>
      <w:r w:rsidRPr="001E0D99">
        <w:rPr>
          <w:rFonts w:cs="Times New Roman"/>
          <w:i/>
        </w:rPr>
        <w:t>Judicial Guarantees in States of Emergency (Arts. 27(2), 25 and (8) American Convention on Human Rights</w:t>
      </w:r>
      <w:r w:rsidRPr="001E0D99">
        <w:rPr>
          <w:rFonts w:cs="Times New Roman"/>
        </w:rPr>
        <w:t>). Advisory Opinion OC-9/87 of October 6, 1987. Series A No. 9</w:t>
      </w:r>
      <w:r w:rsidR="00820DC0">
        <w:rPr>
          <w:rFonts w:cs="Times New Roman"/>
        </w:rPr>
        <w:fldChar w:fldCharType="begin"/>
      </w:r>
      <w:r>
        <w:instrText xml:space="preserve"> TA \l "</w:instrText>
      </w:r>
      <w:r w:rsidRPr="00FA66FC">
        <w:rPr>
          <w:rFonts w:cs="Times New Roman"/>
        </w:rPr>
        <w:instrText xml:space="preserve">I/A Court H.R., </w:instrText>
      </w:r>
      <w:r w:rsidRPr="00FA66FC">
        <w:rPr>
          <w:rFonts w:cs="Times New Roman"/>
          <w:i/>
        </w:rPr>
        <w:instrText>Judicial Guarantees in States of Emergency (Arts. 27(2), 25 and (8) American Convention on Human Rights</w:instrText>
      </w:r>
      <w:r w:rsidRPr="00FA66FC">
        <w:rPr>
          <w:rFonts w:cs="Times New Roman"/>
        </w:rPr>
        <w:instrText>). Advisory Opinion OC-9/87 of October 6, 1987. Series A No. 9</w:instrText>
      </w:r>
      <w:r>
        <w:instrText xml:space="preserve">" \s "I/A Court H.R., Judicial Guarantees in States of Emergency (Arts. 27(2), 25 and (8) American Convention on Human Rights). Advisory Opinion OC-9/87 of October 6, 1987. Series A No. 9" \c 1 </w:instrText>
      </w:r>
      <w:r w:rsidR="00820DC0">
        <w:rPr>
          <w:rFonts w:cs="Times New Roman"/>
        </w:rPr>
        <w:fldChar w:fldCharType="end"/>
      </w:r>
      <w:r w:rsidRPr="001E0D99">
        <w:rPr>
          <w:rFonts w:cs="Times New Roman"/>
        </w:rPr>
        <w:t>, para. 28.</w:t>
      </w:r>
    </w:p>
  </w:footnote>
  <w:footnote w:id="135">
    <w:p w:rsidR="00156D87" w:rsidRDefault="00156D87" w:rsidP="00754B17">
      <w:pPr>
        <w:pStyle w:val="FootnoteText"/>
        <w:jc w:val="both"/>
      </w:pPr>
      <w:r>
        <w:rPr>
          <w:rStyle w:val="FootnoteReference"/>
        </w:rPr>
        <w:footnoteRef/>
      </w:r>
      <w:r>
        <w:t xml:space="preserve"> </w:t>
      </w:r>
      <w:r w:rsidRPr="001E0D99">
        <w:rPr>
          <w:rFonts w:cs="Times New Roman"/>
        </w:rPr>
        <w:t xml:space="preserve">I/A Court H.R., </w:t>
      </w:r>
      <w:r w:rsidRPr="001E0D99">
        <w:rPr>
          <w:rFonts w:cs="Times New Roman"/>
          <w:i/>
        </w:rPr>
        <w:t>Judicial Guarantees in States of Emergency (Arts. 27(2), 25 and (8) American Convention on Human Rights</w:t>
      </w:r>
      <w:r>
        <w:rPr>
          <w:rFonts w:cs="Times New Roman"/>
        </w:rPr>
        <w:t xml:space="preserve">), </w:t>
      </w:r>
      <w:r w:rsidRPr="001E0D99">
        <w:rPr>
          <w:rFonts w:cs="Times New Roman"/>
          <w:i/>
        </w:rPr>
        <w:t>supra</w:t>
      </w:r>
      <w:r>
        <w:rPr>
          <w:rFonts w:cs="Times New Roman"/>
        </w:rPr>
        <w:t xml:space="preserve"> note 127</w:t>
      </w:r>
      <w:r w:rsidR="00820DC0">
        <w:rPr>
          <w:rFonts w:cs="Times New Roman"/>
        </w:rPr>
        <w:fldChar w:fldCharType="begin"/>
      </w:r>
      <w:r>
        <w:instrText xml:space="preserve"> TA \s "I/A Court H.R., Judicial Guarantees in States of Emergency (Arts. 27(2), 25 and (8) American Convention on Human Rights). Advisory Opinion OC-9/87 of October 6, 1987. Series A No. 9" </w:instrText>
      </w:r>
      <w:r w:rsidR="00820DC0">
        <w:rPr>
          <w:rFonts w:cs="Times New Roman"/>
        </w:rPr>
        <w:fldChar w:fldCharType="end"/>
      </w:r>
      <w:r>
        <w:rPr>
          <w:rFonts w:cs="Times New Roman"/>
        </w:rPr>
        <w:t>, para.  29</w:t>
      </w:r>
    </w:p>
  </w:footnote>
  <w:footnote w:id="136">
    <w:p w:rsidR="00156D87" w:rsidRPr="00BB6DE0" w:rsidRDefault="00156D87" w:rsidP="00754B17">
      <w:pPr>
        <w:pStyle w:val="FootnoteText"/>
        <w:jc w:val="both"/>
        <w:rPr>
          <w:rFonts w:cs="Times New Roman"/>
        </w:rPr>
      </w:pPr>
      <w:r w:rsidRPr="00BB6DE0">
        <w:rPr>
          <w:rStyle w:val="FootnoteReference"/>
          <w:rFonts w:cs="Times New Roman"/>
        </w:rPr>
        <w:footnoteRef/>
      </w:r>
      <w:r>
        <w:rPr>
          <w:rFonts w:cs="Times New Roman"/>
        </w:rPr>
        <w:t xml:space="preserve"> </w:t>
      </w:r>
      <w:r w:rsidRPr="001E0D99">
        <w:rPr>
          <w:rFonts w:cs="Times New Roman"/>
        </w:rPr>
        <w:t xml:space="preserve">I/A Court H.R., </w:t>
      </w:r>
      <w:r w:rsidRPr="001E0D99">
        <w:rPr>
          <w:rFonts w:cs="Times New Roman"/>
          <w:i/>
        </w:rPr>
        <w:t>Case of the Mapiripán Massacre v. Colombia</w:t>
      </w:r>
      <w:r w:rsidRPr="001E0D99">
        <w:rPr>
          <w:rFonts w:cs="Times New Roman"/>
        </w:rPr>
        <w:t xml:space="preserve">. </w:t>
      </w:r>
      <w:r>
        <w:rPr>
          <w:rFonts w:cs="Times New Roman"/>
        </w:rPr>
        <w:t xml:space="preserve">Merits, Reparations and Costs. </w:t>
      </w:r>
      <w:r w:rsidRPr="001E0D99">
        <w:rPr>
          <w:rFonts w:cs="Times New Roman"/>
        </w:rPr>
        <w:t>Judgment of September 15, 2005. Series C No. 134</w:t>
      </w:r>
      <w:r w:rsidR="00820DC0">
        <w:rPr>
          <w:rFonts w:cs="Times New Roman"/>
        </w:rPr>
        <w:fldChar w:fldCharType="begin"/>
      </w:r>
      <w:r>
        <w:instrText xml:space="preserve"> TA \l "</w:instrText>
      </w:r>
      <w:r w:rsidRPr="00027F0C">
        <w:rPr>
          <w:rFonts w:cs="Times New Roman"/>
        </w:rPr>
        <w:instrText xml:space="preserve">I/A Court H.R., </w:instrText>
      </w:r>
      <w:r w:rsidRPr="00027F0C">
        <w:rPr>
          <w:rFonts w:cs="Times New Roman"/>
          <w:i/>
        </w:rPr>
        <w:instrText>Case of the Mapiripán Massacre v. Colombia</w:instrText>
      </w:r>
      <w:r w:rsidRPr="00027F0C">
        <w:rPr>
          <w:rFonts w:cs="Times New Roman"/>
        </w:rPr>
        <w:instrText>. Merits, Reparations and Costs. Judgment of September 15, 2005. Series C No. 134</w:instrText>
      </w:r>
      <w:r>
        <w:instrText xml:space="preserve">" \s "I/A Court H.R., Case of the Mapiripán Massacre v. Colombia. Merits, Reparations and Costs. Judgment of September 15, 2005. Series C No. 134" \c 1 </w:instrText>
      </w:r>
      <w:r w:rsidR="00820DC0">
        <w:rPr>
          <w:rFonts w:cs="Times New Roman"/>
        </w:rPr>
        <w:fldChar w:fldCharType="end"/>
      </w:r>
      <w:r>
        <w:rPr>
          <w:rFonts w:cs="Times New Roman"/>
        </w:rPr>
        <w:t xml:space="preserve">, </w:t>
      </w:r>
      <w:r w:rsidRPr="00BB6DE0">
        <w:rPr>
          <w:rFonts w:cs="Times New Roman"/>
        </w:rPr>
        <w:t xml:space="preserve">para </w:t>
      </w:r>
      <w:r>
        <w:rPr>
          <w:rFonts w:cs="Times New Roman"/>
        </w:rPr>
        <w:t>195;</w:t>
      </w:r>
      <w:r w:rsidRPr="001E0D99">
        <w:t xml:space="preserve"> </w:t>
      </w:r>
      <w:r w:rsidRPr="001E0D99">
        <w:rPr>
          <w:rFonts w:cs="Times New Roman"/>
        </w:rPr>
        <w:t xml:space="preserve">I/A Court H.R., </w:t>
      </w:r>
      <w:r w:rsidRPr="001E0D99">
        <w:rPr>
          <w:rFonts w:cs="Times New Roman"/>
          <w:i/>
        </w:rPr>
        <w:t>Case of the Pueblo Bello Massacre v. Colombia</w:t>
      </w:r>
      <w:r w:rsidRPr="001E0D99">
        <w:rPr>
          <w:rFonts w:cs="Times New Roman"/>
        </w:rPr>
        <w:t>. Judgment of January 31, 2006. Series C No. 140</w:t>
      </w:r>
      <w:r w:rsidR="00820DC0">
        <w:rPr>
          <w:rFonts w:cs="Times New Roman"/>
        </w:rPr>
        <w:fldChar w:fldCharType="begin"/>
      </w:r>
      <w:r>
        <w:instrText xml:space="preserve"> TA \l "</w:instrText>
      </w:r>
      <w:r w:rsidRPr="0023397F">
        <w:rPr>
          <w:rFonts w:cs="Times New Roman"/>
        </w:rPr>
        <w:instrText xml:space="preserve">I/A Court H.R., </w:instrText>
      </w:r>
      <w:r w:rsidRPr="0023397F">
        <w:rPr>
          <w:rFonts w:cs="Times New Roman"/>
          <w:i/>
        </w:rPr>
        <w:instrText>Case of the Pueblo Bello Massacre v. Colombia</w:instrText>
      </w:r>
      <w:r w:rsidRPr="0023397F">
        <w:rPr>
          <w:rFonts w:cs="Times New Roman"/>
        </w:rPr>
        <w:instrText>. Judgment of January 31, 2006. Series C No. 140</w:instrText>
      </w:r>
      <w:r>
        <w:instrText xml:space="preserve">" \s "I/A Court H.R., Case of the Pueblo Bello Massacre v. Colombia. Judgment of January 31, 2006. Series C No. 140" \c 1 </w:instrText>
      </w:r>
      <w:r w:rsidR="00820DC0">
        <w:rPr>
          <w:rFonts w:cs="Times New Roman"/>
        </w:rPr>
        <w:fldChar w:fldCharType="end"/>
      </w:r>
      <w:r>
        <w:rPr>
          <w:rFonts w:cs="Times New Roman"/>
        </w:rPr>
        <w:t xml:space="preserve">, </w:t>
      </w:r>
      <w:r w:rsidRPr="00BB6DE0">
        <w:rPr>
          <w:rFonts w:cs="Times New Roman"/>
        </w:rPr>
        <w:t>paras 28-29</w:t>
      </w:r>
      <w:r>
        <w:rPr>
          <w:rFonts w:cs="Times New Roman"/>
        </w:rPr>
        <w:t xml:space="preserve">; </w:t>
      </w:r>
      <w:r w:rsidRPr="00EC29DA">
        <w:rPr>
          <w:rFonts w:cs="Times New Roman"/>
        </w:rPr>
        <w:t xml:space="preserve">I/A Court H.R., </w:t>
      </w:r>
      <w:r w:rsidRPr="00EC29DA">
        <w:rPr>
          <w:rFonts w:cs="Times New Roman"/>
          <w:i/>
        </w:rPr>
        <w:t>Case of Cantos v. Argentina</w:t>
      </w:r>
      <w:r w:rsidRPr="00EC29DA">
        <w:rPr>
          <w:rFonts w:cs="Times New Roman"/>
        </w:rPr>
        <w:t>. Merits, Reparations and Costs. Judgment of November 28, 2002. Series C No. 97</w:t>
      </w:r>
      <w:r w:rsidR="00820DC0">
        <w:rPr>
          <w:rFonts w:cs="Times New Roman"/>
        </w:rPr>
        <w:fldChar w:fldCharType="begin"/>
      </w:r>
      <w:r>
        <w:instrText xml:space="preserve"> TA \l "</w:instrText>
      </w:r>
      <w:r w:rsidRPr="00DF0AC5">
        <w:rPr>
          <w:rFonts w:cs="Times New Roman"/>
        </w:rPr>
        <w:instrText xml:space="preserve">I/A Court H.R., </w:instrText>
      </w:r>
      <w:r w:rsidRPr="00DF0AC5">
        <w:rPr>
          <w:rFonts w:cs="Times New Roman"/>
          <w:i/>
        </w:rPr>
        <w:instrText>Case of Cantos v. Argentina</w:instrText>
      </w:r>
      <w:r w:rsidRPr="00DF0AC5">
        <w:rPr>
          <w:rFonts w:cs="Times New Roman"/>
        </w:rPr>
        <w:instrText>. Merits, Reparations and Costs. Judgment of November 28, 2002. Series C No. 97</w:instrText>
      </w:r>
      <w:r>
        <w:instrText xml:space="preserve">" \s "I/A Court H.R., Case of Cantos v. Argentina. Merits, Reparations and Costs. Judgment of November 28, 2002. Series C No. 97" \c 1 </w:instrText>
      </w:r>
      <w:r w:rsidR="00820DC0">
        <w:rPr>
          <w:rFonts w:cs="Times New Roman"/>
        </w:rPr>
        <w:fldChar w:fldCharType="end"/>
      </w:r>
      <w:r>
        <w:rPr>
          <w:rFonts w:cs="Times New Roman"/>
        </w:rPr>
        <w:t xml:space="preserve">, paras 50-52; </w:t>
      </w:r>
      <w:r w:rsidRPr="00145DF0">
        <w:rPr>
          <w:rFonts w:cs="Times New Roman"/>
        </w:rPr>
        <w:t>Antônio Augusto Cançado Trindade</w:t>
      </w:r>
      <w:r>
        <w:rPr>
          <w:rFonts w:cs="Times New Roman"/>
        </w:rPr>
        <w:t xml:space="preserve"> </w:t>
      </w:r>
      <w:r w:rsidRPr="00145DF0">
        <w:rPr>
          <w:rFonts w:cs="Times New Roman"/>
          <w:i/>
        </w:rPr>
        <w:t>The Access of Individuals to International Justice</w:t>
      </w:r>
      <w:r w:rsidRPr="00145DF0">
        <w:rPr>
          <w:rFonts w:cs="Times New Roman"/>
        </w:rPr>
        <w:t xml:space="preserve"> (Oxford: Oxford University Press, 2011)</w:t>
      </w:r>
      <w:r w:rsidR="00820DC0">
        <w:rPr>
          <w:rFonts w:cs="Times New Roman"/>
        </w:rPr>
        <w:fldChar w:fldCharType="begin"/>
      </w:r>
      <w:r>
        <w:instrText xml:space="preserve"> TA \l "</w:instrText>
      </w:r>
      <w:r w:rsidRPr="009160E8">
        <w:rPr>
          <w:rFonts w:cs="Times New Roman"/>
        </w:rPr>
        <w:instrText xml:space="preserve">Antônio Augusto Cançado Trindade </w:instrText>
      </w:r>
      <w:r w:rsidRPr="009160E8">
        <w:rPr>
          <w:rFonts w:cs="Times New Roman"/>
          <w:i/>
        </w:rPr>
        <w:instrText>The Access of Individuals to International Justice</w:instrText>
      </w:r>
      <w:r w:rsidRPr="009160E8">
        <w:rPr>
          <w:rFonts w:cs="Times New Roman"/>
        </w:rPr>
        <w:instrText xml:space="preserve"> (Oxford: Oxford University Press, 2011)</w:instrText>
      </w:r>
      <w:r>
        <w:instrText xml:space="preserve">" \s "Antônio Augusto Cançado Trindade The Access of Individuals to International Justice (Oxford: Oxford University Press, 2011)" \c 2 </w:instrText>
      </w:r>
      <w:r w:rsidR="00820DC0">
        <w:rPr>
          <w:rFonts w:cs="Times New Roman"/>
        </w:rPr>
        <w:fldChar w:fldCharType="end"/>
      </w:r>
      <w:r>
        <w:rPr>
          <w:rFonts w:cs="Times New Roman"/>
        </w:rPr>
        <w:t>, p. 64</w:t>
      </w:r>
    </w:p>
  </w:footnote>
  <w:footnote w:id="137">
    <w:p w:rsidR="00156D87" w:rsidRPr="00EC29DA" w:rsidRDefault="00156D87" w:rsidP="00754B17">
      <w:pPr>
        <w:pStyle w:val="FootnoteText"/>
        <w:jc w:val="both"/>
        <w:rPr>
          <w:rFonts w:cs="Times New Roman"/>
        </w:rPr>
      </w:pPr>
      <w:r w:rsidRPr="00EC29DA">
        <w:rPr>
          <w:rStyle w:val="FootnoteReference"/>
          <w:rFonts w:cs="Times New Roman"/>
        </w:rPr>
        <w:footnoteRef/>
      </w:r>
      <w:r>
        <w:rPr>
          <w:rFonts w:cs="Times New Roman"/>
        </w:rPr>
        <w:t xml:space="preserve"> </w:t>
      </w:r>
      <w:r w:rsidRPr="00EC29DA">
        <w:rPr>
          <w:rFonts w:cs="Times New Roman"/>
        </w:rPr>
        <w:t xml:space="preserve">I/A Court H.R., </w:t>
      </w:r>
      <w:r w:rsidRPr="00EC29DA">
        <w:rPr>
          <w:rFonts w:cs="Times New Roman"/>
          <w:i/>
        </w:rPr>
        <w:t>Case of Velásquez-Rodríguez v. Honduras</w:t>
      </w:r>
      <w:r w:rsidRPr="00EC29DA">
        <w:rPr>
          <w:rFonts w:cs="Times New Roman"/>
        </w:rPr>
        <w:t>. Preliminary Objections. Judgment of June 26, 1987. Series C No. 1</w:t>
      </w:r>
      <w:r w:rsidR="00820DC0">
        <w:rPr>
          <w:rFonts w:cs="Times New Roman"/>
        </w:rPr>
        <w:fldChar w:fldCharType="begin"/>
      </w:r>
      <w:r>
        <w:instrText xml:space="preserve"> TA \s "I/A Court H.R., Case of Velásquez-Rodríguez v. Honduras. Preliminary Objections. Judgment of June 26, 1987. Series C No. 1" </w:instrText>
      </w:r>
      <w:r w:rsidR="00820DC0">
        <w:rPr>
          <w:rFonts w:cs="Times New Roman"/>
        </w:rPr>
        <w:fldChar w:fldCharType="end"/>
      </w:r>
      <w:r>
        <w:rPr>
          <w:rFonts w:cs="Times New Roman"/>
        </w:rPr>
        <w:t xml:space="preserve">, </w:t>
      </w:r>
      <w:r w:rsidRPr="00EC29DA">
        <w:rPr>
          <w:rFonts w:cs="Times New Roman"/>
        </w:rPr>
        <w:t xml:space="preserve">para. 91; I/A Court H.R </w:t>
      </w:r>
      <w:r w:rsidRPr="00EC29DA">
        <w:rPr>
          <w:rFonts w:cs="Times New Roman"/>
          <w:i/>
        </w:rPr>
        <w:t>Case of the “Las Dos Erres" Massacre v. Guatemala</w:t>
      </w:r>
      <w:r w:rsidRPr="00EC29DA">
        <w:rPr>
          <w:rFonts w:cs="Times New Roman"/>
        </w:rPr>
        <w:t>. Preliminary Objection</w:t>
      </w:r>
      <w:r>
        <w:rPr>
          <w:rFonts w:cs="Times New Roman"/>
        </w:rPr>
        <w:t>s</w:t>
      </w:r>
      <w:r w:rsidRPr="00EC29DA">
        <w:rPr>
          <w:rFonts w:cs="Times New Roman"/>
        </w:rPr>
        <w:t>, Merits, Reparations and Costs. Judgment o</w:t>
      </w:r>
      <w:r>
        <w:rPr>
          <w:rFonts w:cs="Times New Roman"/>
        </w:rPr>
        <w:t>f November 24, 2009. Series C No.</w:t>
      </w:r>
      <w:r w:rsidRPr="00EC29DA">
        <w:rPr>
          <w:rFonts w:cs="Times New Roman"/>
        </w:rPr>
        <w:t xml:space="preserve"> 211</w:t>
      </w:r>
      <w:r w:rsidR="00820DC0">
        <w:rPr>
          <w:rFonts w:cs="Times New Roman"/>
        </w:rPr>
        <w:fldChar w:fldCharType="begin"/>
      </w:r>
      <w:r>
        <w:instrText xml:space="preserve"> TA \l "</w:instrText>
      </w:r>
      <w:r w:rsidRPr="00B615EF">
        <w:rPr>
          <w:rFonts w:cs="Times New Roman"/>
        </w:rPr>
        <w:instrText xml:space="preserve">I/A Court H.R </w:instrText>
      </w:r>
      <w:r w:rsidRPr="00B615EF">
        <w:rPr>
          <w:rFonts w:cs="Times New Roman"/>
          <w:i/>
        </w:rPr>
        <w:instrText xml:space="preserve">Case of the </w:instrText>
      </w:r>
      <w:r>
        <w:instrText>\</w:instrText>
      </w:r>
      <w:r w:rsidRPr="00B615EF">
        <w:rPr>
          <w:rFonts w:cs="Times New Roman"/>
          <w:i/>
        </w:rPr>
        <w:instrText>“Las Dos Erres</w:instrText>
      </w:r>
      <w:r>
        <w:instrText>\</w:instrText>
      </w:r>
      <w:r w:rsidRPr="00B615EF">
        <w:rPr>
          <w:rFonts w:cs="Times New Roman"/>
          <w:i/>
        </w:rPr>
        <w:instrText>" Massacre v. Guatemala</w:instrText>
      </w:r>
      <w:r w:rsidRPr="00B615EF">
        <w:rPr>
          <w:rFonts w:cs="Times New Roman"/>
        </w:rPr>
        <w:instrText>. Preliminary Objections, Merits, Reparations and Costs. Judgment of November 24, 2009. Series C No. 211</w:instrText>
      </w:r>
      <w:r>
        <w:instrText xml:space="preserve">" \s "I/A Court H.R Case of the \"Las Dos Erres\" Massacre v. Guatemala. Preliminary Objections, Merits, Reparations and Costs. Judgment of November 24, 2009. Series C No. 211" \c 1 </w:instrText>
      </w:r>
      <w:r w:rsidR="00820DC0">
        <w:rPr>
          <w:rFonts w:cs="Times New Roman"/>
        </w:rPr>
        <w:fldChar w:fldCharType="end"/>
      </w:r>
      <w:r w:rsidRPr="00EC29DA">
        <w:rPr>
          <w:rFonts w:cs="Times New Roman"/>
        </w:rPr>
        <w:t xml:space="preserve">, para. 104; I/A Court H.R </w:t>
      </w:r>
      <w:r w:rsidRPr="00EC29DA">
        <w:rPr>
          <w:rFonts w:cs="Times New Roman"/>
          <w:i/>
        </w:rPr>
        <w:t>Case of Chitay Nech et al v. Guatemala</w:t>
      </w:r>
      <w:r w:rsidRPr="00EC29DA">
        <w:rPr>
          <w:rFonts w:cs="Times New Roman"/>
        </w:rPr>
        <w:t>. Preliminary Objections, Merits, Reparations and Costs. Judgment of May 25, 2010. Series C No. 212</w:t>
      </w:r>
      <w:r w:rsidR="00820DC0">
        <w:rPr>
          <w:rFonts w:cs="Times New Roman"/>
        </w:rPr>
        <w:fldChar w:fldCharType="begin"/>
      </w:r>
      <w:r>
        <w:instrText xml:space="preserve"> TA \l "</w:instrText>
      </w:r>
      <w:r w:rsidRPr="00C957BA">
        <w:rPr>
          <w:rFonts w:cs="Times New Roman"/>
        </w:rPr>
        <w:instrText xml:space="preserve">I/A Court H.R </w:instrText>
      </w:r>
      <w:r w:rsidRPr="00C957BA">
        <w:rPr>
          <w:rFonts w:cs="Times New Roman"/>
          <w:i/>
        </w:rPr>
        <w:instrText>Case of Chitay Nech et al v. Guatemala</w:instrText>
      </w:r>
      <w:r w:rsidRPr="00C957BA">
        <w:rPr>
          <w:rFonts w:cs="Times New Roman"/>
        </w:rPr>
        <w:instrText>. Preliminary Objections, Merits, Reparations and Costs. Judgment of May 25, 2010. Series C No. 212</w:instrText>
      </w:r>
      <w:r>
        <w:instrText xml:space="preserve">" \s "; I/A Court H.R Case of Chitay Nech et al v. Guatemala. Preliminary Objections, Merits, Reparations and Costs. Judgment of May 25, 2010. Series C No. 212" \c 1 </w:instrText>
      </w:r>
      <w:r w:rsidR="00820DC0">
        <w:rPr>
          <w:rFonts w:cs="Times New Roman"/>
        </w:rPr>
        <w:fldChar w:fldCharType="end"/>
      </w:r>
      <w:r w:rsidRPr="00EC29DA">
        <w:rPr>
          <w:rFonts w:cs="Times New Roman"/>
        </w:rPr>
        <w:t>, para. 190.</w:t>
      </w:r>
    </w:p>
  </w:footnote>
  <w:footnote w:id="138">
    <w:p w:rsidR="00156D87" w:rsidRPr="00EC29DA" w:rsidRDefault="00156D87" w:rsidP="00754B17">
      <w:pPr>
        <w:pStyle w:val="FootnoteText"/>
        <w:jc w:val="both"/>
        <w:rPr>
          <w:rFonts w:cs="Times New Roman"/>
        </w:rPr>
      </w:pPr>
      <w:r w:rsidRPr="00EC29DA">
        <w:rPr>
          <w:rStyle w:val="FootnoteReference"/>
          <w:rFonts w:cs="Times New Roman"/>
        </w:rPr>
        <w:footnoteRef/>
      </w:r>
      <w:r w:rsidRPr="00EC29DA">
        <w:rPr>
          <w:rFonts w:cs="Times New Roman"/>
        </w:rPr>
        <w:t xml:space="preserve"> I/A Court H.R., </w:t>
      </w:r>
      <w:r w:rsidRPr="00EC29DA">
        <w:rPr>
          <w:rFonts w:cs="Times New Roman"/>
          <w:i/>
        </w:rPr>
        <w:t>Case of the Constitutional Court v. Peru.</w:t>
      </w:r>
      <w:r w:rsidRPr="00EC29DA">
        <w:rPr>
          <w:rFonts w:cs="Times New Roman"/>
        </w:rPr>
        <w:t xml:space="preserve"> Merits, Reparations and Costs. Judgment of January 31, 2001. Series C No. 71</w:t>
      </w:r>
      <w:r w:rsidR="00820DC0">
        <w:rPr>
          <w:rFonts w:cs="Times New Roman"/>
        </w:rPr>
        <w:fldChar w:fldCharType="begin"/>
      </w:r>
      <w:r>
        <w:instrText xml:space="preserve"> TA \l "</w:instrText>
      </w:r>
      <w:r w:rsidRPr="00E72D2A">
        <w:rPr>
          <w:rFonts w:cs="Times New Roman"/>
        </w:rPr>
        <w:instrText xml:space="preserve">I/A Court H.R., </w:instrText>
      </w:r>
      <w:r w:rsidRPr="00E72D2A">
        <w:rPr>
          <w:rFonts w:cs="Times New Roman"/>
          <w:i/>
        </w:rPr>
        <w:instrText>Case of the Constitutional Court v. Peru.</w:instrText>
      </w:r>
      <w:r w:rsidRPr="00E72D2A">
        <w:rPr>
          <w:rFonts w:cs="Times New Roman"/>
        </w:rPr>
        <w:instrText xml:space="preserve"> Merits, Reparations and Costs. Judgment of January 31, 2001. Series C No. 71</w:instrText>
      </w:r>
      <w:r>
        <w:instrText xml:space="preserve">" \s "I/A Court H.R., Case of the Constitutional Court v. Peru. Merits, Reparations and Costs. Judgment of January 31, 2001. Series C No. 71" \c 1 </w:instrText>
      </w:r>
      <w:r w:rsidR="00820DC0">
        <w:rPr>
          <w:rFonts w:cs="Times New Roman"/>
        </w:rPr>
        <w:fldChar w:fldCharType="end"/>
      </w:r>
      <w:r>
        <w:rPr>
          <w:rFonts w:cs="Times New Roman"/>
        </w:rPr>
        <w:t xml:space="preserve">, </w:t>
      </w:r>
      <w:r w:rsidRPr="00EC29DA">
        <w:rPr>
          <w:rFonts w:cs="Times New Roman"/>
        </w:rPr>
        <w:t xml:space="preserve">para 89; </w:t>
      </w:r>
      <w:r w:rsidRPr="001E0D99">
        <w:rPr>
          <w:rFonts w:cs="Times New Roman"/>
        </w:rPr>
        <w:t xml:space="preserve">I/A Court H.R., </w:t>
      </w:r>
      <w:r w:rsidRPr="001E0D99">
        <w:rPr>
          <w:rFonts w:cs="Times New Roman"/>
          <w:i/>
        </w:rPr>
        <w:t>Judicial Guarantees in States of Emergency (Arts. 27(2), 25 and (8) American Convention on Human Rights</w:t>
      </w:r>
      <w:r>
        <w:rPr>
          <w:rFonts w:cs="Times New Roman"/>
        </w:rPr>
        <w:t>),</w:t>
      </w:r>
      <w:r w:rsidR="00820DC0">
        <w:rPr>
          <w:rFonts w:cs="Times New Roman"/>
        </w:rPr>
        <w:fldChar w:fldCharType="begin"/>
      </w:r>
      <w:r>
        <w:instrText xml:space="preserve"> TA \s "I/A Court H.R., Judicial Guarantees in States of Emergency (Arts. 27(2), 25 and (8) American Convention on Human Rights). Advisory Opinion OC-9/87 of October 6, 1987. Series A No. 9" </w:instrText>
      </w:r>
      <w:r w:rsidR="00820DC0">
        <w:rPr>
          <w:rFonts w:cs="Times New Roman"/>
        </w:rPr>
        <w:fldChar w:fldCharType="end"/>
      </w:r>
      <w:r>
        <w:rPr>
          <w:rFonts w:cs="Times New Roman"/>
        </w:rPr>
        <w:t xml:space="preserve"> </w:t>
      </w:r>
      <w:r w:rsidRPr="00EC29DA">
        <w:rPr>
          <w:rFonts w:cs="Times New Roman"/>
          <w:i/>
        </w:rPr>
        <w:t>supra</w:t>
      </w:r>
      <w:r>
        <w:rPr>
          <w:rFonts w:cs="Times New Roman"/>
        </w:rPr>
        <w:t xml:space="preserve"> note 127, </w:t>
      </w:r>
      <w:r w:rsidRPr="00EC29DA">
        <w:rPr>
          <w:rFonts w:cs="Times New Roman"/>
        </w:rPr>
        <w:t>para 23</w:t>
      </w:r>
    </w:p>
  </w:footnote>
  <w:footnote w:id="139">
    <w:p w:rsidR="00156D87" w:rsidRPr="00EC29DA" w:rsidRDefault="00156D87" w:rsidP="00754B17">
      <w:pPr>
        <w:pStyle w:val="FootnoteText"/>
        <w:jc w:val="both"/>
        <w:rPr>
          <w:rFonts w:cs="Times New Roman"/>
        </w:rPr>
      </w:pPr>
      <w:r w:rsidRPr="00EC29DA">
        <w:rPr>
          <w:rStyle w:val="FootnoteReference"/>
          <w:rFonts w:cs="Times New Roman"/>
        </w:rPr>
        <w:footnoteRef/>
      </w:r>
      <w:r w:rsidRPr="00EC29DA">
        <w:rPr>
          <w:rFonts w:cs="Times New Roman"/>
        </w:rPr>
        <w:t xml:space="preserve"> I/A Court H.R., </w:t>
      </w:r>
      <w:r w:rsidRPr="00EC29DA">
        <w:rPr>
          <w:rFonts w:cs="Times New Roman"/>
          <w:i/>
        </w:rPr>
        <w:t>Case of Juan Humberto Sánchez v. Honduras</w:t>
      </w:r>
      <w:r w:rsidRPr="00EC29DA">
        <w:rPr>
          <w:rFonts w:cs="Times New Roman"/>
        </w:rPr>
        <w:t>. Preliminary Objection, Merits, Reparations and Costs. Judgment of June 7, 2003. Series C No. 99</w:t>
      </w:r>
      <w:r w:rsidR="00820DC0">
        <w:rPr>
          <w:rFonts w:cs="Times New Roman"/>
        </w:rPr>
        <w:fldChar w:fldCharType="begin"/>
      </w:r>
      <w:r>
        <w:instrText xml:space="preserve"> TA \s "I/A Court H.R., Case of Juan Humberto Sánchez v. Honduras. Preliminary Objection, Merits, Reparations and Costs. Judgment of June 7, 2003. Series C No. 99" </w:instrText>
      </w:r>
      <w:r w:rsidR="00820DC0">
        <w:rPr>
          <w:rFonts w:cs="Times New Roman"/>
        </w:rPr>
        <w:fldChar w:fldCharType="end"/>
      </w:r>
      <w:r>
        <w:rPr>
          <w:rFonts w:cs="Times New Roman"/>
        </w:rPr>
        <w:t>, paras 121 and 125</w:t>
      </w:r>
    </w:p>
  </w:footnote>
  <w:footnote w:id="140">
    <w:p w:rsidR="00156D87" w:rsidRDefault="00156D87" w:rsidP="00754B17">
      <w:pPr>
        <w:pStyle w:val="FootnoteText"/>
        <w:jc w:val="both"/>
      </w:pPr>
      <w:r w:rsidRPr="00EC29DA">
        <w:rPr>
          <w:rStyle w:val="FootnoteReference"/>
          <w:rFonts w:cs="Times New Roman"/>
        </w:rPr>
        <w:footnoteRef/>
      </w:r>
      <w:r w:rsidRPr="00EC29DA">
        <w:rPr>
          <w:rFonts w:cs="Times New Roman"/>
        </w:rPr>
        <w:t xml:space="preserve"> Clarification Questions and Answers, No. 10</w:t>
      </w:r>
    </w:p>
  </w:footnote>
  <w:footnote w:id="141">
    <w:p w:rsidR="00156D87" w:rsidRPr="002C2E39" w:rsidRDefault="00156D87" w:rsidP="00754B17">
      <w:pPr>
        <w:pStyle w:val="FootnoteText"/>
        <w:jc w:val="both"/>
        <w:rPr>
          <w:rFonts w:cs="Times New Roman"/>
        </w:rPr>
      </w:pPr>
      <w:r w:rsidRPr="002C2E39">
        <w:rPr>
          <w:rStyle w:val="FootnoteReference"/>
          <w:rFonts w:cs="Times New Roman"/>
        </w:rPr>
        <w:footnoteRef/>
      </w:r>
      <w:r w:rsidRPr="002C2E39">
        <w:rPr>
          <w:rFonts w:cs="Times New Roman"/>
        </w:rPr>
        <w:t xml:space="preserve"> Clarification Questions and Answers, No. 47</w:t>
      </w:r>
    </w:p>
  </w:footnote>
  <w:footnote w:id="142">
    <w:p w:rsidR="00156D87" w:rsidRPr="002C2E39" w:rsidRDefault="00156D87" w:rsidP="00754B17">
      <w:pPr>
        <w:pStyle w:val="FootnoteText"/>
        <w:jc w:val="both"/>
        <w:rPr>
          <w:rFonts w:cs="Times New Roman"/>
        </w:rPr>
      </w:pPr>
      <w:r w:rsidRPr="00813B79">
        <w:rPr>
          <w:rStyle w:val="FootnoteReference"/>
          <w:rFonts w:cs="Times New Roman"/>
        </w:rPr>
        <w:footnoteRef/>
      </w:r>
      <w:r w:rsidRPr="00813B79">
        <w:rPr>
          <w:rFonts w:cs="Times New Roman"/>
        </w:rPr>
        <w:t xml:space="preserve"> Article 25(2)(a) ACHR</w:t>
      </w:r>
    </w:p>
  </w:footnote>
  <w:footnote w:id="143">
    <w:p w:rsidR="00156D87" w:rsidRPr="00141DFE" w:rsidRDefault="00156D87" w:rsidP="00754B17">
      <w:pPr>
        <w:pStyle w:val="FootnoteText"/>
        <w:jc w:val="both"/>
        <w:rPr>
          <w:rFonts w:cs="Times New Roman"/>
        </w:rPr>
      </w:pPr>
      <w:r w:rsidRPr="00141DFE">
        <w:rPr>
          <w:rStyle w:val="FootnoteReference"/>
          <w:rFonts w:cs="Times New Roman"/>
        </w:rPr>
        <w:footnoteRef/>
      </w:r>
      <w:r w:rsidRPr="00141DFE">
        <w:rPr>
          <w:rFonts w:cs="Times New Roman"/>
        </w:rPr>
        <w:t xml:space="preserve"> Hypothetical, para 53</w:t>
      </w:r>
    </w:p>
  </w:footnote>
  <w:footnote w:id="144">
    <w:p w:rsidR="00156D87" w:rsidRPr="000111D4" w:rsidRDefault="00156D87" w:rsidP="00754B17">
      <w:pPr>
        <w:pStyle w:val="FootnoteText"/>
        <w:jc w:val="both"/>
        <w:rPr>
          <w:rFonts w:cs="Times New Roman"/>
        </w:rPr>
      </w:pPr>
      <w:r w:rsidRPr="00141DFE">
        <w:rPr>
          <w:rStyle w:val="FootnoteReference"/>
          <w:rFonts w:cs="Times New Roman"/>
        </w:rPr>
        <w:footnoteRef/>
      </w:r>
      <w:r>
        <w:rPr>
          <w:rFonts w:cs="Times New Roman"/>
        </w:rPr>
        <w:t xml:space="preserve"> </w:t>
      </w:r>
      <w:r w:rsidRPr="00EC29DA">
        <w:rPr>
          <w:rFonts w:cs="Times New Roman"/>
        </w:rPr>
        <w:t xml:space="preserve">I/A Court H.R., </w:t>
      </w:r>
      <w:r w:rsidRPr="00EC29DA">
        <w:rPr>
          <w:rFonts w:cs="Times New Roman"/>
          <w:i/>
        </w:rPr>
        <w:t>Case of Baena-Ricardo et al. v. Panama</w:t>
      </w:r>
      <w:r w:rsidRPr="00EC29DA">
        <w:rPr>
          <w:rFonts w:cs="Times New Roman"/>
        </w:rPr>
        <w:t>. Merits, Reparations and Costs. Judgment of February 2, 2001. Series C No. 72</w:t>
      </w:r>
      <w:r w:rsidR="00820DC0">
        <w:rPr>
          <w:rFonts w:cs="Times New Roman"/>
        </w:rPr>
        <w:fldChar w:fldCharType="begin"/>
      </w:r>
      <w:r>
        <w:instrText xml:space="preserve"> TA \l "</w:instrText>
      </w:r>
      <w:r w:rsidRPr="006B5CBE">
        <w:rPr>
          <w:rFonts w:cs="Times New Roman"/>
        </w:rPr>
        <w:instrText xml:space="preserve">I/A Court H.R., </w:instrText>
      </w:r>
      <w:r w:rsidRPr="006B5CBE">
        <w:rPr>
          <w:rFonts w:cs="Times New Roman"/>
          <w:i/>
        </w:rPr>
        <w:instrText>Case of Baena-Ricardo et al. v. Panama</w:instrText>
      </w:r>
      <w:r w:rsidRPr="006B5CBE">
        <w:rPr>
          <w:rFonts w:cs="Times New Roman"/>
        </w:rPr>
        <w:instrText>. Merits, Reparations and Costs. Judgment of February 2, 2001. Series C No. 72</w:instrText>
      </w:r>
      <w:r>
        <w:instrText xml:space="preserve">" \s "I/A Court H.R., Case of Baena-Ricardo et al. v. Panama. Merits, Reparations and Costs. Judgment of February 2, 2001. Series C No. 72" \c 1 </w:instrText>
      </w:r>
      <w:r w:rsidR="00820DC0">
        <w:rPr>
          <w:rFonts w:cs="Times New Roman"/>
        </w:rPr>
        <w:fldChar w:fldCharType="end"/>
      </w:r>
      <w:r>
        <w:rPr>
          <w:rFonts w:cs="Times New Roman"/>
        </w:rPr>
        <w:t xml:space="preserve">, </w:t>
      </w:r>
      <w:r w:rsidRPr="00141DFE">
        <w:rPr>
          <w:rFonts w:cs="Times New Roman"/>
        </w:rPr>
        <w:t>para</w:t>
      </w:r>
      <w:r>
        <w:rPr>
          <w:rFonts w:cs="Times New Roman"/>
        </w:rPr>
        <w:t xml:space="preserve"> 125; </w:t>
      </w:r>
      <w:r w:rsidRPr="00EC29DA">
        <w:rPr>
          <w:rFonts w:cs="Times New Roman"/>
        </w:rPr>
        <w:t xml:space="preserve">I/A Court H.R., </w:t>
      </w:r>
      <w:r w:rsidRPr="00EC29DA">
        <w:rPr>
          <w:rFonts w:cs="Times New Roman"/>
          <w:i/>
        </w:rPr>
        <w:t>Case of the Constitutional Court v. Peru</w:t>
      </w:r>
      <w:r>
        <w:rPr>
          <w:rFonts w:cs="Times New Roman"/>
        </w:rPr>
        <w:t xml:space="preserve">, </w:t>
      </w:r>
      <w:r w:rsidRPr="00EC29DA">
        <w:rPr>
          <w:rFonts w:cs="Times New Roman"/>
          <w:i/>
        </w:rPr>
        <w:t>supra</w:t>
      </w:r>
      <w:r>
        <w:rPr>
          <w:rFonts w:cs="Times New Roman"/>
        </w:rPr>
        <w:t xml:space="preserve"> note 131</w:t>
      </w:r>
      <w:r w:rsidR="00820DC0">
        <w:rPr>
          <w:rFonts w:cs="Times New Roman"/>
        </w:rPr>
        <w:fldChar w:fldCharType="begin"/>
      </w:r>
      <w:r>
        <w:instrText xml:space="preserve"> TA \s "I/A Court H.R., Case of the Constitutional Court v. Peru. Merits, Reparations and Costs. Judgment of January 31, 2001. Series C No. 71" </w:instrText>
      </w:r>
      <w:r w:rsidR="00820DC0">
        <w:rPr>
          <w:rFonts w:cs="Times New Roman"/>
        </w:rPr>
        <w:fldChar w:fldCharType="end"/>
      </w:r>
      <w:r>
        <w:rPr>
          <w:rFonts w:cs="Times New Roman"/>
        </w:rPr>
        <w:t xml:space="preserve">, </w:t>
      </w:r>
      <w:r w:rsidRPr="00141DFE">
        <w:rPr>
          <w:rFonts w:cs="Times New Roman"/>
        </w:rPr>
        <w:t xml:space="preserve">para 69; </w:t>
      </w:r>
      <w:r w:rsidRPr="001E0D99">
        <w:rPr>
          <w:rFonts w:cs="Times New Roman"/>
        </w:rPr>
        <w:t xml:space="preserve">I/A Court H.R., </w:t>
      </w:r>
      <w:r w:rsidRPr="001E0D99">
        <w:rPr>
          <w:rFonts w:cs="Times New Roman"/>
          <w:i/>
        </w:rPr>
        <w:t>Judicial Guarantees in States of Emergency (Arts. 27(2), 25 and (8) American Convention on Human Rights</w:t>
      </w:r>
      <w:r>
        <w:rPr>
          <w:rFonts w:cs="Times New Roman"/>
        </w:rPr>
        <w:t xml:space="preserve">), </w:t>
      </w:r>
      <w:r w:rsidRPr="00EC29DA">
        <w:rPr>
          <w:rFonts w:cs="Times New Roman"/>
          <w:i/>
        </w:rPr>
        <w:t>supra</w:t>
      </w:r>
      <w:r>
        <w:rPr>
          <w:rFonts w:cs="Times New Roman"/>
        </w:rPr>
        <w:t xml:space="preserve"> note 127</w:t>
      </w:r>
      <w:r w:rsidR="00820DC0">
        <w:rPr>
          <w:rFonts w:cs="Times New Roman"/>
        </w:rPr>
        <w:fldChar w:fldCharType="begin"/>
      </w:r>
      <w:r>
        <w:instrText xml:space="preserve"> TA \s "I/A Court H.R., Judicial Guarantees in States of Emergency (Arts. 27(2), 25 and (8) American Convention on Human Rights). Advisory Opinion OC-9/87 of October 6, 1987. Series A No. 9" </w:instrText>
      </w:r>
      <w:r w:rsidR="00820DC0">
        <w:rPr>
          <w:rFonts w:cs="Times New Roman"/>
        </w:rPr>
        <w:fldChar w:fldCharType="end"/>
      </w:r>
      <w:r>
        <w:rPr>
          <w:rFonts w:cs="Times New Roman"/>
        </w:rPr>
        <w:t xml:space="preserve">, </w:t>
      </w:r>
      <w:r w:rsidRPr="00141DFE">
        <w:rPr>
          <w:rFonts w:cs="Times New Roman"/>
        </w:rPr>
        <w:t xml:space="preserve">para 27; </w:t>
      </w:r>
      <w:r w:rsidRPr="00EC29DA">
        <w:rPr>
          <w:rFonts w:cs="Times New Roman"/>
        </w:rPr>
        <w:t xml:space="preserve">I/A Court H.R, </w:t>
      </w:r>
      <w:r w:rsidRPr="00EC29DA">
        <w:rPr>
          <w:rFonts w:cs="Times New Roman"/>
          <w:i/>
        </w:rPr>
        <w:t>Juridical Condition and Rights of the Undocumented Migrants</w:t>
      </w:r>
      <w:r w:rsidRPr="00EC29DA">
        <w:rPr>
          <w:rFonts w:cs="Times New Roman"/>
        </w:rPr>
        <w:t xml:space="preserve">, </w:t>
      </w:r>
      <w:r w:rsidRPr="00EC29DA">
        <w:rPr>
          <w:rFonts w:cs="Times New Roman"/>
          <w:i/>
        </w:rPr>
        <w:t>supra</w:t>
      </w:r>
      <w:r w:rsidRPr="00EC29DA">
        <w:rPr>
          <w:rFonts w:cs="Times New Roman"/>
        </w:rPr>
        <w:t xml:space="preserve"> note 62, </w:t>
      </w:r>
      <w:r w:rsidRPr="00141DFE">
        <w:rPr>
          <w:rFonts w:cs="Times New Roman"/>
        </w:rPr>
        <w:t>p</w:t>
      </w:r>
      <w:r>
        <w:rPr>
          <w:rFonts w:cs="Times New Roman"/>
        </w:rPr>
        <w:t>ara</w:t>
      </w:r>
      <w:r w:rsidR="00820DC0">
        <w:rPr>
          <w:rFonts w:cs="Times New Roman"/>
        </w:rPr>
        <w:fldChar w:fldCharType="begin"/>
      </w:r>
      <w:r>
        <w:instrText xml:space="preserve"> TA \s "I/A Court H.R., Juridical Condition and Rights of Undocumented Migrants. Advisory Opinion OC-18 of September 17, 2003. Series A No. 18" </w:instrText>
      </w:r>
      <w:r w:rsidR="00820DC0">
        <w:rPr>
          <w:rFonts w:cs="Times New Roman"/>
        </w:rPr>
        <w:fldChar w:fldCharType="end"/>
      </w:r>
      <w:r>
        <w:rPr>
          <w:rFonts w:cs="Times New Roman"/>
        </w:rPr>
        <w:t xml:space="preserve"> 124</w:t>
      </w:r>
    </w:p>
  </w:footnote>
  <w:footnote w:id="145">
    <w:p w:rsidR="00156D87" w:rsidRPr="008B5F88" w:rsidRDefault="00156D87" w:rsidP="00754B17">
      <w:pPr>
        <w:pStyle w:val="FootnoteText"/>
        <w:jc w:val="both"/>
        <w:rPr>
          <w:rFonts w:cs="Times New Roman"/>
        </w:rPr>
      </w:pPr>
      <w:r w:rsidRPr="008B5F88">
        <w:rPr>
          <w:rStyle w:val="FootnoteReference"/>
          <w:rFonts w:cs="Times New Roman"/>
        </w:rPr>
        <w:footnoteRef/>
      </w:r>
      <w:r w:rsidRPr="008B5F88">
        <w:rPr>
          <w:rFonts w:cs="Times New Roman"/>
        </w:rPr>
        <w:t xml:space="preserve"> Hypothetical</w:t>
      </w:r>
      <w:r>
        <w:rPr>
          <w:rFonts w:cs="Times New Roman"/>
        </w:rPr>
        <w:t>,</w:t>
      </w:r>
      <w:r w:rsidRPr="008B5F88">
        <w:rPr>
          <w:rFonts w:cs="Times New Roman"/>
        </w:rPr>
        <w:t xml:space="preserve"> para 46</w:t>
      </w:r>
    </w:p>
  </w:footnote>
  <w:footnote w:id="146">
    <w:p w:rsidR="00156D87" w:rsidRPr="008B5F88" w:rsidRDefault="00156D87" w:rsidP="00754B17">
      <w:pPr>
        <w:pStyle w:val="FootnoteText"/>
        <w:jc w:val="both"/>
        <w:rPr>
          <w:rFonts w:cs="Times New Roman"/>
        </w:rPr>
      </w:pPr>
      <w:r w:rsidRPr="008B5F88">
        <w:rPr>
          <w:rStyle w:val="FootnoteReference"/>
          <w:rFonts w:cs="Times New Roman"/>
        </w:rPr>
        <w:footnoteRef/>
      </w:r>
      <w:r w:rsidRPr="008B5F88">
        <w:rPr>
          <w:rFonts w:cs="Times New Roman"/>
        </w:rPr>
        <w:t xml:space="preserve"> </w:t>
      </w:r>
      <w:r>
        <w:rPr>
          <w:rFonts w:cs="Times New Roman"/>
        </w:rPr>
        <w:t>IACHR</w:t>
      </w:r>
      <w:r w:rsidRPr="008B5F88">
        <w:rPr>
          <w:rFonts w:cs="Times New Roman"/>
        </w:rPr>
        <w:t>,</w:t>
      </w:r>
      <w:r w:rsidRPr="008B5F88">
        <w:rPr>
          <w:rFonts w:cs="Times New Roman"/>
          <w:i/>
        </w:rPr>
        <w:t xml:space="preserve"> Access to Justice as a Guarantee of Economic, Social and Cultural Rights. A Review of the Standards Adopted by the Inter-American System of Human Rights, </w:t>
      </w:r>
      <w:r w:rsidRPr="008B5F88">
        <w:rPr>
          <w:rFonts w:cs="Times New Roman"/>
        </w:rPr>
        <w:t xml:space="preserve"> September </w:t>
      </w:r>
      <w:r>
        <w:rPr>
          <w:rFonts w:cs="Times New Roman"/>
        </w:rPr>
        <w:t xml:space="preserve">7, </w:t>
      </w:r>
      <w:r w:rsidRPr="008B5F88">
        <w:rPr>
          <w:rFonts w:cs="Times New Roman"/>
        </w:rPr>
        <w:t>2007, OEA/Ser.L/V/II.129,</w:t>
      </w:r>
      <w:r w:rsidR="00820DC0">
        <w:rPr>
          <w:rFonts w:cs="Times New Roman"/>
        </w:rPr>
        <w:fldChar w:fldCharType="begin"/>
      </w:r>
      <w:r>
        <w:instrText xml:space="preserve"> TA \l "</w:instrText>
      </w:r>
      <w:r w:rsidRPr="007E0958">
        <w:rPr>
          <w:rFonts w:cs="Times New Roman"/>
        </w:rPr>
        <w:instrText>IACHR,</w:instrText>
      </w:r>
      <w:r w:rsidRPr="007E0958">
        <w:rPr>
          <w:rFonts w:cs="Times New Roman"/>
          <w:i/>
        </w:rPr>
        <w:instrText xml:space="preserve"> Access to Justice as a Guarantee of Economic, Social and Cultural Rights. A Review of the Standards Adopted by the Inter-American System of Human Rights, </w:instrText>
      </w:r>
      <w:r w:rsidRPr="007E0958">
        <w:rPr>
          <w:rFonts w:cs="Times New Roman"/>
        </w:rPr>
        <w:instrText xml:space="preserve"> September 7, 2007, OEA/Ser.L/V/II.129,</w:instrText>
      </w:r>
      <w:r>
        <w:instrText xml:space="preserve">" \s "IACHR, Access to Justice as a Guarantee of Economic, Social and Cultural Rights. A Review of the Standards Adopted by the Inter-American System of Human Rights,  September 7, 2007, OEA/Ser.L/V/II.129," \c 1 </w:instrText>
      </w:r>
      <w:r w:rsidR="00820DC0">
        <w:rPr>
          <w:rFonts w:cs="Times New Roman"/>
        </w:rPr>
        <w:fldChar w:fldCharType="end"/>
      </w:r>
      <w:r w:rsidRPr="008B5F88">
        <w:rPr>
          <w:rFonts w:cs="Times New Roman"/>
        </w:rPr>
        <w:t xml:space="preserve"> paras 195-202; I/A Court H</w:t>
      </w:r>
      <w:r w:rsidRPr="00813B79">
        <w:rPr>
          <w:rFonts w:cs="Times New Roman"/>
        </w:rPr>
        <w:t xml:space="preserve">.R., I/A Court H.R., </w:t>
      </w:r>
      <w:r w:rsidRPr="00813B79">
        <w:rPr>
          <w:rFonts w:cs="Times New Roman"/>
          <w:i/>
        </w:rPr>
        <w:t>Case of the Mayagna (Sumo) Awas Tingni Community v. Nicaragua</w:t>
      </w:r>
      <w:r w:rsidRPr="00813B79">
        <w:rPr>
          <w:rFonts w:cs="Times New Roman"/>
        </w:rPr>
        <w:t>. Merits, Reparations and Costs. Judgment of August 31, 2001. Series C No. 79</w:t>
      </w:r>
      <w:r w:rsidR="00820DC0">
        <w:rPr>
          <w:rFonts w:cs="Times New Roman"/>
        </w:rPr>
        <w:fldChar w:fldCharType="begin"/>
      </w:r>
      <w:r>
        <w:instrText xml:space="preserve"> TA \l "</w:instrText>
      </w:r>
      <w:r w:rsidRPr="009F7439">
        <w:rPr>
          <w:rFonts w:cs="Times New Roman"/>
        </w:rPr>
        <w:instrText xml:space="preserve">I/A Court H.R., I/A Court H.R., </w:instrText>
      </w:r>
      <w:r w:rsidRPr="009F7439">
        <w:rPr>
          <w:rFonts w:cs="Times New Roman"/>
          <w:i/>
        </w:rPr>
        <w:instrText>Case of the Mayagna (Sumo) Awas Tingni Community v. Nicaragua</w:instrText>
      </w:r>
      <w:r w:rsidRPr="009F7439">
        <w:rPr>
          <w:rFonts w:cs="Times New Roman"/>
        </w:rPr>
        <w:instrText>. Merits, Reparations and Costs. Judgment of August 31, 2001. Series C No. 79</w:instrText>
      </w:r>
      <w:r>
        <w:instrText xml:space="preserve">" \s "I/A Court H.R., I/A Court H.R., Case of the Mayagna (Sumo) Awas Tingni Community v. Nicaragua. Merits, Reparations and Costs. Judgment of August 31, 2001. Series C No. 79" \c 1 </w:instrText>
      </w:r>
      <w:r w:rsidR="00820DC0">
        <w:rPr>
          <w:rFonts w:cs="Times New Roman"/>
        </w:rPr>
        <w:fldChar w:fldCharType="end"/>
      </w:r>
      <w:r w:rsidRPr="00813B79">
        <w:rPr>
          <w:rFonts w:cs="Times New Roman"/>
        </w:rPr>
        <w:t>;</w:t>
      </w:r>
      <w:r>
        <w:rPr>
          <w:rFonts w:cs="Times New Roman"/>
        </w:rPr>
        <w:t xml:space="preserve"> ECtHR</w:t>
      </w:r>
      <w:r w:rsidRPr="008B5F88">
        <w:rPr>
          <w:rFonts w:cs="Times New Roman"/>
        </w:rPr>
        <w:t xml:space="preserve">, </w:t>
      </w:r>
      <w:r w:rsidRPr="008B5F88">
        <w:rPr>
          <w:rFonts w:cs="Times New Roman"/>
          <w:i/>
        </w:rPr>
        <w:t>García Ruiz v. Spain</w:t>
      </w:r>
      <w:r w:rsidRPr="008B5F88">
        <w:rPr>
          <w:rFonts w:cs="Times New Roman"/>
        </w:rPr>
        <w:t xml:space="preserve">, </w:t>
      </w:r>
      <w:r>
        <w:rPr>
          <w:rFonts w:cs="Times New Roman"/>
        </w:rPr>
        <w:t>Application No.</w:t>
      </w:r>
      <w:r w:rsidRPr="007F6732">
        <w:t xml:space="preserve"> </w:t>
      </w:r>
      <w:r w:rsidRPr="007F6732">
        <w:rPr>
          <w:rFonts w:cs="Times New Roman"/>
        </w:rPr>
        <w:t>30544/96</w:t>
      </w:r>
      <w:r>
        <w:rPr>
          <w:rFonts w:cs="Times New Roman"/>
        </w:rPr>
        <w:t xml:space="preserve">, </w:t>
      </w:r>
      <w:r w:rsidRPr="008B5F88">
        <w:rPr>
          <w:rFonts w:cs="Times New Roman"/>
        </w:rPr>
        <w:t xml:space="preserve">January </w:t>
      </w:r>
      <w:r>
        <w:rPr>
          <w:rFonts w:cs="Times New Roman"/>
        </w:rPr>
        <w:t xml:space="preserve">21, </w:t>
      </w:r>
      <w:r w:rsidRPr="008B5F88">
        <w:rPr>
          <w:rFonts w:cs="Times New Roman"/>
        </w:rPr>
        <w:t>1999</w:t>
      </w:r>
      <w:r w:rsidR="00820DC0">
        <w:rPr>
          <w:rFonts w:cs="Times New Roman"/>
        </w:rPr>
        <w:fldChar w:fldCharType="begin"/>
      </w:r>
      <w:r>
        <w:instrText xml:space="preserve"> TA \l "</w:instrText>
      </w:r>
      <w:r w:rsidRPr="00244F8E">
        <w:rPr>
          <w:rFonts w:cs="Times New Roman"/>
        </w:rPr>
        <w:instrText xml:space="preserve">ECtHR, </w:instrText>
      </w:r>
      <w:r w:rsidRPr="00244F8E">
        <w:rPr>
          <w:rFonts w:cs="Times New Roman"/>
          <w:i/>
        </w:rPr>
        <w:instrText>García Ruiz v. Spain</w:instrText>
      </w:r>
      <w:r w:rsidRPr="00244F8E">
        <w:rPr>
          <w:rFonts w:cs="Times New Roman"/>
        </w:rPr>
        <w:instrText>, Application No.</w:instrText>
      </w:r>
      <w:r w:rsidRPr="00244F8E">
        <w:instrText xml:space="preserve"> </w:instrText>
      </w:r>
      <w:r w:rsidRPr="00244F8E">
        <w:rPr>
          <w:rFonts w:cs="Times New Roman"/>
        </w:rPr>
        <w:instrText>30544/96, January 21, 1999</w:instrText>
      </w:r>
      <w:r>
        <w:instrText xml:space="preserve">" \s "ECtHR, García Ruiz v. Spain, Application No. 30544/96, January 21, 1999" \c 1 </w:instrText>
      </w:r>
      <w:r w:rsidR="00820DC0">
        <w:rPr>
          <w:rFonts w:cs="Times New Roman"/>
        </w:rPr>
        <w:fldChar w:fldCharType="end"/>
      </w:r>
      <w:r w:rsidRPr="008B5F88">
        <w:rPr>
          <w:rFonts w:cs="Times New Roman"/>
        </w:rPr>
        <w:t xml:space="preserve">, para. </w:t>
      </w:r>
      <w:r>
        <w:rPr>
          <w:rFonts w:cs="Times New Roman"/>
        </w:rPr>
        <w:t xml:space="preserve">26; </w:t>
      </w:r>
      <w:r w:rsidRPr="007F6732">
        <w:rPr>
          <w:rFonts w:cs="Times New Roman"/>
        </w:rPr>
        <w:t xml:space="preserve">I/A Court H.R., </w:t>
      </w:r>
      <w:r w:rsidRPr="007F6732">
        <w:rPr>
          <w:rFonts w:cs="Times New Roman"/>
          <w:i/>
        </w:rPr>
        <w:t>Case of Claude-Reyes et al. v. Chile</w:t>
      </w:r>
      <w:r w:rsidRPr="007F6732">
        <w:rPr>
          <w:rFonts w:cs="Times New Roman"/>
        </w:rPr>
        <w:t>. Merits, Reparations and Costs. Judgment of September 19, 2006. Series C No. 151</w:t>
      </w:r>
      <w:r w:rsidR="00820DC0">
        <w:rPr>
          <w:rFonts w:cs="Times New Roman"/>
        </w:rPr>
        <w:fldChar w:fldCharType="begin"/>
      </w:r>
      <w:r>
        <w:instrText xml:space="preserve"> TA \l "</w:instrText>
      </w:r>
      <w:r w:rsidRPr="00105B3D">
        <w:rPr>
          <w:rFonts w:cs="Times New Roman"/>
        </w:rPr>
        <w:instrText xml:space="preserve">I/A Court H.R., </w:instrText>
      </w:r>
      <w:r w:rsidRPr="00105B3D">
        <w:rPr>
          <w:rFonts w:cs="Times New Roman"/>
          <w:i/>
        </w:rPr>
        <w:instrText>Case of Claude-Reyes et al. v. Chile</w:instrText>
      </w:r>
      <w:r w:rsidRPr="00105B3D">
        <w:rPr>
          <w:rFonts w:cs="Times New Roman"/>
        </w:rPr>
        <w:instrText>. Merits, Reparations and Costs. Judgment of September 19, 2006. Series C No. 151</w:instrText>
      </w:r>
      <w:r>
        <w:instrText xml:space="preserve">" \s "I/A Court H.R., Case of Claude-Reyes et al. v. Chile. Merits, Reparations and Costs. Judgment of September 19, 2006. Series C No. 151" \c 1 </w:instrText>
      </w:r>
      <w:r w:rsidR="00820DC0">
        <w:rPr>
          <w:rFonts w:cs="Times New Roman"/>
        </w:rPr>
        <w:fldChar w:fldCharType="end"/>
      </w:r>
      <w:r>
        <w:rPr>
          <w:rFonts w:cs="Times New Roman"/>
        </w:rPr>
        <w:t xml:space="preserve">, </w:t>
      </w:r>
      <w:r w:rsidRPr="008B5F88">
        <w:rPr>
          <w:rFonts w:cs="Times New Roman"/>
        </w:rPr>
        <w:t>paras 122 and 123</w:t>
      </w:r>
    </w:p>
  </w:footnote>
  <w:footnote w:id="147">
    <w:p w:rsidR="00156D87" w:rsidRPr="00A35BED" w:rsidRDefault="00156D87" w:rsidP="00754B17">
      <w:pPr>
        <w:pStyle w:val="FootnoteText"/>
        <w:jc w:val="both"/>
        <w:rPr>
          <w:rFonts w:cs="Times New Roman"/>
          <w:lang w:val="pt-BR"/>
        </w:rPr>
      </w:pPr>
      <w:r w:rsidRPr="008B5F88">
        <w:rPr>
          <w:rStyle w:val="FootnoteReference"/>
          <w:rFonts w:cs="Times New Roman"/>
        </w:rPr>
        <w:footnoteRef/>
      </w:r>
      <w:r w:rsidRPr="00A35BED">
        <w:rPr>
          <w:rFonts w:cs="Times New Roman"/>
          <w:lang w:val="pt-BR"/>
        </w:rPr>
        <w:t xml:space="preserve"> ECtHR, </w:t>
      </w:r>
      <w:r w:rsidRPr="00A35BED">
        <w:rPr>
          <w:rFonts w:cs="Times New Roman"/>
          <w:i/>
          <w:lang w:val="pt-BR"/>
        </w:rPr>
        <w:t>H v Belgium</w:t>
      </w:r>
      <w:r w:rsidRPr="00A35BED">
        <w:rPr>
          <w:rFonts w:cs="Times New Roman"/>
          <w:lang w:val="pt-BR"/>
        </w:rPr>
        <w:t>, Application No. 8950/80, November 30, 1987</w:t>
      </w:r>
      <w:r w:rsidR="00820DC0">
        <w:rPr>
          <w:rFonts w:cs="Times New Roman"/>
        </w:rPr>
        <w:fldChar w:fldCharType="begin"/>
      </w:r>
      <w:r w:rsidRPr="00A35BED">
        <w:rPr>
          <w:lang w:val="pt-BR"/>
        </w:rPr>
        <w:instrText xml:space="preserve"> TA \l "</w:instrText>
      </w:r>
      <w:r w:rsidRPr="00A35BED">
        <w:rPr>
          <w:rFonts w:cs="Times New Roman"/>
          <w:lang w:val="pt-BR"/>
        </w:rPr>
        <w:instrText xml:space="preserve">ECtHR, </w:instrText>
      </w:r>
      <w:r w:rsidRPr="00A35BED">
        <w:rPr>
          <w:rFonts w:cs="Times New Roman"/>
          <w:i/>
          <w:lang w:val="pt-BR"/>
        </w:rPr>
        <w:instrText>H v Belgium</w:instrText>
      </w:r>
      <w:r w:rsidRPr="00A35BED">
        <w:rPr>
          <w:rFonts w:cs="Times New Roman"/>
          <w:lang w:val="pt-BR"/>
        </w:rPr>
        <w:instrText>, Application No. 8950/80, November 30, 1987</w:instrText>
      </w:r>
      <w:r w:rsidRPr="00A35BED">
        <w:rPr>
          <w:lang w:val="pt-BR"/>
        </w:rPr>
        <w:instrText xml:space="preserve">" \s "ECtHR, H v Belgium, Application No. 8950/80, November 30, 1987" \c 1 </w:instrText>
      </w:r>
      <w:r w:rsidR="00820DC0">
        <w:rPr>
          <w:rFonts w:cs="Times New Roman"/>
        </w:rPr>
        <w:fldChar w:fldCharType="end"/>
      </w:r>
      <w:r w:rsidRPr="00A35BED">
        <w:rPr>
          <w:rFonts w:cs="Times New Roman"/>
          <w:lang w:val="pt-BR"/>
        </w:rPr>
        <w:t>, para 53</w:t>
      </w:r>
    </w:p>
  </w:footnote>
  <w:footnote w:id="148">
    <w:p w:rsidR="00156D87" w:rsidRPr="00A35BED" w:rsidRDefault="00156D87" w:rsidP="00754B17">
      <w:pPr>
        <w:pStyle w:val="FootnoteText"/>
        <w:jc w:val="both"/>
        <w:rPr>
          <w:lang w:val="pt-BR"/>
        </w:rPr>
      </w:pPr>
      <w:r w:rsidRPr="008B5F88">
        <w:rPr>
          <w:rStyle w:val="FootnoteReference"/>
          <w:rFonts w:cs="Times New Roman"/>
        </w:rPr>
        <w:footnoteRef/>
      </w:r>
      <w:r w:rsidRPr="00A35BED">
        <w:rPr>
          <w:rFonts w:cs="Times New Roman"/>
          <w:lang w:val="pt-BR"/>
        </w:rPr>
        <w:t xml:space="preserve"> Hypothetical, para 48</w:t>
      </w:r>
    </w:p>
  </w:footnote>
  <w:footnote w:id="149">
    <w:p w:rsidR="00156D87" w:rsidRPr="00A35BED" w:rsidRDefault="00156D87" w:rsidP="00754B17">
      <w:pPr>
        <w:pStyle w:val="FootnoteText"/>
        <w:jc w:val="both"/>
        <w:rPr>
          <w:rFonts w:cs="Times New Roman"/>
          <w:lang w:val="es-CO"/>
        </w:rPr>
      </w:pPr>
      <w:r w:rsidRPr="00103E0C">
        <w:rPr>
          <w:rStyle w:val="FootnoteReference"/>
          <w:rFonts w:cs="Times New Roman"/>
        </w:rPr>
        <w:footnoteRef/>
      </w:r>
      <w:r w:rsidRPr="00A35BED">
        <w:rPr>
          <w:rFonts w:cs="Times New Roman"/>
          <w:lang w:val="pt-BR"/>
        </w:rPr>
        <w:t xml:space="preserve"> Cecilia Medina Quiroga. </w:t>
      </w:r>
      <w:r w:rsidRPr="00A35BED">
        <w:rPr>
          <w:rFonts w:cs="Times New Roman"/>
          <w:i/>
          <w:lang w:val="es-CO"/>
        </w:rPr>
        <w:t>La Convencion Americano: Vida, Integridad Personal, Libertad Personal, Debido Proceso y Recurso</w:t>
      </w:r>
      <w:r w:rsidRPr="00A35BED">
        <w:rPr>
          <w:rFonts w:cs="Times New Roman"/>
          <w:lang w:val="es-CO"/>
        </w:rPr>
        <w:t xml:space="preserve"> </w:t>
      </w:r>
      <w:r w:rsidRPr="00A35BED">
        <w:rPr>
          <w:rFonts w:cs="Times New Roman"/>
          <w:i/>
          <w:lang w:val="es-CO"/>
        </w:rPr>
        <w:t>Judicial</w:t>
      </w:r>
      <w:r w:rsidRPr="00A35BED">
        <w:rPr>
          <w:rFonts w:cs="Times New Roman"/>
          <w:lang w:val="es-CO"/>
        </w:rPr>
        <w:t xml:space="preserve"> (University of Chile, 2005)</w:t>
      </w:r>
      <w:r w:rsidR="00820DC0">
        <w:rPr>
          <w:rFonts w:cs="Times New Roman"/>
        </w:rPr>
        <w:fldChar w:fldCharType="begin"/>
      </w:r>
      <w:r w:rsidRPr="00A35BED">
        <w:rPr>
          <w:lang w:val="es-CO"/>
        </w:rPr>
        <w:instrText xml:space="preserve"> TA \l "</w:instrText>
      </w:r>
      <w:r w:rsidRPr="00A35BED">
        <w:rPr>
          <w:rFonts w:cs="Times New Roman"/>
          <w:lang w:val="es-CO"/>
        </w:rPr>
        <w:instrText xml:space="preserve">Cecilia Medina Quiroga. </w:instrText>
      </w:r>
      <w:r w:rsidRPr="00A35BED">
        <w:rPr>
          <w:rFonts w:cs="Times New Roman"/>
          <w:i/>
          <w:lang w:val="es-CO"/>
        </w:rPr>
        <w:instrText>La Convencion Americano: Vida, Integridad Personal, Libertad Personal, Debido Proceso y Recurso</w:instrText>
      </w:r>
      <w:r w:rsidRPr="00A35BED">
        <w:rPr>
          <w:rFonts w:cs="Times New Roman"/>
          <w:lang w:val="es-CO"/>
        </w:rPr>
        <w:instrText xml:space="preserve"> </w:instrText>
      </w:r>
      <w:r w:rsidRPr="00A35BED">
        <w:rPr>
          <w:rFonts w:cs="Times New Roman"/>
          <w:i/>
          <w:lang w:val="es-CO"/>
        </w:rPr>
        <w:instrText>Judicial</w:instrText>
      </w:r>
      <w:r w:rsidRPr="00A35BED">
        <w:rPr>
          <w:rFonts w:cs="Times New Roman"/>
          <w:lang w:val="es-CO"/>
        </w:rPr>
        <w:instrText xml:space="preserve"> (University of Chile, 2005)</w:instrText>
      </w:r>
      <w:r w:rsidRPr="00A35BED">
        <w:rPr>
          <w:lang w:val="es-CO"/>
        </w:rPr>
        <w:instrText xml:space="preserve">" \s "Cecilia Medina Quiroga. La Convencion Americano: Vida, Integridad Personal, Libertad Personal, Debido Proceso y Recurso Judicial (University of Chile, 2005)" \c 2 </w:instrText>
      </w:r>
      <w:r w:rsidR="00820DC0">
        <w:rPr>
          <w:rFonts w:cs="Times New Roman"/>
        </w:rPr>
        <w:fldChar w:fldCharType="end"/>
      </w:r>
      <w:r w:rsidRPr="00A35BED">
        <w:rPr>
          <w:rFonts w:cs="Times New Roman"/>
          <w:lang w:val="es-CO"/>
        </w:rPr>
        <w:t xml:space="preserve"> p. 317</w:t>
      </w:r>
    </w:p>
  </w:footnote>
  <w:footnote w:id="150">
    <w:p w:rsidR="00156D87" w:rsidRPr="00A35BED" w:rsidRDefault="00156D87" w:rsidP="00754B17">
      <w:pPr>
        <w:pStyle w:val="FootnoteText"/>
        <w:jc w:val="both"/>
        <w:rPr>
          <w:lang w:val="pt-BR"/>
        </w:rPr>
      </w:pPr>
      <w:r w:rsidRPr="00103E0C">
        <w:rPr>
          <w:rStyle w:val="FootnoteReference"/>
          <w:rFonts w:cs="Times New Roman"/>
        </w:rPr>
        <w:footnoteRef/>
      </w:r>
      <w:r w:rsidRPr="00A35BED">
        <w:rPr>
          <w:rFonts w:cs="Times New Roman"/>
          <w:lang w:val="pt-BR"/>
        </w:rPr>
        <w:t xml:space="preserve"> I/A Court H.R., </w:t>
      </w:r>
      <w:r w:rsidRPr="00A35BED">
        <w:rPr>
          <w:rFonts w:cs="Times New Roman"/>
          <w:i/>
          <w:lang w:val="pt-BR"/>
        </w:rPr>
        <w:t>Case of Herrera-Ulloa v. Costa Rica</w:t>
      </w:r>
      <w:r w:rsidRPr="00A35BED">
        <w:rPr>
          <w:rFonts w:cs="Times New Roman"/>
          <w:lang w:val="pt-BR"/>
        </w:rPr>
        <w:t xml:space="preserve">, </w:t>
      </w:r>
      <w:r w:rsidRPr="00A35BED">
        <w:rPr>
          <w:rFonts w:cs="Times New Roman"/>
          <w:i/>
          <w:lang w:val="pt-BR"/>
        </w:rPr>
        <w:t>supra</w:t>
      </w:r>
      <w:r w:rsidRPr="00A35BED">
        <w:rPr>
          <w:rFonts w:cs="Times New Roman"/>
          <w:lang w:val="pt-BR"/>
        </w:rPr>
        <w:t xml:space="preserve"> note 46</w:t>
      </w:r>
      <w:r w:rsidR="00820DC0">
        <w:rPr>
          <w:rFonts w:cs="Times New Roman"/>
        </w:rPr>
        <w:fldChar w:fldCharType="begin"/>
      </w:r>
      <w:r w:rsidRPr="00A35BED">
        <w:rPr>
          <w:lang w:val="pt-BR"/>
        </w:rPr>
        <w:instrText xml:space="preserve"> TA \s "I/A Court H.R., Case of Herrera-Ulloa v. Costa Rica. Preliminary Objections, Merits, Reparations and Costs. Judgment of July 2, 2004. Series C No. 107" </w:instrText>
      </w:r>
      <w:r w:rsidR="00820DC0">
        <w:rPr>
          <w:rFonts w:cs="Times New Roman"/>
        </w:rPr>
        <w:fldChar w:fldCharType="end"/>
      </w:r>
      <w:r w:rsidRPr="00A35BED">
        <w:rPr>
          <w:rFonts w:cs="Times New Roman"/>
          <w:lang w:val="pt-BR"/>
        </w:rPr>
        <w:t>, para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87" w:rsidRPr="00D52501" w:rsidRDefault="00156D87" w:rsidP="00D52501">
    <w:pPr>
      <w:pStyle w:val="Header"/>
      <w:jc w:val="right"/>
      <w:rPr>
        <w:rFonts w:cs="Times New Roman"/>
        <w:szCs w:val="24"/>
      </w:rPr>
    </w:pPr>
    <w:r w:rsidRPr="00D52501">
      <w:rPr>
        <w:rFonts w:cs="Times New Roman"/>
        <w:szCs w:val="24"/>
      </w:rPr>
      <w:t>Team No. 102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87" w:rsidRPr="00D52501" w:rsidRDefault="00156D87" w:rsidP="00D52501">
    <w:pPr>
      <w:pStyle w:val="Header"/>
      <w:jc w:val="right"/>
      <w:rPr>
        <w:rFonts w:cs="Times New Roman"/>
        <w:b/>
        <w:szCs w:val="24"/>
      </w:rPr>
    </w:pPr>
    <w:r w:rsidRPr="00D52501">
      <w:rPr>
        <w:rFonts w:cs="Times New Roman"/>
        <w:b/>
        <w:szCs w:val="24"/>
      </w:rPr>
      <w:t>Team No. 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6783"/>
    <w:multiLevelType w:val="hybridMultilevel"/>
    <w:tmpl w:val="4AB0CC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981957"/>
    <w:multiLevelType w:val="hybridMultilevel"/>
    <w:tmpl w:val="C5947074"/>
    <w:lvl w:ilvl="0" w:tplc="6E5ACEC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C4283E"/>
    <w:multiLevelType w:val="hybridMultilevel"/>
    <w:tmpl w:val="471A1F72"/>
    <w:lvl w:ilvl="0" w:tplc="A61886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C2"/>
    <w:rsid w:val="0000107E"/>
    <w:rsid w:val="00004C4E"/>
    <w:rsid w:val="00017B1A"/>
    <w:rsid w:val="000274FD"/>
    <w:rsid w:val="000416B7"/>
    <w:rsid w:val="00046C38"/>
    <w:rsid w:val="00053605"/>
    <w:rsid w:val="00060142"/>
    <w:rsid w:val="0009231C"/>
    <w:rsid w:val="00097ADB"/>
    <w:rsid w:val="000A6550"/>
    <w:rsid w:val="000B5980"/>
    <w:rsid w:val="000C4FA8"/>
    <w:rsid w:val="000D0504"/>
    <w:rsid w:val="000D3708"/>
    <w:rsid w:val="000D3A9F"/>
    <w:rsid w:val="000F122D"/>
    <w:rsid w:val="000F1CED"/>
    <w:rsid w:val="000F6982"/>
    <w:rsid w:val="001019C7"/>
    <w:rsid w:val="00103E0C"/>
    <w:rsid w:val="00105903"/>
    <w:rsid w:val="0012137B"/>
    <w:rsid w:val="00123524"/>
    <w:rsid w:val="00124395"/>
    <w:rsid w:val="00145DF0"/>
    <w:rsid w:val="00156D87"/>
    <w:rsid w:val="001615FA"/>
    <w:rsid w:val="001674E8"/>
    <w:rsid w:val="00184919"/>
    <w:rsid w:val="00185791"/>
    <w:rsid w:val="001866AE"/>
    <w:rsid w:val="001A1298"/>
    <w:rsid w:val="001B0E8E"/>
    <w:rsid w:val="001B41BC"/>
    <w:rsid w:val="001C334C"/>
    <w:rsid w:val="001C5AD9"/>
    <w:rsid w:val="001C7C7C"/>
    <w:rsid w:val="001E0D99"/>
    <w:rsid w:val="001E46BC"/>
    <w:rsid w:val="001F09C4"/>
    <w:rsid w:val="00204175"/>
    <w:rsid w:val="00247A12"/>
    <w:rsid w:val="0026180F"/>
    <w:rsid w:val="002716CF"/>
    <w:rsid w:val="00287417"/>
    <w:rsid w:val="002B3B32"/>
    <w:rsid w:val="002B5DD3"/>
    <w:rsid w:val="002B6B14"/>
    <w:rsid w:val="002D0DC2"/>
    <w:rsid w:val="002D42AB"/>
    <w:rsid w:val="002F54EC"/>
    <w:rsid w:val="00335709"/>
    <w:rsid w:val="00336671"/>
    <w:rsid w:val="00342644"/>
    <w:rsid w:val="00354D49"/>
    <w:rsid w:val="00354D94"/>
    <w:rsid w:val="00380B95"/>
    <w:rsid w:val="00383268"/>
    <w:rsid w:val="00392CE6"/>
    <w:rsid w:val="003979B3"/>
    <w:rsid w:val="003A07F7"/>
    <w:rsid w:val="003A40F1"/>
    <w:rsid w:val="003C109F"/>
    <w:rsid w:val="003C4056"/>
    <w:rsid w:val="003C6296"/>
    <w:rsid w:val="003E0653"/>
    <w:rsid w:val="003F2306"/>
    <w:rsid w:val="00415559"/>
    <w:rsid w:val="004249A8"/>
    <w:rsid w:val="00430FBB"/>
    <w:rsid w:val="00441926"/>
    <w:rsid w:val="00446642"/>
    <w:rsid w:val="0045760F"/>
    <w:rsid w:val="004643CC"/>
    <w:rsid w:val="00466AEA"/>
    <w:rsid w:val="0048673D"/>
    <w:rsid w:val="004A513F"/>
    <w:rsid w:val="004B1395"/>
    <w:rsid w:val="004B1B03"/>
    <w:rsid w:val="004D58AF"/>
    <w:rsid w:val="00501C51"/>
    <w:rsid w:val="00526500"/>
    <w:rsid w:val="00534420"/>
    <w:rsid w:val="00534505"/>
    <w:rsid w:val="005515A7"/>
    <w:rsid w:val="00552501"/>
    <w:rsid w:val="00557F63"/>
    <w:rsid w:val="00565E70"/>
    <w:rsid w:val="0058441A"/>
    <w:rsid w:val="00597648"/>
    <w:rsid w:val="005A2630"/>
    <w:rsid w:val="005A4694"/>
    <w:rsid w:val="005C1BC8"/>
    <w:rsid w:val="005C7449"/>
    <w:rsid w:val="005F7028"/>
    <w:rsid w:val="006118A9"/>
    <w:rsid w:val="00621C18"/>
    <w:rsid w:val="00632A71"/>
    <w:rsid w:val="00657DCE"/>
    <w:rsid w:val="006A313E"/>
    <w:rsid w:val="006C4E7A"/>
    <w:rsid w:val="006C76BE"/>
    <w:rsid w:val="006D500B"/>
    <w:rsid w:val="006D67E6"/>
    <w:rsid w:val="006E2970"/>
    <w:rsid w:val="006E45F8"/>
    <w:rsid w:val="006E4FC0"/>
    <w:rsid w:val="006F4258"/>
    <w:rsid w:val="00720E60"/>
    <w:rsid w:val="00725188"/>
    <w:rsid w:val="00735F5D"/>
    <w:rsid w:val="00737F1E"/>
    <w:rsid w:val="00745799"/>
    <w:rsid w:val="00754B17"/>
    <w:rsid w:val="007F063D"/>
    <w:rsid w:val="007F6732"/>
    <w:rsid w:val="008117A0"/>
    <w:rsid w:val="00813B79"/>
    <w:rsid w:val="00820349"/>
    <w:rsid w:val="00820DC0"/>
    <w:rsid w:val="00846745"/>
    <w:rsid w:val="0085640F"/>
    <w:rsid w:val="008571A4"/>
    <w:rsid w:val="00861A7B"/>
    <w:rsid w:val="008672F8"/>
    <w:rsid w:val="00867813"/>
    <w:rsid w:val="00881FA5"/>
    <w:rsid w:val="008B5F88"/>
    <w:rsid w:val="008C724C"/>
    <w:rsid w:val="008D75AC"/>
    <w:rsid w:val="00903789"/>
    <w:rsid w:val="0091573B"/>
    <w:rsid w:val="009162DB"/>
    <w:rsid w:val="00916442"/>
    <w:rsid w:val="00917F8E"/>
    <w:rsid w:val="00921CAF"/>
    <w:rsid w:val="00925C10"/>
    <w:rsid w:val="00935AF7"/>
    <w:rsid w:val="00955DAE"/>
    <w:rsid w:val="009605FA"/>
    <w:rsid w:val="009819CD"/>
    <w:rsid w:val="00991760"/>
    <w:rsid w:val="00992267"/>
    <w:rsid w:val="009969AC"/>
    <w:rsid w:val="009B2577"/>
    <w:rsid w:val="009D1283"/>
    <w:rsid w:val="009F56AC"/>
    <w:rsid w:val="009F5D2B"/>
    <w:rsid w:val="00A01B1E"/>
    <w:rsid w:val="00A02C70"/>
    <w:rsid w:val="00A15E44"/>
    <w:rsid w:val="00A23310"/>
    <w:rsid w:val="00A314F7"/>
    <w:rsid w:val="00A32D14"/>
    <w:rsid w:val="00A3422C"/>
    <w:rsid w:val="00A35BED"/>
    <w:rsid w:val="00A369E2"/>
    <w:rsid w:val="00A5383D"/>
    <w:rsid w:val="00A561B0"/>
    <w:rsid w:val="00A6208A"/>
    <w:rsid w:val="00A70D98"/>
    <w:rsid w:val="00A72C32"/>
    <w:rsid w:val="00A84268"/>
    <w:rsid w:val="00A849FD"/>
    <w:rsid w:val="00A904C8"/>
    <w:rsid w:val="00AA2003"/>
    <w:rsid w:val="00AB07A4"/>
    <w:rsid w:val="00AC3044"/>
    <w:rsid w:val="00AE2770"/>
    <w:rsid w:val="00B25C67"/>
    <w:rsid w:val="00B50840"/>
    <w:rsid w:val="00B549CE"/>
    <w:rsid w:val="00B7199D"/>
    <w:rsid w:val="00B72F85"/>
    <w:rsid w:val="00B73887"/>
    <w:rsid w:val="00B77565"/>
    <w:rsid w:val="00B77BB3"/>
    <w:rsid w:val="00B8070A"/>
    <w:rsid w:val="00B92843"/>
    <w:rsid w:val="00B95666"/>
    <w:rsid w:val="00BB2EDB"/>
    <w:rsid w:val="00BB6802"/>
    <w:rsid w:val="00BB6DE0"/>
    <w:rsid w:val="00BC2E1C"/>
    <w:rsid w:val="00BD05AB"/>
    <w:rsid w:val="00BD5096"/>
    <w:rsid w:val="00BD69C8"/>
    <w:rsid w:val="00BF60DC"/>
    <w:rsid w:val="00C1763A"/>
    <w:rsid w:val="00C4160D"/>
    <w:rsid w:val="00C445BE"/>
    <w:rsid w:val="00C8129F"/>
    <w:rsid w:val="00CA68E5"/>
    <w:rsid w:val="00CA7114"/>
    <w:rsid w:val="00CB5E91"/>
    <w:rsid w:val="00CD3EB2"/>
    <w:rsid w:val="00D43CE4"/>
    <w:rsid w:val="00D47020"/>
    <w:rsid w:val="00D52501"/>
    <w:rsid w:val="00D65E52"/>
    <w:rsid w:val="00D8178D"/>
    <w:rsid w:val="00DB5AB2"/>
    <w:rsid w:val="00DF7EF7"/>
    <w:rsid w:val="00E00735"/>
    <w:rsid w:val="00E11277"/>
    <w:rsid w:val="00E1466E"/>
    <w:rsid w:val="00E326FF"/>
    <w:rsid w:val="00E32999"/>
    <w:rsid w:val="00E41B6A"/>
    <w:rsid w:val="00E50F46"/>
    <w:rsid w:val="00E52B63"/>
    <w:rsid w:val="00E71640"/>
    <w:rsid w:val="00E818CB"/>
    <w:rsid w:val="00E824D2"/>
    <w:rsid w:val="00EA1A6B"/>
    <w:rsid w:val="00EB4B77"/>
    <w:rsid w:val="00EC07A4"/>
    <w:rsid w:val="00EC29DA"/>
    <w:rsid w:val="00ED0137"/>
    <w:rsid w:val="00ED3DD2"/>
    <w:rsid w:val="00EE657C"/>
    <w:rsid w:val="00EF00C5"/>
    <w:rsid w:val="00EF1F71"/>
    <w:rsid w:val="00F01566"/>
    <w:rsid w:val="00F04DBB"/>
    <w:rsid w:val="00F152B7"/>
    <w:rsid w:val="00F30713"/>
    <w:rsid w:val="00F30BE5"/>
    <w:rsid w:val="00F32CAC"/>
    <w:rsid w:val="00F4128E"/>
    <w:rsid w:val="00F41B97"/>
    <w:rsid w:val="00F44ECF"/>
    <w:rsid w:val="00F56959"/>
    <w:rsid w:val="00F65F8B"/>
    <w:rsid w:val="00F67A98"/>
    <w:rsid w:val="00F70881"/>
    <w:rsid w:val="00F80F44"/>
    <w:rsid w:val="00FA6EB2"/>
    <w:rsid w:val="00FB758C"/>
    <w:rsid w:val="00FC6F10"/>
    <w:rsid w:val="00FD1573"/>
    <w:rsid w:val="00FE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6CA90-A928-4174-957D-2F416DC7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50"/>
    <w:rPr>
      <w:rFonts w:ascii="Times New Roman" w:hAnsi="Times New Roman"/>
      <w:sz w:val="24"/>
    </w:rPr>
  </w:style>
  <w:style w:type="paragraph" w:styleId="Heading1">
    <w:name w:val="heading 1"/>
    <w:basedOn w:val="Normal"/>
    <w:next w:val="Normal"/>
    <w:link w:val="Heading1Char"/>
    <w:uiPriority w:val="9"/>
    <w:qFormat/>
    <w:rsid w:val="00E71640"/>
    <w:pPr>
      <w:keepNext/>
      <w:keepLines/>
      <w:spacing w:before="480"/>
      <w:jc w:val="center"/>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E7164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D67E6"/>
    <w:pPr>
      <w:keepNext/>
      <w:keepLines/>
      <w:spacing w:before="200"/>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iPriority w:val="99"/>
    <w:unhideWhenUsed/>
    <w:rsid w:val="002D0DC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2D0DC2"/>
    <w:rPr>
      <w:sz w:val="20"/>
      <w:szCs w:val="20"/>
    </w:rPr>
  </w:style>
  <w:style w:type="character" w:styleId="FootnoteReference">
    <w:name w:val="footnote reference"/>
    <w:basedOn w:val="DefaultParagraphFont"/>
    <w:uiPriority w:val="99"/>
    <w:semiHidden/>
    <w:unhideWhenUsed/>
    <w:rsid w:val="002D0DC2"/>
    <w:rPr>
      <w:vertAlign w:val="superscript"/>
    </w:rPr>
  </w:style>
  <w:style w:type="paragraph" w:styleId="Header">
    <w:name w:val="header"/>
    <w:basedOn w:val="Normal"/>
    <w:link w:val="HeaderChar"/>
    <w:uiPriority w:val="99"/>
    <w:unhideWhenUsed/>
    <w:rsid w:val="002D0DC2"/>
    <w:pPr>
      <w:tabs>
        <w:tab w:val="center" w:pos="4680"/>
        <w:tab w:val="right" w:pos="9360"/>
      </w:tabs>
    </w:pPr>
  </w:style>
  <w:style w:type="character" w:customStyle="1" w:styleId="HeaderChar">
    <w:name w:val="Header Char"/>
    <w:basedOn w:val="DefaultParagraphFont"/>
    <w:link w:val="Header"/>
    <w:uiPriority w:val="99"/>
    <w:rsid w:val="002D0DC2"/>
  </w:style>
  <w:style w:type="paragraph" w:styleId="Footer">
    <w:name w:val="footer"/>
    <w:basedOn w:val="Normal"/>
    <w:link w:val="FooterChar"/>
    <w:uiPriority w:val="99"/>
    <w:unhideWhenUsed/>
    <w:rsid w:val="002D0DC2"/>
    <w:pPr>
      <w:tabs>
        <w:tab w:val="center" w:pos="4680"/>
        <w:tab w:val="right" w:pos="9360"/>
      </w:tabs>
    </w:pPr>
  </w:style>
  <w:style w:type="character" w:customStyle="1" w:styleId="FooterChar">
    <w:name w:val="Footer Char"/>
    <w:basedOn w:val="DefaultParagraphFont"/>
    <w:link w:val="Footer"/>
    <w:uiPriority w:val="99"/>
    <w:rsid w:val="002D0DC2"/>
  </w:style>
  <w:style w:type="paragraph" w:styleId="NoSpacing">
    <w:name w:val="No Spacing"/>
    <w:link w:val="NoSpacingChar"/>
    <w:uiPriority w:val="1"/>
    <w:qFormat/>
    <w:rsid w:val="00D52501"/>
    <w:rPr>
      <w:rFonts w:eastAsiaTheme="minorEastAsia"/>
      <w:lang w:eastAsia="ja-JP"/>
    </w:rPr>
  </w:style>
  <w:style w:type="character" w:customStyle="1" w:styleId="NoSpacingChar">
    <w:name w:val="No Spacing Char"/>
    <w:basedOn w:val="DefaultParagraphFont"/>
    <w:link w:val="NoSpacing"/>
    <w:uiPriority w:val="1"/>
    <w:rsid w:val="00D52501"/>
    <w:rPr>
      <w:rFonts w:eastAsiaTheme="minorEastAsia"/>
      <w:lang w:eastAsia="ja-JP"/>
    </w:rPr>
  </w:style>
  <w:style w:type="paragraph" w:styleId="BalloonText">
    <w:name w:val="Balloon Text"/>
    <w:basedOn w:val="Normal"/>
    <w:link w:val="BalloonTextChar"/>
    <w:uiPriority w:val="99"/>
    <w:semiHidden/>
    <w:unhideWhenUsed/>
    <w:rsid w:val="00D52501"/>
    <w:rPr>
      <w:rFonts w:ascii="Tahoma" w:hAnsi="Tahoma" w:cs="Tahoma"/>
      <w:sz w:val="16"/>
      <w:szCs w:val="16"/>
    </w:rPr>
  </w:style>
  <w:style w:type="character" w:customStyle="1" w:styleId="BalloonTextChar">
    <w:name w:val="Balloon Text Char"/>
    <w:basedOn w:val="DefaultParagraphFont"/>
    <w:link w:val="BalloonText"/>
    <w:uiPriority w:val="99"/>
    <w:semiHidden/>
    <w:rsid w:val="00D52501"/>
    <w:rPr>
      <w:rFonts w:ascii="Tahoma" w:hAnsi="Tahoma" w:cs="Tahoma"/>
      <w:sz w:val="16"/>
      <w:szCs w:val="16"/>
    </w:rPr>
  </w:style>
  <w:style w:type="character" w:customStyle="1" w:styleId="Heading1Char">
    <w:name w:val="Heading 1 Char"/>
    <w:basedOn w:val="DefaultParagraphFont"/>
    <w:link w:val="Heading1"/>
    <w:uiPriority w:val="9"/>
    <w:rsid w:val="00E71640"/>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E7164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D67E6"/>
    <w:rPr>
      <w:rFonts w:ascii="Times New Roman" w:eastAsiaTheme="majorEastAsia" w:hAnsi="Times New Roman" w:cstheme="majorBidi"/>
      <w:b/>
      <w:bCs/>
      <w:sz w:val="24"/>
      <w:u w:val="single"/>
    </w:rPr>
  </w:style>
  <w:style w:type="paragraph" w:styleId="TOCHeading">
    <w:name w:val="TOC Heading"/>
    <w:basedOn w:val="Heading1"/>
    <w:next w:val="Normal"/>
    <w:uiPriority w:val="39"/>
    <w:unhideWhenUsed/>
    <w:qFormat/>
    <w:rsid w:val="00D8178D"/>
    <w:pPr>
      <w:spacing w:line="276" w:lineRule="auto"/>
      <w:jc w:val="left"/>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EF1F71"/>
    <w:pPr>
      <w:tabs>
        <w:tab w:val="left" w:pos="660"/>
        <w:tab w:val="right" w:leader="dot" w:pos="9350"/>
      </w:tabs>
      <w:spacing w:line="480" w:lineRule="auto"/>
      <w:jc w:val="both"/>
    </w:pPr>
    <w:rPr>
      <w:b/>
    </w:rPr>
  </w:style>
  <w:style w:type="paragraph" w:styleId="TOC2">
    <w:name w:val="toc 2"/>
    <w:basedOn w:val="Normal"/>
    <w:next w:val="Normal"/>
    <w:autoRedefine/>
    <w:uiPriority w:val="39"/>
    <w:unhideWhenUsed/>
    <w:rsid w:val="00EA1A6B"/>
    <w:pPr>
      <w:tabs>
        <w:tab w:val="left" w:pos="660"/>
        <w:tab w:val="right" w:leader="dot" w:pos="9350"/>
      </w:tabs>
      <w:spacing w:line="480" w:lineRule="auto"/>
      <w:ind w:left="216"/>
      <w:jc w:val="both"/>
      <w:outlineLvl w:val="1"/>
    </w:pPr>
  </w:style>
  <w:style w:type="paragraph" w:styleId="TOC3">
    <w:name w:val="toc 3"/>
    <w:basedOn w:val="Normal"/>
    <w:next w:val="Normal"/>
    <w:autoRedefine/>
    <w:uiPriority w:val="39"/>
    <w:unhideWhenUsed/>
    <w:rsid w:val="00EA1A6B"/>
    <w:pPr>
      <w:spacing w:line="480" w:lineRule="auto"/>
      <w:ind w:left="446"/>
      <w:jc w:val="both"/>
      <w:outlineLvl w:val="2"/>
    </w:pPr>
    <w:rPr>
      <w:i/>
    </w:rPr>
  </w:style>
  <w:style w:type="character" w:styleId="Hyperlink">
    <w:name w:val="Hyperlink"/>
    <w:basedOn w:val="DefaultParagraphFont"/>
    <w:uiPriority w:val="99"/>
    <w:unhideWhenUsed/>
    <w:rsid w:val="00D8178D"/>
    <w:rPr>
      <w:color w:val="0000FF" w:themeColor="hyperlink"/>
      <w:u w:val="single"/>
    </w:rPr>
  </w:style>
  <w:style w:type="paragraph" w:styleId="TOAHeading">
    <w:name w:val="toa heading"/>
    <w:basedOn w:val="Normal"/>
    <w:next w:val="Normal"/>
    <w:autoRedefine/>
    <w:uiPriority w:val="99"/>
    <w:unhideWhenUsed/>
    <w:rsid w:val="00A6208A"/>
    <w:pPr>
      <w:tabs>
        <w:tab w:val="right" w:leader="dot" w:pos="9350"/>
      </w:tabs>
      <w:spacing w:before="240" w:after="120" w:line="480" w:lineRule="auto"/>
      <w:jc w:val="both"/>
    </w:pPr>
    <w:rPr>
      <w:rFonts w:eastAsiaTheme="majorEastAsia" w:cstheme="majorBidi"/>
      <w:b/>
      <w:bCs/>
      <w:noProof/>
      <w:szCs w:val="24"/>
    </w:rPr>
  </w:style>
  <w:style w:type="paragraph" w:styleId="TableofAuthorities">
    <w:name w:val="table of authorities"/>
    <w:basedOn w:val="Normal"/>
    <w:next w:val="Normal"/>
    <w:autoRedefine/>
    <w:uiPriority w:val="99"/>
    <w:semiHidden/>
    <w:unhideWhenUsed/>
    <w:rsid w:val="00F41B97"/>
    <w:pPr>
      <w:spacing w:line="480" w:lineRule="auto"/>
      <w:ind w:left="216" w:hanging="216"/>
      <w:jc w:val="both"/>
    </w:pPr>
  </w:style>
  <w:style w:type="paragraph" w:styleId="TOC4">
    <w:name w:val="toc 4"/>
    <w:basedOn w:val="Normal"/>
    <w:next w:val="Normal"/>
    <w:autoRedefine/>
    <w:uiPriority w:val="39"/>
    <w:semiHidden/>
    <w:unhideWhenUsed/>
    <w:rsid w:val="00EA1A6B"/>
    <w:pPr>
      <w:spacing w:line="480" w:lineRule="auto"/>
      <w:ind w:left="66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E1E7-6AF9-4C90-882A-D29A8C23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9489</Words>
  <Characters>54093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Inter-American HR Moot Court Competition</cp:lastModifiedBy>
  <cp:revision>2</cp:revision>
  <cp:lastPrinted>2013-03-26T00:57:00Z</cp:lastPrinted>
  <dcterms:created xsi:type="dcterms:W3CDTF">2017-09-21T16:00:00Z</dcterms:created>
  <dcterms:modified xsi:type="dcterms:W3CDTF">2017-09-21T16:00:00Z</dcterms:modified>
</cp:coreProperties>
</file>